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0E81" w14:textId="77777777" w:rsidR="0053292A" w:rsidRPr="00030A24" w:rsidRDefault="0053292A" w:rsidP="00030A24">
      <w:pPr>
        <w:pStyle w:val="Cuadrculamedia21"/>
        <w:ind w:left="-270" w:right="-270"/>
        <w:jc w:val="center"/>
        <w:rPr>
          <w:rFonts w:ascii="Cambria" w:hAnsi="Cambria"/>
          <w:b/>
          <w:color w:val="000000"/>
          <w:lang w:val="es-CO"/>
        </w:rPr>
      </w:pPr>
    </w:p>
    <w:p w14:paraId="36106645"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FICHA TÉCNICA INFORMATIVA </w:t>
      </w:r>
    </w:p>
    <w:p w14:paraId="2E304520"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CASO 11.439 BYRON ROBERTO CAÑAVERAL</w:t>
      </w:r>
    </w:p>
    <w:p w14:paraId="0CD8B139"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94/00</w:t>
      </w:r>
    </w:p>
    <w:p w14:paraId="70138DF4"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3939B6F6" w14:textId="2D8536C9"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762CD5CD" w14:textId="77777777" w:rsidR="0053292A" w:rsidRPr="00030A24" w:rsidRDefault="0053292A" w:rsidP="00030A24">
      <w:pPr>
        <w:pStyle w:val="Cuadrculamedia21"/>
        <w:ind w:left="-270" w:right="-270"/>
        <w:jc w:val="center"/>
        <w:rPr>
          <w:rFonts w:ascii="Cambria" w:hAnsi="Cambria"/>
          <w:b/>
          <w:color w:val="000000"/>
          <w:lang w:val="es-CO"/>
        </w:rPr>
      </w:pPr>
    </w:p>
    <w:p w14:paraId="311322E4" w14:textId="77777777" w:rsidR="0053292A" w:rsidRPr="00030A24" w:rsidRDefault="0053292A" w:rsidP="00030A24">
      <w:pPr>
        <w:numPr>
          <w:ilvl w:val="0"/>
          <w:numId w:val="6"/>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462E63C3"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B55B9F" w14:paraId="142E9775" w14:textId="77777777" w:rsidTr="00550EB8">
        <w:trPr>
          <w:jc w:val="center"/>
        </w:trPr>
        <w:tc>
          <w:tcPr>
            <w:tcW w:w="9576" w:type="dxa"/>
            <w:shd w:val="clear" w:color="auto" w:fill="F2F2F2"/>
          </w:tcPr>
          <w:p w14:paraId="7CB60EFF" w14:textId="77777777" w:rsidR="0053292A" w:rsidRPr="00030A24" w:rsidRDefault="0053292A" w:rsidP="00030A24">
            <w:pPr>
              <w:spacing w:after="0" w:line="240" w:lineRule="auto"/>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Byron Roberto Cañaveral</w:t>
            </w:r>
          </w:p>
          <w:p w14:paraId="6F6A40B3"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5A40FACD"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09E27A58"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5 de abril de 1999</w:t>
            </w:r>
            <w:r w:rsidRPr="00030A24">
              <w:rPr>
                <w:rFonts w:ascii="Cambria" w:hAnsi="Cambria"/>
                <w:color w:val="FF0000"/>
                <w:lang w:val="es-CO"/>
              </w:rPr>
              <w:t xml:space="preserve"> </w:t>
            </w:r>
          </w:p>
          <w:p w14:paraId="507C3CB6"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4931FB8B"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94/00</w:t>
              </w:r>
            </w:hyperlink>
            <w:hyperlink r:id="rId14" w:history="1"/>
            <w:r w:rsidRPr="00030A24">
              <w:rPr>
                <w:rFonts w:ascii="Cambria" w:hAnsi="Cambria"/>
                <w:color w:val="000000"/>
                <w:lang w:val="es-CO"/>
              </w:rPr>
              <w:t>, publicado el 5 de octubre de 2000</w:t>
            </w:r>
          </w:p>
          <w:p w14:paraId="1D8BCCC7"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Duración estimada de la fase de negociación:</w:t>
            </w:r>
            <w:r w:rsidRPr="00030A24">
              <w:rPr>
                <w:rFonts w:ascii="Cambria" w:hAnsi="Cambria"/>
                <w:color w:val="FF0000"/>
                <w:lang w:val="es-CO"/>
              </w:rPr>
              <w:t xml:space="preserve"> </w:t>
            </w:r>
            <w:r w:rsidRPr="00030A24">
              <w:rPr>
                <w:rFonts w:ascii="Cambria" w:hAnsi="Cambria"/>
                <w:lang w:val="es-CO"/>
              </w:rPr>
              <w:t>1 año</w:t>
            </w:r>
          </w:p>
          <w:p w14:paraId="173BBA7F"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696E698F"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 Tortura/ Tratos o penas crueles, inhumanos y/o degradantes/ Investigación</w:t>
            </w:r>
            <w:r w:rsidRPr="00030A24">
              <w:rPr>
                <w:rFonts w:ascii="Cambria" w:hAnsi="Cambria"/>
                <w:b/>
                <w:color w:val="000000"/>
                <w:lang w:val="es-CO"/>
              </w:rPr>
              <w:t xml:space="preserve"> </w:t>
            </w:r>
          </w:p>
          <w:p w14:paraId="4BD48178" w14:textId="77777777" w:rsidR="0053292A" w:rsidRPr="00030A24" w:rsidRDefault="0053292A" w:rsidP="00030A24">
            <w:pPr>
              <w:pStyle w:val="Cuadrculamedia21"/>
              <w:tabs>
                <w:tab w:val="left" w:pos="9270"/>
              </w:tabs>
              <w:jc w:val="both"/>
              <w:rPr>
                <w:rFonts w:ascii="Cambria" w:hAnsi="Cambria"/>
                <w:color w:val="000000"/>
                <w:lang w:val="es-CO"/>
              </w:rPr>
            </w:pPr>
          </w:p>
          <w:p w14:paraId="3277AF5D" w14:textId="77777777" w:rsidR="0053292A" w:rsidRPr="00030A24" w:rsidRDefault="0053292A" w:rsidP="00030A24">
            <w:pPr>
              <w:spacing w:after="0" w:line="240" w:lineRule="auto"/>
              <w:contextualSpacing/>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presente caso versa sobre la detención del señor Byron Roberto Cañaveral el 26 de mayo de 1993 por agentes del Estado quienes lo sometieron a torturas y tratos crueles e inhumanos. El 26 de mayo de 1993, el señor Byron Roberto Cañaveral fue detenido por elementos de la fuerza pública que realizaban operativos durante un paro cívico convocado por la Coordinadora Agraria y varias organizaciones sociales populares.</w:t>
            </w:r>
          </w:p>
          <w:p w14:paraId="348F434D" w14:textId="77777777" w:rsidR="0053292A" w:rsidRPr="00030A24" w:rsidRDefault="0053292A" w:rsidP="00030A24">
            <w:pPr>
              <w:pStyle w:val="Cuadrculamedia21"/>
              <w:tabs>
                <w:tab w:val="left" w:pos="9270"/>
              </w:tabs>
              <w:jc w:val="both"/>
              <w:rPr>
                <w:rFonts w:ascii="Cambria" w:hAnsi="Cambria"/>
                <w:color w:val="000000"/>
                <w:lang w:val="es-CO"/>
              </w:rPr>
            </w:pPr>
          </w:p>
          <w:p w14:paraId="7715A382"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integridad personal (artículo 5), derecho a la libertad personal (artículo 7), protección a las garantías judiciales (artículo 8), y derecho a la protección judicial (artículo 25), y a su vez la obligación general que tiene el estado de ecuador de respetar los derechos contenidos en la Convención Americana y garantizar su libre y pleno ejercicio (artículo 1(1)) en perjuicio del señor Byron Roberto Cañaveral.  </w:t>
            </w:r>
          </w:p>
        </w:tc>
      </w:tr>
    </w:tbl>
    <w:p w14:paraId="5A752644"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5B49D279" w14:textId="77777777" w:rsidR="0053292A" w:rsidRPr="00030A24" w:rsidRDefault="0053292A" w:rsidP="00030A24">
      <w:pPr>
        <w:pStyle w:val="Listavistosa-nfasis11"/>
        <w:numPr>
          <w:ilvl w:val="0"/>
          <w:numId w:val="6"/>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3A1C48A5"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6A1BAFDD" w14:textId="0205253D" w:rsidR="0053292A" w:rsidRPr="00030A24" w:rsidRDefault="0053292A" w:rsidP="00030A24">
      <w:pPr>
        <w:numPr>
          <w:ilvl w:val="0"/>
          <w:numId w:val="5"/>
        </w:numPr>
        <w:spacing w:after="0" w:line="240" w:lineRule="auto"/>
        <w:ind w:left="0" w:firstLine="720"/>
        <w:jc w:val="both"/>
        <w:rPr>
          <w:rFonts w:ascii="Cambria" w:hAnsi="Cambria"/>
          <w:color w:val="000000"/>
          <w:lang w:val="es-CO"/>
        </w:rPr>
      </w:pPr>
      <w:r w:rsidRPr="00030A24">
        <w:rPr>
          <w:rFonts w:ascii="Cambria" w:hAnsi="Cambria"/>
          <w:color w:val="000000"/>
          <w:lang w:val="es-CO"/>
        </w:rPr>
        <w:t>El 11 de junio de 1999</w:t>
      </w:r>
      <w:r w:rsidR="00260BCB"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4336ADE4" w14:textId="77777777" w:rsidR="0053292A" w:rsidRPr="00030A24" w:rsidRDefault="0053292A" w:rsidP="00030A24">
      <w:pPr>
        <w:spacing w:after="0" w:line="240" w:lineRule="auto"/>
        <w:ind w:firstLine="720"/>
        <w:jc w:val="both"/>
        <w:rPr>
          <w:rFonts w:ascii="Cambria" w:hAnsi="Cambria"/>
          <w:color w:val="000000"/>
          <w:lang w:val="es-CO"/>
        </w:rPr>
      </w:pPr>
    </w:p>
    <w:p w14:paraId="23B9E04B" w14:textId="77777777" w:rsidR="0053292A" w:rsidRPr="00030A24" w:rsidRDefault="0053292A" w:rsidP="00030A24">
      <w:pPr>
        <w:numPr>
          <w:ilvl w:val="0"/>
          <w:numId w:val="5"/>
        </w:numPr>
        <w:spacing w:after="0" w:line="240" w:lineRule="auto"/>
        <w:ind w:left="0" w:firstLine="720"/>
        <w:jc w:val="both"/>
        <w:rPr>
          <w:rFonts w:ascii="Cambria" w:hAnsi="Cambria"/>
          <w:color w:val="000000"/>
          <w:lang w:val="es-CO"/>
        </w:rPr>
      </w:pPr>
      <w:r w:rsidRPr="00030A24">
        <w:rPr>
          <w:rFonts w:ascii="Cambria" w:hAnsi="Cambria"/>
          <w:color w:val="000000"/>
          <w:lang w:val="es-CO"/>
        </w:rPr>
        <w:t>El 5 de octubre de 2000, la Comisión aprobó el acuerdo de solución amistosa, mediante informe No. 94/00.</w:t>
      </w:r>
    </w:p>
    <w:p w14:paraId="2CDE5645" w14:textId="77777777" w:rsidR="0053292A" w:rsidRPr="00030A24" w:rsidRDefault="0053292A" w:rsidP="00030A24">
      <w:pPr>
        <w:spacing w:after="0" w:line="240" w:lineRule="auto"/>
        <w:ind w:firstLine="720"/>
        <w:jc w:val="both"/>
        <w:rPr>
          <w:rFonts w:ascii="Cambria" w:hAnsi="Cambria"/>
          <w:color w:val="000000"/>
          <w:lang w:val="es-CO"/>
        </w:rPr>
      </w:pPr>
    </w:p>
    <w:p w14:paraId="68A0514E" w14:textId="77777777" w:rsidR="0053292A" w:rsidRPr="00030A24" w:rsidRDefault="0053292A" w:rsidP="00030A24">
      <w:pPr>
        <w:pStyle w:val="Listavistosa-nfasis11"/>
        <w:numPr>
          <w:ilvl w:val="0"/>
          <w:numId w:val="6"/>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695C1F09" w14:textId="77777777" w:rsidR="0053292A" w:rsidRPr="00030A24" w:rsidRDefault="0053292A" w:rsidP="00030A24">
      <w:pPr>
        <w:spacing w:after="0" w:line="240" w:lineRule="auto"/>
        <w:jc w:val="both"/>
        <w:rPr>
          <w:rFonts w:ascii="Cambria" w:hAnsi="Cambria"/>
          <w:color w:val="000000"/>
          <w:lang w:val="es-CO"/>
        </w:rPr>
      </w:pPr>
    </w:p>
    <w:tbl>
      <w:tblPr>
        <w:tblpPr w:leftFromText="180" w:rightFromText="180" w:vertAnchor="text" w:tblpXSpec="center"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2430"/>
      </w:tblGrid>
      <w:tr w:rsidR="0053292A" w:rsidRPr="00030A24" w14:paraId="6EC1E359" w14:textId="77777777" w:rsidTr="00035E03">
        <w:trPr>
          <w:trHeight w:val="96"/>
        </w:trPr>
        <w:tc>
          <w:tcPr>
            <w:tcW w:w="7038" w:type="dxa"/>
            <w:shd w:val="clear" w:color="auto" w:fill="D9D9D9"/>
            <w:vAlign w:val="center"/>
          </w:tcPr>
          <w:p w14:paraId="0E1F8639" w14:textId="77777777" w:rsidR="0053292A" w:rsidRPr="00030A24" w:rsidRDefault="0053292A"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430" w:type="dxa"/>
            <w:shd w:val="clear" w:color="auto" w:fill="D9D9D9"/>
            <w:vAlign w:val="center"/>
          </w:tcPr>
          <w:p w14:paraId="6A6CE609"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161C1C15" w14:textId="77777777" w:rsidTr="00035E03">
        <w:tc>
          <w:tcPr>
            <w:tcW w:w="7038" w:type="dxa"/>
            <w:shd w:val="clear" w:color="auto" w:fill="auto"/>
            <w:vAlign w:val="center"/>
          </w:tcPr>
          <w:p w14:paraId="18DDBB1A" w14:textId="77777777" w:rsidR="00260BCB" w:rsidRPr="00030A24" w:rsidRDefault="00260BCB" w:rsidP="00030A24">
            <w:pPr>
              <w:tabs>
                <w:tab w:val="left" w:pos="3921"/>
              </w:tabs>
              <w:spacing w:after="0" w:line="240" w:lineRule="auto"/>
              <w:ind w:right="69"/>
              <w:jc w:val="both"/>
              <w:outlineLvl w:val="0"/>
              <w:rPr>
                <w:rFonts w:ascii="Cambria" w:eastAsia="Times New Roman" w:hAnsi="Cambria"/>
                <w:b/>
                <w:bCs/>
                <w:color w:val="000000"/>
                <w:kern w:val="36"/>
                <w:lang w:val="es-AR"/>
              </w:rPr>
            </w:pPr>
            <w:r w:rsidRPr="00030A24">
              <w:rPr>
                <w:rFonts w:ascii="Cambria" w:eastAsia="Times New Roman" w:hAnsi="Cambria"/>
                <w:b/>
                <w:bCs/>
                <w:color w:val="000000"/>
                <w:kern w:val="36"/>
                <w:lang w:val="es-AR"/>
              </w:rPr>
              <w:t>III. RESPONSABILIDAD DEL ESTADO Y ALLANAMIENTO</w:t>
            </w:r>
          </w:p>
          <w:p w14:paraId="0D5F9D47" w14:textId="6C3919E1" w:rsidR="00260BCB" w:rsidRPr="00030A24" w:rsidRDefault="00260BCB" w:rsidP="00030A24">
            <w:pPr>
              <w:spacing w:after="0" w:line="240" w:lineRule="auto"/>
              <w:ind w:left="-18" w:firstLine="18"/>
              <w:jc w:val="both"/>
              <w:rPr>
                <w:rFonts w:ascii="Cambria" w:eastAsia="Times New Roman" w:hAnsi="Cambria"/>
                <w:color w:val="000000"/>
                <w:lang w:val="es-AR"/>
              </w:rPr>
            </w:pPr>
            <w:r w:rsidRPr="00030A24">
              <w:rPr>
                <w:rFonts w:ascii="Cambria" w:eastAsia="Times New Roman" w:hAnsi="Cambria"/>
                <w:color w:val="000000"/>
                <w:lang w:val="es-AR"/>
              </w:rPr>
              <w:lastRenderedPageBreak/>
              <w:t xml:space="preserve">El Estado Ecuatoriano reconoce su responsabilidad internacional por haber conculcado los derechos humanos del señor Byron Roberto Cañaveral Chiluisa, reconocidos en los Artículos 5 (Derecho a la Integridad Personal); Artículo 7 (Derecho a la Libertad Personal); Artículo 8 (Garantías Judiciales);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Estado y ha generado la responsabilidad de </w:t>
            </w:r>
            <w:r w:rsidR="00030A24" w:rsidRPr="00030A24">
              <w:rPr>
                <w:rFonts w:ascii="Cambria" w:eastAsia="Times New Roman" w:hAnsi="Cambria"/>
                <w:color w:val="000000"/>
                <w:lang w:val="es-AR"/>
              </w:rPr>
              <w:t>este</w:t>
            </w:r>
            <w:r w:rsidRPr="00030A24">
              <w:rPr>
                <w:rFonts w:ascii="Cambria" w:eastAsia="Times New Roman" w:hAnsi="Cambria"/>
                <w:color w:val="000000"/>
                <w:lang w:val="es-AR"/>
              </w:rPr>
              <w:t xml:space="preserve"> frente a la sociedad. </w:t>
            </w:r>
          </w:p>
          <w:p w14:paraId="2821758D" w14:textId="77777777" w:rsidR="00260BCB" w:rsidRPr="00030A24" w:rsidRDefault="00260BCB" w:rsidP="00030A24">
            <w:pPr>
              <w:spacing w:after="0" w:line="240" w:lineRule="auto"/>
              <w:ind w:left="-18" w:firstLine="18"/>
              <w:jc w:val="both"/>
              <w:rPr>
                <w:rFonts w:ascii="Cambria" w:eastAsia="Times New Roman" w:hAnsi="Cambria"/>
                <w:color w:val="000000"/>
                <w:lang w:val="es-AR"/>
              </w:rPr>
            </w:pPr>
            <w:r w:rsidRPr="00030A24">
              <w:rPr>
                <w:rFonts w:ascii="Cambria" w:eastAsia="Times New Roman" w:hAnsi="Cambria"/>
                <w:color w:val="000000"/>
                <w:lang w:val="es-AR"/>
              </w:rPr>
              <w:t> </w:t>
            </w:r>
          </w:p>
          <w:p w14:paraId="531DDFF7" w14:textId="1CE7ADFC" w:rsidR="0053292A" w:rsidRPr="00030A24" w:rsidRDefault="00260BCB" w:rsidP="00030A24">
            <w:pPr>
              <w:tabs>
                <w:tab w:val="left" w:pos="3921"/>
              </w:tabs>
              <w:spacing w:after="0" w:line="240" w:lineRule="auto"/>
              <w:ind w:right="69"/>
              <w:jc w:val="both"/>
              <w:outlineLvl w:val="0"/>
              <w:rPr>
                <w:rFonts w:ascii="Cambria" w:hAnsi="Cambria"/>
                <w:color w:val="000000"/>
                <w:lang w:val="es-CO"/>
              </w:rPr>
            </w:pPr>
            <w:r w:rsidRPr="00030A24">
              <w:rPr>
                <w:rFonts w:ascii="Cambria" w:eastAsia="Times New Roman" w:hAnsi="Cambria"/>
                <w:color w:val="000000"/>
                <w:lang w:val="es-AR"/>
              </w:rPr>
              <w:t>Con estos antecedentes el Estado Ecuatoriano se allana a los hechos constitutivos del caso Nº11.439, que se encuentra en trámite ante la Comisión Interamericana de Derechos Humanos y se obliga a asumir las medidas reparadoras necesarias a fin de resarcir los perjuicios ocasionados a las víctimas de tales violaciones o en su defecto a sus causahabientes. </w:t>
            </w:r>
          </w:p>
        </w:tc>
        <w:tc>
          <w:tcPr>
            <w:tcW w:w="2430" w:type="dxa"/>
            <w:shd w:val="clear" w:color="auto" w:fill="auto"/>
            <w:vAlign w:val="center"/>
          </w:tcPr>
          <w:p w14:paraId="3C25EDAF"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lastRenderedPageBreak/>
              <w:t>Cláusula declarativa</w:t>
            </w:r>
          </w:p>
        </w:tc>
      </w:tr>
      <w:tr w:rsidR="00260BCB" w:rsidRPr="00030A24" w14:paraId="7905F188" w14:textId="77777777" w:rsidTr="00035E03">
        <w:trPr>
          <w:trHeight w:val="1070"/>
        </w:trPr>
        <w:tc>
          <w:tcPr>
            <w:tcW w:w="7038" w:type="dxa"/>
            <w:shd w:val="clear" w:color="auto" w:fill="auto"/>
            <w:vAlign w:val="center"/>
          </w:tcPr>
          <w:p w14:paraId="3B0608ED" w14:textId="77777777" w:rsidR="00260BCB" w:rsidRPr="00030A24" w:rsidRDefault="00260BCB" w:rsidP="00030A24">
            <w:pPr>
              <w:spacing w:after="0" w:line="240" w:lineRule="auto"/>
              <w:ind w:left="72"/>
              <w:jc w:val="both"/>
              <w:rPr>
                <w:rFonts w:ascii="Cambria" w:eastAsia="Times New Roman" w:hAnsi="Cambria"/>
                <w:b/>
                <w:color w:val="000000"/>
                <w:lang w:val="es-AR"/>
              </w:rPr>
            </w:pPr>
            <w:r w:rsidRPr="00030A24">
              <w:rPr>
                <w:rFonts w:ascii="Cambria" w:eastAsia="Times New Roman" w:hAnsi="Cambria"/>
                <w:b/>
                <w:color w:val="000000"/>
                <w:lang w:val="es-AR"/>
              </w:rPr>
              <w:t>IV.             INDEMNIZACIÓN</w:t>
            </w:r>
          </w:p>
          <w:p w14:paraId="719150A6" w14:textId="77777777" w:rsidR="00260BCB" w:rsidRPr="00030A24" w:rsidRDefault="00260BCB" w:rsidP="00030A24">
            <w:pPr>
              <w:spacing w:after="0" w:line="240" w:lineRule="auto"/>
              <w:jc w:val="both"/>
              <w:rPr>
                <w:rFonts w:ascii="Cambria" w:eastAsia="Times New Roman" w:hAnsi="Cambria"/>
                <w:color w:val="000000"/>
                <w:lang w:val="es-AR"/>
              </w:rPr>
            </w:pPr>
            <w:r w:rsidRPr="00030A24">
              <w:rPr>
                <w:rFonts w:ascii="Cambria" w:eastAsia="Times New Roman" w:hAnsi="Cambria"/>
                <w:color w:val="000000"/>
                <w:lang w:val="es-AR"/>
              </w:rPr>
              <w:t>Con estos antecedentes, el Estado Ecuatoriano, por intermedio del Procurador General del Estado, éste como único representante judicial del Estado Ecuatoriano de acuerdo con el Art. 215 de la Constitución Política del Ecuador, promulgada en el Registro Oficial Nº 1, vigente desde el 11 de agosto de 1998, entrega al señor Byron Roberto Cañaveral Chiluisa una indemnización compensatoria por una sola vez de siete mil dólares de los Estados Unidos de Norteamérica (US$ 7.000) o su equivalente en moneda nacional, calculado al tipo de cambio vigente al momento del pago, con cargo al Presupuesto General del Estado.</w:t>
            </w:r>
          </w:p>
          <w:p w14:paraId="6ECFE75D" w14:textId="77777777" w:rsidR="00260BCB" w:rsidRPr="00030A24" w:rsidRDefault="00260BCB" w:rsidP="00030A24">
            <w:pPr>
              <w:spacing w:after="0" w:line="240" w:lineRule="auto"/>
              <w:ind w:left="72"/>
              <w:jc w:val="both"/>
              <w:rPr>
                <w:rFonts w:ascii="Cambria" w:eastAsia="Times New Roman" w:hAnsi="Cambria"/>
                <w:color w:val="000000"/>
                <w:lang w:val="es-AR"/>
              </w:rPr>
            </w:pPr>
            <w:r w:rsidRPr="00030A24">
              <w:rPr>
                <w:rFonts w:ascii="Cambria" w:eastAsia="Times New Roman" w:hAnsi="Cambria"/>
                <w:color w:val="000000"/>
                <w:lang w:val="es-AR"/>
              </w:rPr>
              <w:t xml:space="preserve"> </w:t>
            </w:r>
          </w:p>
          <w:p w14:paraId="0BCE9D79" w14:textId="38EBCCC0" w:rsidR="00260BCB" w:rsidRPr="00030A24" w:rsidRDefault="00260BCB" w:rsidP="00030A24">
            <w:pPr>
              <w:spacing w:after="0" w:line="240" w:lineRule="auto"/>
              <w:ind w:left="72"/>
              <w:jc w:val="both"/>
              <w:rPr>
                <w:rFonts w:ascii="Cambria" w:hAnsi="Cambria"/>
                <w:color w:val="000000"/>
                <w:lang w:val="es-CO"/>
              </w:rPr>
            </w:pPr>
            <w:r w:rsidRPr="00030A24">
              <w:rPr>
                <w:rFonts w:ascii="Cambria" w:eastAsia="Times New Roman" w:hAnsi="Cambria"/>
                <w:color w:val="000000"/>
                <w:lang w:val="es-AR"/>
              </w:rPr>
              <w:t xml:space="preserve">Esta indemnización involucra el daño emergente, el lucro cesante y el daño moral irrogados, sufridos por el señor Byron Roberto Cañaveral Chiluisa así como cualquier otro reclamo que pudiere tener el señor Byron Roberto Cañaveral Chiluisa o sus familiares, por el concepto mencionado en este acuerdo, observando la normativa legal interna e internacional, con cargo al Presupuesto General del Estado, a cuyo efecto la Procuraduría General del Estado notificará al Ministerio de Finanzas y Crédito Público, para que en un plazo de tres meses, contados a partir de la fecha de la suscripción de este documento, cumpla con esta obligación. </w:t>
            </w:r>
          </w:p>
        </w:tc>
        <w:tc>
          <w:tcPr>
            <w:tcW w:w="2430" w:type="dxa"/>
            <w:tcBorders>
              <w:bottom w:val="single" w:sz="4" w:space="0" w:color="auto"/>
            </w:tcBorders>
            <w:shd w:val="clear" w:color="auto" w:fill="auto"/>
            <w:vAlign w:val="center"/>
          </w:tcPr>
          <w:p w14:paraId="107BD0CD" w14:textId="77777777" w:rsidR="00260BCB" w:rsidRPr="00030A24" w:rsidRDefault="00260BCB"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260BCB" w:rsidRPr="00030A24" w14:paraId="1B22E4EF" w14:textId="77777777" w:rsidTr="00035E03">
        <w:tc>
          <w:tcPr>
            <w:tcW w:w="7038" w:type="dxa"/>
            <w:shd w:val="clear" w:color="auto" w:fill="auto"/>
          </w:tcPr>
          <w:p w14:paraId="097682F6" w14:textId="77777777" w:rsidR="00260BCB" w:rsidRPr="00030A24" w:rsidRDefault="00260BCB" w:rsidP="00030A24">
            <w:pPr>
              <w:tabs>
                <w:tab w:val="left" w:pos="3852"/>
              </w:tabs>
              <w:spacing w:after="0" w:line="240" w:lineRule="auto"/>
              <w:ind w:right="-21"/>
              <w:jc w:val="both"/>
              <w:outlineLvl w:val="0"/>
              <w:rPr>
                <w:rFonts w:ascii="Cambria" w:eastAsia="Times New Roman" w:hAnsi="Cambria"/>
                <w:b/>
                <w:color w:val="000000"/>
                <w:lang w:val="es-AR"/>
              </w:rPr>
            </w:pPr>
            <w:r w:rsidRPr="00030A24">
              <w:rPr>
                <w:rFonts w:ascii="Cambria" w:eastAsia="Times New Roman" w:hAnsi="Cambria"/>
                <w:b/>
                <w:color w:val="000000"/>
                <w:lang w:val="es-AR"/>
              </w:rPr>
              <w:t>V. SANCIÓN DE LOS RESPONSABLES</w:t>
            </w:r>
          </w:p>
          <w:p w14:paraId="228AC6F3" w14:textId="77777777" w:rsidR="00260BCB" w:rsidRPr="00030A24" w:rsidRDefault="00260BCB" w:rsidP="00030A24">
            <w:pPr>
              <w:tabs>
                <w:tab w:val="left" w:pos="3852"/>
              </w:tabs>
              <w:spacing w:after="0" w:line="240" w:lineRule="auto"/>
              <w:ind w:right="-21"/>
              <w:jc w:val="both"/>
              <w:rPr>
                <w:rFonts w:ascii="Cambria" w:eastAsia="Times New Roman" w:hAnsi="Cambria"/>
                <w:color w:val="000000"/>
                <w:lang w:val="es-AR"/>
              </w:rPr>
            </w:pPr>
            <w:r w:rsidRPr="00030A24">
              <w:rPr>
                <w:rFonts w:ascii="Cambria" w:eastAsia="Times New Roman" w:hAnsi="Cambria"/>
                <w:color w:val="000000"/>
                <w:lang w:val="es-AR"/>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w:t>
            </w:r>
          </w:p>
          <w:p w14:paraId="40FF18DE" w14:textId="77777777" w:rsidR="00260BCB" w:rsidRPr="00030A24" w:rsidRDefault="00260BCB" w:rsidP="00030A24">
            <w:pPr>
              <w:tabs>
                <w:tab w:val="left" w:pos="3852"/>
              </w:tabs>
              <w:spacing w:after="0" w:line="240" w:lineRule="auto"/>
              <w:ind w:right="-21"/>
              <w:jc w:val="both"/>
              <w:rPr>
                <w:rFonts w:ascii="Cambria" w:eastAsia="Times New Roman" w:hAnsi="Cambria"/>
                <w:color w:val="000000"/>
                <w:lang w:val="es-AR"/>
              </w:rPr>
            </w:pPr>
            <w:r w:rsidRPr="00030A24">
              <w:rPr>
                <w:rFonts w:ascii="Cambria" w:eastAsia="Times New Roman" w:hAnsi="Cambria"/>
                <w:color w:val="000000"/>
                <w:lang w:val="es-AR"/>
              </w:rPr>
              <w:t xml:space="preserve"> </w:t>
            </w:r>
          </w:p>
          <w:p w14:paraId="2E9ED0A6" w14:textId="1569C628" w:rsidR="00260BCB" w:rsidRPr="00030A24" w:rsidRDefault="00260BCB" w:rsidP="00030A24">
            <w:pPr>
              <w:tabs>
                <w:tab w:val="left" w:pos="3852"/>
              </w:tabs>
              <w:spacing w:after="0" w:line="240" w:lineRule="auto"/>
              <w:ind w:right="-21"/>
              <w:jc w:val="both"/>
              <w:rPr>
                <w:rFonts w:ascii="Cambria" w:hAnsi="Cambria"/>
                <w:color w:val="000000"/>
                <w:lang w:val="es-CO"/>
              </w:rPr>
            </w:pPr>
            <w:r w:rsidRPr="00030A24">
              <w:rPr>
                <w:rFonts w:ascii="Cambria" w:eastAsia="Times New Roman" w:hAnsi="Cambria"/>
                <w:color w:val="000000"/>
                <w:lang w:val="es-AR"/>
              </w:rPr>
              <w:t xml:space="preserve">La Procuraduría General del Estado se compromete a excitar tanto a la Ministra Fiscal General del Estado, los organismos competentes de la Función Judicial, como a los organismos públicos o privados competentes </w:t>
            </w:r>
            <w:r w:rsidRPr="00030A24">
              <w:rPr>
                <w:rFonts w:ascii="Cambria" w:eastAsia="Times New Roman" w:hAnsi="Cambria"/>
                <w:color w:val="000000"/>
                <w:lang w:val="es-AR"/>
              </w:rPr>
              <w:lastRenderedPageBreak/>
              <w:t>para que aporten información legalmente respaldada que permita establecer la responsabilidad de dichas personas.  De haber lugar, este enjuiciamiento se realizará con sujeción al ordenamiento constitucional y legal del Estado Ecuatoriano.</w:t>
            </w:r>
          </w:p>
        </w:tc>
        <w:tc>
          <w:tcPr>
            <w:tcW w:w="2430" w:type="dxa"/>
            <w:vAlign w:val="center"/>
          </w:tcPr>
          <w:p w14:paraId="1DB746C6" w14:textId="60C37D32" w:rsidR="00260BCB" w:rsidRPr="00030A24" w:rsidRDefault="00260BCB" w:rsidP="00030A24">
            <w:pPr>
              <w:autoSpaceDE w:val="0"/>
              <w:autoSpaceDN w:val="0"/>
              <w:adjustRightInd w:val="0"/>
              <w:spacing w:after="0" w:line="240" w:lineRule="auto"/>
              <w:jc w:val="center"/>
              <w:rPr>
                <w:rFonts w:ascii="Cambria" w:hAnsi="Cambria"/>
                <w:b/>
                <w:color w:val="000000"/>
                <w:u w:color="FF0000"/>
                <w:lang w:val="es-CO"/>
              </w:rPr>
            </w:pPr>
            <w:r w:rsidRPr="00030A24">
              <w:rPr>
                <w:rFonts w:ascii="Cambria" w:hAnsi="Cambria"/>
                <w:b/>
                <w:color w:val="000000"/>
                <w:u w:color="FF0000"/>
                <w:lang w:val="es-CO"/>
              </w:rPr>
              <w:lastRenderedPageBreak/>
              <w:t>Incumplido</w:t>
            </w:r>
            <w:r w:rsidRPr="00030A24">
              <w:rPr>
                <w:rStyle w:val="FootnoteReference"/>
                <w:rFonts w:ascii="Cambria" w:hAnsi="Cambria"/>
                <w:b/>
                <w:color w:val="000000"/>
                <w:u w:color="FF0000"/>
                <w:lang w:val="es-CO"/>
              </w:rPr>
              <w:footnoteReference w:id="3"/>
            </w:r>
          </w:p>
        </w:tc>
      </w:tr>
      <w:tr w:rsidR="00260BCB" w:rsidRPr="00030A24" w14:paraId="096C5988" w14:textId="77777777" w:rsidTr="00035E03">
        <w:tc>
          <w:tcPr>
            <w:tcW w:w="7038" w:type="dxa"/>
            <w:shd w:val="clear" w:color="auto" w:fill="auto"/>
            <w:vAlign w:val="center"/>
          </w:tcPr>
          <w:p w14:paraId="5A67ED18" w14:textId="77777777" w:rsidR="00260BCB" w:rsidRPr="00030A24" w:rsidRDefault="00260BCB" w:rsidP="00030A24">
            <w:pPr>
              <w:spacing w:after="0" w:line="240" w:lineRule="auto"/>
              <w:ind w:hanging="18"/>
              <w:jc w:val="both"/>
              <w:rPr>
                <w:rFonts w:ascii="Cambria" w:eastAsia="Times New Roman" w:hAnsi="Cambria"/>
                <w:b/>
                <w:color w:val="000000"/>
                <w:lang w:val="es-AR"/>
              </w:rPr>
            </w:pPr>
            <w:r w:rsidRPr="00030A24">
              <w:rPr>
                <w:rFonts w:ascii="Cambria" w:eastAsia="Times New Roman" w:hAnsi="Cambria"/>
                <w:b/>
                <w:color w:val="000000"/>
                <w:lang w:val="es-AR"/>
              </w:rPr>
              <w:t>VII. PAGOS EXENTOS DE IMPUESTOS Y MORA EN EL CUMPLIMIENTO</w:t>
            </w:r>
          </w:p>
          <w:p w14:paraId="1234EB2D" w14:textId="5FFF930D" w:rsidR="00260BCB" w:rsidRPr="00030A24" w:rsidRDefault="00260BCB" w:rsidP="00030A24">
            <w:pPr>
              <w:spacing w:after="0" w:line="240" w:lineRule="auto"/>
              <w:ind w:hanging="18"/>
              <w:jc w:val="both"/>
              <w:rPr>
                <w:rFonts w:ascii="Cambria" w:hAnsi="Cambria"/>
                <w:color w:val="000000"/>
                <w:lang w:val="es-CO"/>
              </w:rPr>
            </w:pPr>
            <w:r w:rsidRPr="00030A24">
              <w:rPr>
                <w:rFonts w:ascii="Cambria" w:eastAsia="Times New Roman" w:hAnsi="Cambria"/>
                <w:color w:val="000000"/>
                <w:lang w:val="es-AR"/>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tc>
        <w:tc>
          <w:tcPr>
            <w:tcW w:w="2430" w:type="dxa"/>
            <w:shd w:val="clear" w:color="auto" w:fill="auto"/>
            <w:vAlign w:val="center"/>
          </w:tcPr>
          <w:p w14:paraId="132EE74E" w14:textId="77777777" w:rsidR="00260BCB" w:rsidRPr="00030A24" w:rsidRDefault="00260BCB" w:rsidP="00030A24">
            <w:pPr>
              <w:autoSpaceDE w:val="0"/>
              <w:autoSpaceDN w:val="0"/>
              <w:adjustRightInd w:val="0"/>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4"/>
            </w:r>
          </w:p>
        </w:tc>
      </w:tr>
    </w:tbl>
    <w:p w14:paraId="1CB360BE"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2FEE12A9"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5B4EA446" w14:textId="77777777" w:rsidR="0053292A" w:rsidRPr="00030A24" w:rsidRDefault="0053292A" w:rsidP="00030A24">
      <w:pPr>
        <w:numPr>
          <w:ilvl w:val="0"/>
          <w:numId w:val="6"/>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73010B2F"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0A1710A6" w14:textId="77777777" w:rsidR="0053292A" w:rsidRPr="00030A24" w:rsidRDefault="0053292A" w:rsidP="00030A24">
      <w:pPr>
        <w:numPr>
          <w:ilvl w:val="0"/>
          <w:numId w:val="5"/>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La Comisión valoró la solicitud realizada el 17 de enero de 2020 de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31E66C79"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6FDC3253" w14:textId="77777777" w:rsidR="0053292A" w:rsidRPr="00030A24" w:rsidRDefault="0053292A" w:rsidP="00030A24">
      <w:pPr>
        <w:pStyle w:val="Listavistosa-nfasis11"/>
        <w:numPr>
          <w:ilvl w:val="0"/>
          <w:numId w:val="6"/>
        </w:numPr>
        <w:spacing w:after="0" w:line="240" w:lineRule="auto"/>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6D838838"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6A0DC61A" w14:textId="77777777" w:rsidR="0053292A" w:rsidRPr="00030A24" w:rsidRDefault="0053292A" w:rsidP="00030A24">
      <w:pPr>
        <w:pStyle w:val="Listavistosa-nfasis11"/>
        <w:numPr>
          <w:ilvl w:val="0"/>
          <w:numId w:val="9"/>
        </w:numPr>
        <w:spacing w:after="0" w:line="240" w:lineRule="auto"/>
        <w:ind w:hanging="11"/>
        <w:jc w:val="both"/>
        <w:rPr>
          <w:rFonts w:ascii="Cambria" w:hAnsi="Cambria"/>
          <w:b/>
          <w:color w:val="000000"/>
          <w:lang w:val="es-CO"/>
        </w:rPr>
      </w:pPr>
      <w:r w:rsidRPr="00030A24">
        <w:rPr>
          <w:rFonts w:ascii="Cambria" w:hAnsi="Cambria"/>
          <w:b/>
          <w:color w:val="000000"/>
          <w:lang w:val="es-CO"/>
        </w:rPr>
        <w:t>Resultados individuales del caso</w:t>
      </w:r>
    </w:p>
    <w:p w14:paraId="2D75B3BB"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2A4712CA" w14:textId="77DB1EAF" w:rsidR="0053292A" w:rsidRPr="00B7028A" w:rsidRDefault="0053292A" w:rsidP="00CA5D22">
      <w:pPr>
        <w:pStyle w:val="Listavistosa-nfasis11"/>
        <w:numPr>
          <w:ilvl w:val="0"/>
          <w:numId w:val="4"/>
        </w:numPr>
        <w:spacing w:after="0" w:line="240" w:lineRule="auto"/>
        <w:ind w:left="1440" w:hanging="720"/>
        <w:jc w:val="both"/>
        <w:rPr>
          <w:rFonts w:ascii="Cambria" w:hAnsi="Cambria"/>
          <w:lang w:val="es-CO"/>
        </w:rPr>
      </w:pPr>
      <w:r w:rsidRPr="00B7028A">
        <w:rPr>
          <w:rFonts w:ascii="Cambria" w:hAnsi="Cambria"/>
          <w:color w:val="000000"/>
          <w:lang w:val="es-CO"/>
        </w:rPr>
        <w:t>El Estado realizó la reparación económica, según lo establecido en el acuerdo con el pago de intereses.</w:t>
      </w:r>
    </w:p>
    <w:sectPr w:rsidR="0053292A" w:rsidRPr="00B7028A" w:rsidSect="007E4ED5">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62D5" w14:textId="77777777" w:rsidR="00E41EC4" w:rsidRDefault="00E41EC4" w:rsidP="00A343FF">
      <w:pPr>
        <w:spacing w:after="0" w:line="240" w:lineRule="auto"/>
      </w:pPr>
      <w:r>
        <w:separator/>
      </w:r>
    </w:p>
  </w:endnote>
  <w:endnote w:type="continuationSeparator" w:id="0">
    <w:p w14:paraId="1751C121" w14:textId="77777777" w:rsidR="00E41EC4" w:rsidRDefault="00E41EC4" w:rsidP="00A343FF">
      <w:pPr>
        <w:spacing w:after="0" w:line="240" w:lineRule="auto"/>
      </w:pPr>
      <w:r>
        <w:continuationSeparator/>
      </w:r>
    </w:p>
  </w:endnote>
  <w:endnote w:type="continuationNotice" w:id="1">
    <w:p w14:paraId="37C3D3AB" w14:textId="77777777" w:rsidR="00E41EC4" w:rsidRDefault="00E41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9717F7"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C7FE" w14:textId="77777777" w:rsidR="00E41EC4" w:rsidRDefault="00E41EC4" w:rsidP="00A343FF">
      <w:pPr>
        <w:spacing w:after="0" w:line="240" w:lineRule="auto"/>
      </w:pPr>
      <w:r>
        <w:separator/>
      </w:r>
    </w:p>
  </w:footnote>
  <w:footnote w:type="continuationSeparator" w:id="0">
    <w:p w14:paraId="59F6E9D7" w14:textId="77777777" w:rsidR="00E41EC4" w:rsidRDefault="00E41EC4" w:rsidP="00A343FF">
      <w:pPr>
        <w:spacing w:after="0" w:line="240" w:lineRule="auto"/>
      </w:pPr>
      <w:r>
        <w:continuationSeparator/>
      </w:r>
    </w:p>
  </w:footnote>
  <w:footnote w:type="continuationNotice" w:id="1">
    <w:p w14:paraId="73A6DDA7" w14:textId="77777777" w:rsidR="00E41EC4" w:rsidRDefault="00E41EC4">
      <w:pPr>
        <w:spacing w:after="0" w:line="240" w:lineRule="auto"/>
      </w:pPr>
    </w:p>
  </w:footnote>
  <w:footnote w:id="2">
    <w:p w14:paraId="5262B0F9" w14:textId="10F3ABA8" w:rsidR="00260BCB" w:rsidRPr="00220AB1" w:rsidRDefault="00260BCB" w:rsidP="0053292A">
      <w:pPr>
        <w:pStyle w:val="FootnoteText"/>
        <w:ind w:firstLine="720"/>
        <w:jc w:val="both"/>
        <w:rPr>
          <w:rFonts w:ascii="Cambria" w:hAnsi="Cambria"/>
          <w:color w:val="000000"/>
          <w:sz w:val="16"/>
          <w:szCs w:val="16"/>
          <w:lang w:val="es-ES"/>
        </w:rPr>
      </w:pPr>
      <w:r w:rsidRPr="00220AB1">
        <w:rPr>
          <w:rStyle w:val="FootnoteReference"/>
          <w:rFonts w:ascii="Cambria" w:hAnsi="Cambria"/>
          <w:color w:val="000000"/>
          <w:sz w:val="16"/>
          <w:szCs w:val="16"/>
        </w:rPr>
        <w:footnoteRef/>
      </w:r>
      <w:r w:rsidRPr="00220AB1">
        <w:rPr>
          <w:rFonts w:ascii="Cambria" w:hAnsi="Cambria"/>
          <w:color w:val="000000"/>
          <w:sz w:val="16"/>
          <w:szCs w:val="16"/>
          <w:lang w:val="es-ES"/>
        </w:rPr>
        <w:t xml:space="preserve"> CIDH, Informe No. 9</w:t>
      </w:r>
      <w:r>
        <w:rPr>
          <w:rFonts w:ascii="Cambria" w:hAnsi="Cambria"/>
          <w:color w:val="000000"/>
          <w:sz w:val="16"/>
          <w:szCs w:val="16"/>
          <w:lang w:val="es-ES"/>
        </w:rPr>
        <w:t>4</w:t>
      </w:r>
      <w:r w:rsidRPr="00220AB1">
        <w:rPr>
          <w:rFonts w:ascii="Cambria" w:hAnsi="Cambria"/>
          <w:color w:val="000000"/>
          <w:sz w:val="16"/>
          <w:szCs w:val="16"/>
          <w:lang w:val="es-ES"/>
        </w:rPr>
        <w:t>/00, Caso 11.4</w:t>
      </w:r>
      <w:r w:rsidR="001F58D0">
        <w:rPr>
          <w:rFonts w:ascii="Cambria" w:hAnsi="Cambria"/>
          <w:color w:val="000000"/>
          <w:sz w:val="16"/>
          <w:szCs w:val="16"/>
          <w:lang w:val="es-ES"/>
        </w:rPr>
        <w:t>39</w:t>
      </w:r>
      <w:r w:rsidRPr="00220AB1">
        <w:rPr>
          <w:rFonts w:ascii="Cambria" w:hAnsi="Cambria"/>
          <w:color w:val="000000"/>
          <w:sz w:val="16"/>
          <w:szCs w:val="16"/>
          <w:lang w:val="es-ES"/>
        </w:rPr>
        <w:t xml:space="preserve">, Solución amistosa, </w:t>
      </w:r>
      <w:r>
        <w:rPr>
          <w:rFonts w:ascii="Cambria" w:hAnsi="Cambria"/>
          <w:color w:val="000000"/>
          <w:sz w:val="16"/>
          <w:szCs w:val="16"/>
          <w:lang w:val="es-ES"/>
        </w:rPr>
        <w:t>Byron Roberto Cañaveral</w:t>
      </w:r>
      <w:r w:rsidRPr="00220AB1">
        <w:rPr>
          <w:rFonts w:ascii="Cambria" w:hAnsi="Cambria"/>
          <w:color w:val="000000"/>
          <w:sz w:val="16"/>
          <w:szCs w:val="16"/>
          <w:lang w:val="es-ES"/>
        </w:rPr>
        <w:t>, Ecuador, 5 de octubre de 2000.</w:t>
      </w:r>
    </w:p>
  </w:footnote>
  <w:footnote w:id="3">
    <w:p w14:paraId="24B577D9" w14:textId="77777777" w:rsidR="00260BCB" w:rsidRPr="00220AB1" w:rsidRDefault="00260BCB" w:rsidP="0053292A">
      <w:pPr>
        <w:pStyle w:val="FootnoteText"/>
        <w:ind w:firstLine="709"/>
        <w:jc w:val="both"/>
        <w:rPr>
          <w:lang w:val="es-AR"/>
        </w:rPr>
      </w:pPr>
      <w:r w:rsidRPr="00220AB1">
        <w:rPr>
          <w:rStyle w:val="FootnoteReference"/>
          <w:rFonts w:ascii="Cambria" w:hAnsi="Cambria"/>
          <w:sz w:val="16"/>
          <w:szCs w:val="16"/>
        </w:rPr>
        <w:footnoteRef/>
      </w:r>
      <w:r w:rsidRPr="00220AB1">
        <w:rPr>
          <w:rFonts w:ascii="Cambria" w:hAnsi="Cambria"/>
          <w:sz w:val="16"/>
          <w:szCs w:val="16"/>
          <w:lang w:val="es-AR"/>
        </w:rPr>
        <w:t xml:space="preserve"> </w:t>
      </w:r>
      <w:r w:rsidRPr="00220AB1">
        <w:rPr>
          <w:rFonts w:ascii="Cambria" w:hAnsi="Cambria"/>
          <w:color w:val="000000"/>
          <w:sz w:val="16"/>
          <w:szCs w:val="16"/>
          <w:lang w:val="es-ES"/>
        </w:rPr>
        <w:t xml:space="preserve">Ver CIDH, Informe Anual 2020, Capítulo II, Sección F. Negociación e implementación de acuerdos de solución amistosa. </w:t>
      </w:r>
      <w:r w:rsidRPr="00220AB1">
        <w:rPr>
          <w:rFonts w:ascii="Cambria" w:hAnsi="Cambria"/>
          <w:color w:val="000000"/>
          <w:sz w:val="16"/>
          <w:szCs w:val="16"/>
          <w:lang w:val="es-CO"/>
        </w:rPr>
        <w:t xml:space="preserve">Disponible en: </w:t>
      </w:r>
      <w:hyperlink r:id="rId1" w:history="1">
        <w:r w:rsidRPr="00220AB1">
          <w:rPr>
            <w:rStyle w:val="Hyperlink"/>
            <w:rFonts w:ascii="Cambria" w:hAnsi="Cambria"/>
            <w:sz w:val="16"/>
            <w:szCs w:val="16"/>
            <w:lang w:val="es-CO"/>
          </w:rPr>
          <w:t>http://www.oas.org/es/cidh/docs/anual/2020/capitulos/IA2020cap2-es.pdf</w:t>
        </w:r>
      </w:hyperlink>
    </w:p>
  </w:footnote>
  <w:footnote w:id="4">
    <w:p w14:paraId="4A3BC44E" w14:textId="77777777" w:rsidR="00260BCB" w:rsidRPr="00250E33" w:rsidRDefault="00260BCB" w:rsidP="0053292A">
      <w:pPr>
        <w:pStyle w:val="FootnoteText"/>
        <w:ind w:firstLine="720"/>
        <w:jc w:val="both"/>
        <w:rPr>
          <w:rFonts w:ascii="Cambria" w:hAnsi="Cambria"/>
          <w:color w:val="000000"/>
          <w:sz w:val="16"/>
          <w:szCs w:val="16"/>
          <w:lang w:val="es-VE"/>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ES"/>
        </w:rPr>
        <w:t xml:space="preserve"> </w:t>
      </w:r>
      <w:r w:rsidRPr="00250E33">
        <w:rPr>
          <w:rFonts w:ascii="Cambria" w:hAnsi="Cambria"/>
          <w:color w:val="000000"/>
          <w:sz w:val="16"/>
          <w:szCs w:val="16"/>
          <w:lang w:val="es-AR"/>
        </w:rPr>
        <w:t>Ver CIDH, Informe Anual 2016, Capítulo II, Sección D: Estado de Cumplimiento de las Recomendaciones  y Soluciones Amistosas en casos individuales,  párrs. 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9717F7">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9717F7"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17F7"/>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5B9F"/>
    <w:rsid w:val="00B56493"/>
    <w:rsid w:val="00B7028A"/>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9609D"/>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1EC4"/>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439.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dh.oas.org/annualrep/2003sp/Argentina.11804.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6.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2023-03-03T22:09:00Z</dcterms:created>
  <dcterms:modified xsi:type="dcterms:W3CDTF">2023-03-03T22:09:00Z</dcterms:modified>
</cp:coreProperties>
</file>