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06922" w14:textId="53329220" w:rsidR="002277F5" w:rsidRPr="004E3E07" w:rsidRDefault="007E25FF">
      <w:pPr>
        <w:spacing w:after="240" w:line="240" w:lineRule="auto"/>
        <w:jc w:val="center"/>
        <w:rPr>
          <w:rFonts w:ascii="Cambria" w:eastAsia="Cambria" w:hAnsi="Cambria" w:cs="Cambria"/>
          <w:b/>
          <w:sz w:val="32"/>
          <w:szCs w:val="32"/>
          <w:lang w:val="es-MX"/>
        </w:rPr>
      </w:pPr>
      <w:r w:rsidRPr="004E3E07">
        <w:rPr>
          <w:rFonts w:ascii="Cambria" w:eastAsia="Cambria" w:hAnsi="Cambria" w:cs="Cambria"/>
          <w:b/>
          <w:sz w:val="32"/>
          <w:szCs w:val="32"/>
          <w:lang w:val="es-MX"/>
        </w:rPr>
        <w:t>CAPÍTULO V</w:t>
      </w:r>
    </w:p>
    <w:p w14:paraId="14606923" w14:textId="77777777" w:rsidR="002277F5" w:rsidRPr="004E3E07" w:rsidRDefault="007E25FF">
      <w:pPr>
        <w:spacing w:after="240" w:line="240" w:lineRule="auto"/>
        <w:jc w:val="center"/>
        <w:rPr>
          <w:rFonts w:ascii="Cambria" w:eastAsia="Cambria" w:hAnsi="Cambria" w:cs="Cambria"/>
          <w:b/>
          <w:sz w:val="32"/>
          <w:szCs w:val="32"/>
          <w:lang w:val="es-MX"/>
        </w:rPr>
      </w:pPr>
      <w:r w:rsidRPr="004E3E07">
        <w:rPr>
          <w:rFonts w:ascii="Cambria" w:eastAsia="Cambria" w:hAnsi="Cambria" w:cs="Cambria"/>
          <w:b/>
          <w:sz w:val="32"/>
          <w:szCs w:val="32"/>
          <w:lang w:val="es-MX"/>
        </w:rPr>
        <w:t>SEGUIMIENTO DE RECOMENDACIONES FORMULADAS POR LA CIDH EN SUS INFORMES DE PAÍS O TEMÁTICOS</w:t>
      </w:r>
    </w:p>
    <w:p w14:paraId="14606924" w14:textId="2D649981" w:rsidR="002277F5" w:rsidRPr="004E3E07" w:rsidRDefault="00476B65" w:rsidP="00855023">
      <w:pPr>
        <w:tabs>
          <w:tab w:val="left" w:pos="4111"/>
        </w:tabs>
        <w:spacing w:after="240" w:line="240" w:lineRule="auto"/>
        <w:jc w:val="center"/>
        <w:rPr>
          <w:rFonts w:ascii="Cambria" w:eastAsia="Cambria" w:hAnsi="Cambria" w:cs="Cambria"/>
          <w:b/>
          <w:lang w:val="es-MX"/>
        </w:rPr>
      </w:pPr>
      <w:r w:rsidRPr="004E3E07">
        <w:rPr>
          <w:rFonts w:ascii="Cambria" w:eastAsia="Cambria" w:hAnsi="Cambria" w:cs="Cambria"/>
          <w:b/>
          <w:lang w:val="es-MX"/>
        </w:rPr>
        <w:t>SEXTO</w:t>
      </w:r>
      <w:r w:rsidR="007E25FF" w:rsidRPr="004E3E07">
        <w:rPr>
          <w:rFonts w:ascii="Cambria" w:eastAsia="Cambria" w:hAnsi="Cambria" w:cs="Cambria"/>
          <w:b/>
          <w:lang w:val="es-MX"/>
        </w:rPr>
        <w:t xml:space="preserve"> INFORME DE SEGUIMIENTO DE RECOMENDACIONES FORMULADAS POR LA CIDH EN EL INFORME SOBRE SITUACIÓN DE DERECHOS HUMANOS EN MÉXICO</w:t>
      </w:r>
      <w:r w:rsidR="007E25FF" w:rsidRPr="004E3E07">
        <w:rPr>
          <w:rFonts w:ascii="Cambria" w:eastAsia="Cambria" w:hAnsi="Cambria" w:cs="Cambria"/>
          <w:b/>
          <w:vertAlign w:val="superscript"/>
          <w:lang w:val="es-MX"/>
        </w:rPr>
        <w:footnoteReference w:id="2"/>
      </w:r>
      <w:r w:rsidR="007E25FF" w:rsidRPr="004E3E07">
        <w:rPr>
          <w:rFonts w:ascii="Cambria" w:eastAsia="Cambria" w:hAnsi="Cambria" w:cs="Cambria"/>
          <w:b/>
          <w:vertAlign w:val="superscript"/>
          <w:lang w:val="es-MX"/>
        </w:rPr>
        <w:t>*</w:t>
      </w:r>
    </w:p>
    <w:p w14:paraId="14606925" w14:textId="77777777" w:rsidR="002277F5" w:rsidRPr="004E3E07" w:rsidRDefault="007E25FF">
      <w:pPr>
        <w:pStyle w:val="Heading1"/>
        <w:spacing w:before="280" w:after="280"/>
        <w:rPr>
          <w:lang w:val="es-MX"/>
        </w:rPr>
      </w:pPr>
      <w:r w:rsidRPr="004E3E07">
        <w:rPr>
          <w:lang w:val="es-MX"/>
        </w:rPr>
        <w:t>INTRODUCCIÓN</w:t>
      </w:r>
    </w:p>
    <w:p w14:paraId="14606926" w14:textId="074A9556" w:rsidR="002277F5" w:rsidRPr="004E3E07" w:rsidRDefault="007E25FF" w:rsidP="004E3E07">
      <w:pPr>
        <w:numPr>
          <w:ilvl w:val="0"/>
          <w:numId w:val="5"/>
        </w:numPr>
        <w:spacing w:after="240" w:line="240" w:lineRule="auto"/>
        <w:ind w:left="0" w:firstLine="720"/>
        <w:jc w:val="both"/>
        <w:rPr>
          <w:rFonts w:ascii="Cambria" w:eastAsia="Cambria" w:hAnsi="Cambria" w:cs="Cambria"/>
          <w:sz w:val="20"/>
          <w:szCs w:val="20"/>
          <w:lang w:val="es-MX"/>
        </w:rPr>
      </w:pPr>
      <w:r w:rsidRPr="004E3E07">
        <w:rPr>
          <w:rFonts w:ascii="Cambria" w:eastAsia="Cambria" w:hAnsi="Cambria" w:cs="Cambria"/>
          <w:sz w:val="20"/>
          <w:szCs w:val="20"/>
          <w:lang w:val="es-MX"/>
        </w:rPr>
        <w:t>El presente capítulo tiene como objetivo dar seguimiento a las recomendaciones emitidas en el informe “Situación de Derechos Humanos en México”, aprobado el 31 de diciembre de 2015 por la Comisión Interamericana de Derechos Humanos (“la Comisión”, “la Comisión Interamericana” o “la CIDH”) en cumplimiento al inciso 9 del artículo 59 de su Reglamento. Conforme a dicha disposición, a través del Capítulo V de su Informe Anual, la Comisión dará seguimiento a las medidas adoptadas para dar cumplimiento a las recomendaciones formuladas en el Informe de País. A través de dicho seguimiento, se abordan los principales problemas actuales identificados en materia de derechos humanos de los Estados Unidos Mexicanos (“México”, “Estado mexicano” o “Estado”). Estos están relacionados con inseguridad ciudadana y militarización, desapariciones, tortura, acceso a la justicia e impunidad, situación de la libertad de expresión, así como la situación de grupos particulares en este contexto.</w:t>
      </w:r>
    </w:p>
    <w:p w14:paraId="14606927" w14:textId="2F629B69" w:rsidR="002277F5" w:rsidRPr="004E3E07" w:rsidRDefault="007E25FF" w:rsidP="004E3E07">
      <w:pPr>
        <w:numPr>
          <w:ilvl w:val="0"/>
          <w:numId w:val="5"/>
        </w:numPr>
        <w:spacing w:after="240" w:line="240" w:lineRule="auto"/>
        <w:ind w:left="0" w:firstLine="720"/>
        <w:jc w:val="both"/>
        <w:rPr>
          <w:rFonts w:ascii="Cambria" w:eastAsia="Cambria" w:hAnsi="Cambria" w:cs="Cambria"/>
          <w:sz w:val="20"/>
          <w:szCs w:val="20"/>
          <w:lang w:val="es-MX"/>
        </w:rPr>
      </w:pPr>
      <w:r w:rsidRPr="004E3E07">
        <w:rPr>
          <w:rFonts w:ascii="Cambria" w:eastAsia="Cambria" w:hAnsi="Cambria" w:cs="Cambria"/>
          <w:sz w:val="20"/>
          <w:szCs w:val="20"/>
          <w:lang w:val="es-MX"/>
        </w:rPr>
        <w:t xml:space="preserve">A invitación de los Estados Unidos Mexicanos (“México”, “Estado mexicano” o “Estado”), la CIDH realizó una visita </w:t>
      </w:r>
      <w:r w:rsidRPr="004E3E07">
        <w:rPr>
          <w:rFonts w:ascii="Cambria" w:eastAsia="Cambria" w:hAnsi="Cambria" w:cs="Cambria"/>
          <w:i/>
          <w:iCs/>
          <w:sz w:val="20"/>
          <w:szCs w:val="20"/>
          <w:lang w:val="es-MX"/>
        </w:rPr>
        <w:t>in loco</w:t>
      </w:r>
      <w:r w:rsidRPr="004E3E07">
        <w:rPr>
          <w:rFonts w:ascii="Cambria" w:eastAsia="Cambria" w:hAnsi="Cambria" w:cs="Cambria"/>
          <w:sz w:val="20"/>
          <w:szCs w:val="20"/>
          <w:lang w:val="es-MX"/>
        </w:rPr>
        <w:t xml:space="preserve"> al país entre el 28 de septiembre y el 3 de octubre de 2015. La CIDH preparó el Informe sobre la Situación de Derechos Humanos en México, con una serie de recomendaciones al Estado mexicano, valiéndose de los hallazgos e información obtenida antes, durante y con posterioridad a la visita </w:t>
      </w:r>
      <w:r w:rsidRPr="004E3E07">
        <w:rPr>
          <w:rFonts w:ascii="Cambria" w:eastAsia="Cambria" w:hAnsi="Cambria" w:cs="Cambria"/>
          <w:i/>
          <w:iCs/>
          <w:sz w:val="20"/>
          <w:szCs w:val="20"/>
          <w:lang w:val="es-MX"/>
        </w:rPr>
        <w:t>in loco</w:t>
      </w:r>
      <w:r w:rsidRPr="004E3E07">
        <w:rPr>
          <w:rFonts w:ascii="Cambria" w:eastAsia="Cambria" w:hAnsi="Cambria" w:cs="Cambria"/>
          <w:sz w:val="20"/>
          <w:szCs w:val="20"/>
          <w:lang w:val="es-MX"/>
        </w:rPr>
        <w:t xml:space="preserve">. Asimismo, se basó en las investigaciones realizadas de oficio, la información proporcionada por el Estado, los insumos provenientes de los diferentes mecanismos a través de los cuales la CIDH ha dado seguimiento a la situación en el país, así como notas periodísticas, decisiones y recomendaciones de organismos internacionales especializados, entre otros, conforme a lo establecido por el artículo 59 inciso 5 de su Reglamento. </w:t>
      </w:r>
    </w:p>
    <w:p w14:paraId="14606928" w14:textId="77777777" w:rsidR="002277F5" w:rsidRPr="004E3E07" w:rsidRDefault="007E25FF" w:rsidP="004E3E07">
      <w:pPr>
        <w:numPr>
          <w:ilvl w:val="0"/>
          <w:numId w:val="5"/>
        </w:numPr>
        <w:spacing w:after="240" w:line="240" w:lineRule="auto"/>
        <w:ind w:left="0" w:firstLine="720"/>
        <w:jc w:val="both"/>
        <w:rPr>
          <w:rFonts w:ascii="Cambria" w:eastAsia="Cambria" w:hAnsi="Cambria" w:cs="Cambria"/>
          <w:sz w:val="20"/>
          <w:szCs w:val="20"/>
          <w:lang w:val="es-MX"/>
        </w:rPr>
      </w:pPr>
      <w:r w:rsidRPr="004E3E07">
        <w:rPr>
          <w:rFonts w:ascii="Cambria" w:eastAsia="Cambria" w:hAnsi="Cambria" w:cs="Cambria"/>
          <w:sz w:val="20"/>
          <w:szCs w:val="20"/>
          <w:lang w:val="es-MX"/>
        </w:rPr>
        <w:t>En el Informe de País la Comisión señaló que México atravesaba una grave crisis de violencia e inseguridad desde hacía varios años. La CIDH identificó graves situaciones de violencia que aumentaron desde la llamada “guerra contra el narcotráfico” que inició en el año 2006, hasta alcanzar niveles alarmantes, incluyendo la consecuente muerte de más de 100.000 personas desde el 2006, más de 27.000 desapariciones reconocidas por el Estado, más de dos mil investigaciones de casos de tortura y un contexto que ha provocado el desplazamiento de miles de personas en el país. Según el informe, como respuesta al incremento de la violencia, a partir de 2006 las autoridades optaron por aumentar el rol de las Fuerzas Armadas en tareas de seguridad pública, incluyendo una política de confrontación contra el crimen organizado y el despliegue de operativos conjuntos entre las fuerzas armadas y las instituciones de seguridad estatales y municipales. Esta medida desató mayor violencia, así como violaciones graves a los derechos humanos, casos en los cuales la CIDH observó una falta de rendición de cuentas conforme a los estándares internacionales.</w:t>
      </w:r>
    </w:p>
    <w:p w14:paraId="14606929" w14:textId="096EF123" w:rsidR="002277F5" w:rsidRPr="004E3E07" w:rsidRDefault="007E25FF" w:rsidP="004E3E07">
      <w:pPr>
        <w:numPr>
          <w:ilvl w:val="0"/>
          <w:numId w:val="5"/>
        </w:numPr>
        <w:spacing w:after="240" w:line="240" w:lineRule="auto"/>
        <w:ind w:left="0" w:firstLine="720"/>
        <w:jc w:val="both"/>
        <w:rPr>
          <w:rFonts w:ascii="Cambria" w:eastAsia="Cambria" w:hAnsi="Cambria" w:cs="Cambria"/>
          <w:sz w:val="20"/>
          <w:szCs w:val="20"/>
          <w:lang w:val="es-MX"/>
        </w:rPr>
      </w:pPr>
      <w:r w:rsidRPr="004E3E07">
        <w:rPr>
          <w:rFonts w:ascii="Cambria" w:eastAsia="Cambria" w:hAnsi="Cambria" w:cs="Cambria"/>
          <w:sz w:val="20"/>
          <w:szCs w:val="20"/>
          <w:lang w:val="es-MX"/>
        </w:rPr>
        <w:t xml:space="preserve">En un contexto marcado por altos niveles de violencia y de políticas de seguridad que a lo largo de los años han evidenciado resultar ineficaces, la CIDH manifestó en su Informe preocupación particular sobre las denuncias de desapariciones; la desaparición forzada de 43 jóvenes estudiantes de la Normal Rural “Raúl </w:t>
      </w:r>
      <w:r w:rsidRPr="004E3E07">
        <w:rPr>
          <w:rFonts w:ascii="Cambria" w:eastAsia="Cambria" w:hAnsi="Cambria" w:cs="Cambria"/>
          <w:sz w:val="20"/>
          <w:szCs w:val="20"/>
          <w:lang w:val="es-MX"/>
        </w:rPr>
        <w:lastRenderedPageBreak/>
        <w:t>Isidro Burgos” en el estado de Guerrero, el 26 y 27 de septiembre de 2014;</w:t>
      </w:r>
      <w:r w:rsidRPr="004E3E07">
        <w:rPr>
          <w:rFonts w:ascii="Cambria" w:eastAsia="Cambria" w:hAnsi="Cambria" w:cs="Cambria"/>
          <w:b/>
          <w:bCs/>
          <w:sz w:val="20"/>
          <w:szCs w:val="20"/>
          <w:lang w:val="es-MX"/>
        </w:rPr>
        <w:t xml:space="preserve"> </w:t>
      </w:r>
      <w:r w:rsidRPr="004E3E07">
        <w:rPr>
          <w:rFonts w:ascii="Cambria" w:eastAsia="Cambria" w:hAnsi="Cambria" w:cs="Cambria"/>
          <w:sz w:val="20"/>
          <w:szCs w:val="20"/>
          <w:lang w:val="es-MX"/>
        </w:rPr>
        <w:t xml:space="preserve">ejecuciones extrajudiciales y tortura; la situación de inseguridad de las mujeres, la niñez, las personas migrantes, defensoras de derechos humanos y periodistas, quienes son víctimas de asesinatos, desapariciones, secuestros, tortura, amenazas y hostigamientos. La CIDH enfatizó asimismo que México es considerado, uno de los países más peligrosos del mundo para ejercer el periodismo, exceptuando aquéllos que están en guerra. </w:t>
      </w:r>
    </w:p>
    <w:p w14:paraId="1460692A" w14:textId="77777777" w:rsidR="002277F5" w:rsidRPr="004E3E07" w:rsidRDefault="007E25FF" w:rsidP="004E3E07">
      <w:pPr>
        <w:numPr>
          <w:ilvl w:val="0"/>
          <w:numId w:val="5"/>
        </w:numPr>
        <w:spacing w:after="240" w:line="240" w:lineRule="auto"/>
        <w:ind w:left="0" w:firstLine="720"/>
        <w:jc w:val="both"/>
        <w:rPr>
          <w:rFonts w:ascii="Cambria" w:eastAsia="Cambria" w:hAnsi="Cambria" w:cs="Cambria"/>
          <w:sz w:val="20"/>
          <w:szCs w:val="20"/>
          <w:lang w:val="es-MX"/>
        </w:rPr>
      </w:pPr>
      <w:r w:rsidRPr="004E3E07">
        <w:rPr>
          <w:rFonts w:ascii="Cambria" w:eastAsia="Cambria" w:hAnsi="Cambria" w:cs="Cambria"/>
          <w:sz w:val="20"/>
          <w:szCs w:val="20"/>
          <w:lang w:val="es-MX"/>
        </w:rPr>
        <w:t>Durante la visita, la Comisión constató en terreno niveles críticos de impunidad y una atención inadecuada e insuficiente a las víctimas y familiares. La falta de acceso a la justicia ha creado una situación de impunidad de carácter estructural que tiene el efecto de perpetuar y, en ciertos casos, de impulsar la repetición de las graves violaciones a los derechos humanos. Las amenazas, hostigamientos, asesinatos y desapariciones de personas que buscan verdad y justicia han generado un amedrentamiento en la sociedad mexicana, el cual la CIDH constató mediante reiterados testimonios de personas que no denuncian estas violaciones ante las autoridades por temor a represalias, generando un problema grave de subregistro en las cifras oficiales. Las barreras en el acceso a la justicia y la inoperancia, en muchos casos con la impunidad resultante, han debilitado el Estado de Derecho y constituyen desafíos urgentes.</w:t>
      </w:r>
    </w:p>
    <w:p w14:paraId="1460692B" w14:textId="77777777" w:rsidR="002277F5" w:rsidRPr="002B1064" w:rsidRDefault="007E25FF" w:rsidP="004E3E07">
      <w:pPr>
        <w:numPr>
          <w:ilvl w:val="0"/>
          <w:numId w:val="5"/>
        </w:numPr>
        <w:spacing w:after="240" w:line="240" w:lineRule="auto"/>
        <w:ind w:left="0" w:firstLine="720"/>
        <w:jc w:val="both"/>
        <w:rPr>
          <w:rFonts w:ascii="Cambria" w:eastAsia="Cambria" w:hAnsi="Cambria" w:cs="Cambria"/>
          <w:sz w:val="20"/>
          <w:szCs w:val="20"/>
          <w:lang w:val="es-MX"/>
        </w:rPr>
      </w:pPr>
      <w:r w:rsidRPr="004E3E07">
        <w:rPr>
          <w:rFonts w:ascii="Cambria" w:eastAsia="Cambria" w:hAnsi="Cambria" w:cs="Cambria"/>
          <w:sz w:val="20"/>
          <w:szCs w:val="20"/>
          <w:lang w:val="es-MX"/>
        </w:rPr>
        <w:t xml:space="preserve">La Comisión valoró las medidas que el Estado ha tomado para hacer frente a la situación presentada en el Informe. En particular, reconoció las importantes reformas en materia constitucional y legislativa que se han introducido en México a partir de 2011, incluyendo la reforma constitucional y los protocolos recientemente aprobados para la investigación de casos de tortura y desaparición forzada, así como otras iniciativas señaladas en el informe. Sin perjuicio de los avances, la respuesta estatal continuó enfrentando </w:t>
      </w:r>
      <w:r w:rsidRPr="002B1064">
        <w:rPr>
          <w:rFonts w:ascii="Cambria" w:eastAsia="Cambria" w:hAnsi="Cambria" w:cs="Cambria"/>
          <w:sz w:val="20"/>
          <w:szCs w:val="20"/>
          <w:lang w:val="es-MX"/>
        </w:rPr>
        <w:t xml:space="preserve">deficiencias, insuficiencias y obstáculos en su implementación. La CIDH constató una profunda brecha entre el andamiaje legislativo y judicial, y la realidad cotidiana que viven millones de personas en el país, en relación a su acceso a la justicia, la prevención del delito y otras iniciativas gubernamentales. La CIDH señaló que el gran desafío del Estado mexicano radica en romper el ciclo de impunidad imperante a fin de lograr una efectiva investigación, procesamiento y sanción de los responsables de violaciones de derechos humanos. </w:t>
      </w:r>
    </w:p>
    <w:p w14:paraId="1460692C" w14:textId="1053EA05" w:rsidR="002277F5" w:rsidRPr="002B1064" w:rsidRDefault="007E25FF" w:rsidP="004E3E07">
      <w:pPr>
        <w:numPr>
          <w:ilvl w:val="0"/>
          <w:numId w:val="5"/>
        </w:numPr>
        <w:spacing w:after="240" w:line="240" w:lineRule="auto"/>
        <w:ind w:left="0" w:firstLine="720"/>
        <w:jc w:val="both"/>
        <w:rPr>
          <w:rFonts w:ascii="Cambria" w:eastAsia="Cambria" w:hAnsi="Cambria" w:cs="Cambria"/>
          <w:sz w:val="20"/>
          <w:szCs w:val="20"/>
          <w:lang w:val="es-MX"/>
        </w:rPr>
      </w:pPr>
      <w:r w:rsidRPr="002B1064">
        <w:rPr>
          <w:rFonts w:ascii="Cambria" w:eastAsia="Cambria" w:hAnsi="Cambria" w:cs="Cambria"/>
          <w:sz w:val="20"/>
          <w:szCs w:val="20"/>
          <w:lang w:val="es-MX"/>
        </w:rPr>
        <w:t>El primer, segundo, tercer, cuarto y quinto Informe de Seguimiento a las Recomendaciones emitidas en el Informe de País correspondientes al año 2016, 2017, 2018 2019 y 2020, respectivamente, incluyeron en lo pertinente, las observaciones recibidas del Estado mexicano y de la sociedad civil.</w:t>
      </w:r>
    </w:p>
    <w:p w14:paraId="1460692D" w14:textId="77777777" w:rsidR="002277F5" w:rsidRPr="002B1064" w:rsidRDefault="007E25FF" w:rsidP="004E3E07">
      <w:pPr>
        <w:numPr>
          <w:ilvl w:val="0"/>
          <w:numId w:val="5"/>
        </w:numPr>
        <w:spacing w:after="240" w:line="240" w:lineRule="auto"/>
        <w:ind w:left="0" w:firstLine="720"/>
        <w:jc w:val="both"/>
        <w:rPr>
          <w:rFonts w:ascii="Cambria" w:eastAsia="Cambria" w:hAnsi="Cambria" w:cs="Cambria"/>
          <w:sz w:val="20"/>
          <w:szCs w:val="20"/>
          <w:lang w:val="es-MX"/>
        </w:rPr>
      </w:pPr>
      <w:r w:rsidRPr="002B1064">
        <w:rPr>
          <w:rFonts w:ascii="Cambria" w:eastAsia="Cambria" w:hAnsi="Cambria" w:cs="Cambria"/>
          <w:sz w:val="20"/>
          <w:szCs w:val="20"/>
          <w:lang w:val="es-MX"/>
        </w:rPr>
        <w:t>Para este informe, mediante comunicación de fecha 23 de septiembre de 2021, la CIDH solicitó al Estado mexicano presentar la información sobre el cumplimiento de las recomendaciones contenidas en el Informe de País respecto al año 2021. La respuesta del Estado fue recibida el 22 de octubre de 2021</w:t>
      </w:r>
      <w:r w:rsidRPr="002B1064">
        <w:rPr>
          <w:rFonts w:ascii="Cambria" w:eastAsia="Cambria" w:hAnsi="Cambria" w:cs="Cambria"/>
          <w:sz w:val="20"/>
          <w:szCs w:val="20"/>
          <w:vertAlign w:val="superscript"/>
          <w:lang w:val="es-MX"/>
        </w:rPr>
        <w:footnoteReference w:id="3"/>
      </w:r>
      <w:r w:rsidRPr="002B1064">
        <w:rPr>
          <w:rFonts w:ascii="Cambria" w:eastAsia="Cambria" w:hAnsi="Cambria" w:cs="Cambria"/>
          <w:sz w:val="20"/>
          <w:szCs w:val="20"/>
          <w:lang w:val="es-MX"/>
        </w:rPr>
        <w:t>. La Comisión valora y agradece la información recibida, que en lo pertinente fue incluida en el presente informe. Asimismo, la CIDH agradece la información suministrada por organizaciones de la sociedad civil</w:t>
      </w:r>
      <w:r w:rsidRPr="002B1064">
        <w:rPr>
          <w:rFonts w:ascii="Cambria" w:eastAsia="Cambria" w:hAnsi="Cambria" w:cs="Cambria"/>
          <w:sz w:val="20"/>
          <w:szCs w:val="20"/>
          <w:vertAlign w:val="superscript"/>
          <w:lang w:val="es-MX"/>
        </w:rPr>
        <w:footnoteReference w:id="4"/>
      </w:r>
      <w:r w:rsidRPr="002B1064">
        <w:rPr>
          <w:rFonts w:ascii="Cambria" w:eastAsia="Cambria" w:hAnsi="Cambria" w:cs="Cambria"/>
          <w:sz w:val="20"/>
          <w:szCs w:val="20"/>
          <w:lang w:val="es-MX"/>
        </w:rPr>
        <w:t>.</w:t>
      </w:r>
    </w:p>
    <w:p w14:paraId="1460692E" w14:textId="47384134" w:rsidR="002277F5" w:rsidRPr="002B1064" w:rsidRDefault="007E25FF" w:rsidP="004E3E07">
      <w:pPr>
        <w:numPr>
          <w:ilvl w:val="0"/>
          <w:numId w:val="5"/>
        </w:numPr>
        <w:spacing w:after="240" w:line="240" w:lineRule="auto"/>
        <w:ind w:left="0" w:firstLine="720"/>
        <w:jc w:val="both"/>
        <w:rPr>
          <w:rFonts w:ascii="Cambria" w:eastAsia="Cambria" w:hAnsi="Cambria" w:cs="Cambria"/>
          <w:sz w:val="20"/>
          <w:szCs w:val="20"/>
          <w:lang w:val="es-MX"/>
        </w:rPr>
      </w:pPr>
      <w:r w:rsidRPr="002B1064">
        <w:rPr>
          <w:rFonts w:ascii="Cambria" w:eastAsia="Cambria" w:hAnsi="Cambria" w:cs="Cambria"/>
          <w:sz w:val="20"/>
          <w:szCs w:val="20"/>
          <w:lang w:val="es-MX"/>
        </w:rPr>
        <w:t>En su informe sobre el cumplimiento de recomendaciones de 2021, el Est</w:t>
      </w:r>
      <w:r w:rsidR="0070500F" w:rsidRPr="002B1064">
        <w:rPr>
          <w:rFonts w:ascii="Cambria" w:eastAsia="Cambria" w:hAnsi="Cambria" w:cs="Cambria"/>
          <w:sz w:val="20"/>
          <w:szCs w:val="20"/>
          <w:lang w:val="es-MX"/>
        </w:rPr>
        <w:t xml:space="preserve">ado mexicano indicó </w:t>
      </w:r>
      <w:r w:rsidRPr="002B1064">
        <w:rPr>
          <w:rFonts w:ascii="Cambria" w:eastAsia="Cambria" w:hAnsi="Cambria" w:cs="Cambria"/>
          <w:sz w:val="20"/>
          <w:szCs w:val="20"/>
          <w:lang w:val="es-MX"/>
        </w:rPr>
        <w:t xml:space="preserve">a la CIDH que “en cumplimiento a la política exterior transformadora de México, el Estado presenta una actualización al cumplimiento de las 80 recomendaciones emitidas en el Informe [de la CIDH]” y también señaló que instaba nuevamente a la Comisión a considerar “la vigencia y los términos en los que [las recomendaciones] fueron emitidas, desde hace 5 años cuando esa Comisión realizó su visita </w:t>
      </w:r>
      <w:r w:rsidRPr="002B1064">
        <w:rPr>
          <w:rFonts w:ascii="Cambria" w:eastAsia="Cambria" w:hAnsi="Cambria" w:cs="Cambria"/>
          <w:i/>
          <w:iCs/>
          <w:sz w:val="20"/>
          <w:szCs w:val="20"/>
          <w:lang w:val="es-MX"/>
        </w:rPr>
        <w:t xml:space="preserve">in loco </w:t>
      </w:r>
      <w:r w:rsidRPr="002B1064">
        <w:rPr>
          <w:rFonts w:ascii="Cambria" w:eastAsia="Cambria" w:hAnsi="Cambria" w:cs="Cambria"/>
          <w:sz w:val="20"/>
          <w:szCs w:val="20"/>
          <w:lang w:val="es-MX"/>
        </w:rPr>
        <w:t>a [México] y aprobó el Informe (…), así como el contexto específico de México”</w:t>
      </w:r>
      <w:r w:rsidRPr="002B1064">
        <w:rPr>
          <w:rFonts w:ascii="Cambria" w:eastAsia="Cambria" w:hAnsi="Cambria" w:cs="Cambria"/>
          <w:sz w:val="20"/>
          <w:szCs w:val="20"/>
          <w:vertAlign w:val="superscript"/>
          <w:lang w:val="es-MX"/>
        </w:rPr>
        <w:footnoteReference w:id="5"/>
      </w:r>
      <w:r w:rsidRPr="002B1064">
        <w:rPr>
          <w:rFonts w:ascii="Cambria" w:eastAsia="Cambria" w:hAnsi="Cambria" w:cs="Cambria"/>
          <w:sz w:val="20"/>
          <w:szCs w:val="20"/>
          <w:lang w:val="es-MX"/>
        </w:rPr>
        <w:t>.</w:t>
      </w:r>
    </w:p>
    <w:p w14:paraId="1460692F" w14:textId="642D4722" w:rsidR="002277F5" w:rsidRPr="002B1064" w:rsidRDefault="007E25FF" w:rsidP="004E3E07">
      <w:pPr>
        <w:numPr>
          <w:ilvl w:val="0"/>
          <w:numId w:val="5"/>
        </w:numPr>
        <w:spacing w:after="240" w:line="240" w:lineRule="auto"/>
        <w:ind w:left="0" w:firstLine="720"/>
        <w:jc w:val="both"/>
        <w:rPr>
          <w:rFonts w:ascii="Cambria" w:eastAsia="Cambria" w:hAnsi="Cambria" w:cs="Cambria"/>
          <w:sz w:val="20"/>
          <w:szCs w:val="20"/>
          <w:lang w:val="es-MX"/>
        </w:rPr>
      </w:pPr>
      <w:r w:rsidRPr="002B1064">
        <w:rPr>
          <w:rFonts w:ascii="Cambria" w:eastAsia="Cambria" w:hAnsi="Cambria" w:cs="Cambria"/>
          <w:sz w:val="20"/>
          <w:szCs w:val="20"/>
          <w:lang w:val="es-MX"/>
        </w:rPr>
        <w:lastRenderedPageBreak/>
        <w:t>Asimismo, de conformidad con el numeral 10 del artículo 59 de su Reglamento,</w:t>
      </w:r>
      <w:r w:rsidR="007B69C1" w:rsidRPr="002B1064">
        <w:rPr>
          <w:rFonts w:ascii="Cambria" w:eastAsia="Cambria" w:hAnsi="Cambria" w:cs="Cambria"/>
          <w:sz w:val="20"/>
          <w:szCs w:val="20"/>
          <w:lang w:val="es-MX"/>
        </w:rPr>
        <w:t xml:space="preserve"> el 3 de enero de 2022</w:t>
      </w:r>
      <w:r w:rsidRPr="002B1064">
        <w:rPr>
          <w:rFonts w:ascii="Cambria" w:eastAsia="Cambria" w:hAnsi="Cambria" w:cs="Cambria"/>
          <w:sz w:val="20"/>
          <w:szCs w:val="20"/>
          <w:lang w:val="es-MX"/>
        </w:rPr>
        <w:t xml:space="preserve"> la CIDH transmitió el presente informe al Estado mexicano para sus comentarios </w:t>
      </w:r>
      <w:r w:rsidR="007B69C1" w:rsidRPr="002B1064">
        <w:rPr>
          <w:rFonts w:ascii="Cambria" w:eastAsia="Cambria" w:hAnsi="Cambria" w:cs="Cambria"/>
          <w:sz w:val="20"/>
          <w:szCs w:val="20"/>
          <w:lang w:val="es-MX"/>
        </w:rPr>
        <w:t>en un plazo de 3 semanas</w:t>
      </w:r>
      <w:r w:rsidRPr="002B1064">
        <w:rPr>
          <w:rFonts w:ascii="Cambria" w:eastAsia="Cambria" w:hAnsi="Cambria" w:cs="Cambria"/>
          <w:sz w:val="20"/>
          <w:szCs w:val="20"/>
          <w:lang w:val="es-MX"/>
        </w:rPr>
        <w:t xml:space="preserve">. El </w:t>
      </w:r>
      <w:r w:rsidR="007B69C1" w:rsidRPr="002B1064">
        <w:rPr>
          <w:rFonts w:ascii="Cambria" w:eastAsia="Cambria" w:hAnsi="Cambria" w:cs="Cambria"/>
          <w:sz w:val="20"/>
          <w:szCs w:val="20"/>
          <w:lang w:val="es-MX"/>
        </w:rPr>
        <w:t>24 de enero de 2022</w:t>
      </w:r>
      <w:r w:rsidRPr="002B1064">
        <w:rPr>
          <w:rFonts w:ascii="Cambria" w:eastAsia="Cambria" w:hAnsi="Cambria" w:cs="Cambria"/>
          <w:sz w:val="20"/>
          <w:szCs w:val="20"/>
          <w:lang w:val="es-MX"/>
        </w:rPr>
        <w:t>, el Estado remitió sus observaciones</w:t>
      </w:r>
      <w:r w:rsidRPr="002B1064">
        <w:rPr>
          <w:rFonts w:ascii="Cambria" w:eastAsia="Cambria" w:hAnsi="Cambria" w:cs="Cambria"/>
          <w:sz w:val="20"/>
          <w:szCs w:val="20"/>
          <w:vertAlign w:val="superscript"/>
          <w:lang w:val="es-MX"/>
        </w:rPr>
        <w:footnoteReference w:id="6"/>
      </w:r>
      <w:r w:rsidRPr="002B1064">
        <w:rPr>
          <w:rFonts w:ascii="Cambria" w:eastAsia="Cambria" w:hAnsi="Cambria" w:cs="Cambria"/>
          <w:sz w:val="20"/>
          <w:szCs w:val="20"/>
          <w:lang w:val="es-MX"/>
        </w:rPr>
        <w:t xml:space="preserve"> cuyas partes pertinentes fueron incorporadas en la versión final del presente informe</w:t>
      </w:r>
      <w:r w:rsidR="00D200AD" w:rsidRPr="002B1064">
        <w:rPr>
          <w:rFonts w:ascii="Cambria" w:eastAsia="Cambria" w:hAnsi="Cambria" w:cs="Cambria"/>
          <w:sz w:val="20"/>
          <w:szCs w:val="20"/>
          <w:lang w:val="es-MX"/>
        </w:rPr>
        <w:t xml:space="preserve"> aprobado por la CIDH el 23 de febrero de 2022</w:t>
      </w:r>
      <w:r w:rsidRPr="002B1064">
        <w:rPr>
          <w:rFonts w:ascii="Cambria" w:eastAsia="Cambria" w:hAnsi="Cambria" w:cs="Cambria"/>
          <w:sz w:val="20"/>
          <w:szCs w:val="20"/>
          <w:lang w:val="es-MX"/>
        </w:rPr>
        <w:t>.</w:t>
      </w:r>
    </w:p>
    <w:p w14:paraId="1E0BB4B5" w14:textId="3CC48CF3" w:rsidR="007B69C1" w:rsidRPr="000B5BE7" w:rsidRDefault="007E25FF" w:rsidP="007B69C1">
      <w:pPr>
        <w:numPr>
          <w:ilvl w:val="0"/>
          <w:numId w:val="5"/>
        </w:numPr>
        <w:spacing w:after="240" w:line="240" w:lineRule="auto"/>
        <w:ind w:left="0" w:firstLine="720"/>
        <w:jc w:val="both"/>
        <w:rPr>
          <w:rFonts w:ascii="Cambria" w:eastAsia="Cambria" w:hAnsi="Cambria" w:cs="Cambria"/>
          <w:sz w:val="20"/>
          <w:szCs w:val="20"/>
          <w:lang w:val="es-MX"/>
        </w:rPr>
      </w:pPr>
      <w:r w:rsidRPr="000B5BE7">
        <w:rPr>
          <w:rFonts w:ascii="Cambria" w:eastAsia="Cambria" w:hAnsi="Cambria" w:cs="Cambria"/>
          <w:sz w:val="20"/>
          <w:szCs w:val="20"/>
          <w:lang w:val="es-MX"/>
        </w:rPr>
        <w:t>En sus observaciones al proyecto del pres</w:t>
      </w:r>
      <w:r w:rsidR="0070500F" w:rsidRPr="000B5BE7">
        <w:rPr>
          <w:rFonts w:ascii="Cambria" w:eastAsia="Cambria" w:hAnsi="Cambria" w:cs="Cambria"/>
          <w:sz w:val="20"/>
          <w:szCs w:val="20"/>
          <w:lang w:val="es-MX"/>
        </w:rPr>
        <w:t xml:space="preserve">ente informe, el Estado reiteró </w:t>
      </w:r>
      <w:r w:rsidRPr="000B5BE7">
        <w:rPr>
          <w:rFonts w:ascii="Cambria" w:eastAsia="Cambria" w:hAnsi="Cambria" w:cs="Cambria"/>
          <w:sz w:val="20"/>
          <w:szCs w:val="20"/>
          <w:lang w:val="es-MX"/>
        </w:rPr>
        <w:t xml:space="preserve">“su plena disposición de dar atención a todas las recomendaciones emitidas por ese órgano interamericano para lo cual toma nota de la valoración que realiza sobre el nivel de cumplimiento”. Asimismo, </w:t>
      </w:r>
      <w:r w:rsidR="007B69C1" w:rsidRPr="000B5BE7">
        <w:rPr>
          <w:rFonts w:ascii="Cambria" w:eastAsia="Cambria" w:hAnsi="Cambria" w:cs="Cambria"/>
          <w:sz w:val="20"/>
          <w:szCs w:val="20"/>
          <w:lang w:val="es-MX"/>
        </w:rPr>
        <w:t>reiter</w:t>
      </w:r>
      <w:r w:rsidR="007B69C1" w:rsidRPr="000B5BE7">
        <w:rPr>
          <w:rFonts w:ascii="Cambria" w:eastAsia="Cambria" w:hAnsi="Cambria" w:cs="Cambria"/>
          <w:sz w:val="20"/>
          <w:szCs w:val="20"/>
        </w:rPr>
        <w:t>ó a la CIDH “tener en cuenta el contexto específico de México para revisar los términos en los que fueron emitidas las recomendaciones e valuar su vigencia y pertinencia”</w:t>
      </w:r>
      <w:r w:rsidRPr="000B5BE7">
        <w:rPr>
          <w:rFonts w:ascii="Cambria" w:eastAsia="Cambria" w:hAnsi="Cambria" w:cs="Cambria"/>
          <w:sz w:val="20"/>
          <w:szCs w:val="20"/>
          <w:vertAlign w:val="superscript"/>
          <w:lang w:val="es-MX"/>
        </w:rPr>
        <w:footnoteReference w:id="7"/>
      </w:r>
      <w:r w:rsidRPr="000B5BE7">
        <w:rPr>
          <w:rFonts w:ascii="Cambria" w:eastAsia="Cambria" w:hAnsi="Cambria" w:cs="Cambria"/>
          <w:sz w:val="20"/>
          <w:szCs w:val="20"/>
          <w:lang w:val="es-MX"/>
        </w:rPr>
        <w:t>.</w:t>
      </w:r>
      <w:r w:rsidR="007B69C1" w:rsidRPr="000B5BE7">
        <w:rPr>
          <w:rFonts w:ascii="Cambria" w:eastAsia="Cambria" w:hAnsi="Cambria" w:cs="Cambria"/>
          <w:sz w:val="20"/>
          <w:szCs w:val="20"/>
          <w:lang w:val="es-MX"/>
        </w:rPr>
        <w:t xml:space="preserve">  Asimismo, México renovó “su compromiso para fortalecer la colaboración y el diálogo con la Comisión para la efectiva ejecución de sus funciones de promoción y protección de los derechos humanos, en la atención de las recomendaciones del informe sobre la “Situación de los Derechos Humanos en México”, así como a través de  la  participación activa y amplia remisión de información en el marco de los procedimientos derivados del artículo 41 de la Convención Americana sobre Derechos Humanos, las audiencias públicas temáticas en las que participa, el envío de información a las Relatorías temáticas; la atención a peticiones, casos, cumplimientos de acuerdos de solución amistosa e informes de fondo, medidas cautelares y solicitudes de información para medidas cautelares”</w:t>
      </w:r>
      <w:r w:rsidR="007B69C1" w:rsidRPr="000B5BE7">
        <w:rPr>
          <w:rStyle w:val="FootnoteReference"/>
          <w:rFonts w:ascii="Cambria" w:eastAsia="Cambria" w:hAnsi="Cambria" w:cs="Cambria"/>
          <w:sz w:val="20"/>
          <w:szCs w:val="20"/>
          <w:lang w:val="es-MX"/>
        </w:rPr>
        <w:footnoteReference w:id="8"/>
      </w:r>
      <w:r w:rsidR="007B69C1" w:rsidRPr="000B5BE7">
        <w:rPr>
          <w:rFonts w:ascii="Cambria" w:eastAsia="Cambria" w:hAnsi="Cambria" w:cs="Cambria"/>
          <w:sz w:val="20"/>
          <w:szCs w:val="20"/>
          <w:lang w:val="es-MX"/>
        </w:rPr>
        <w:t>.</w:t>
      </w:r>
    </w:p>
    <w:p w14:paraId="14606931" w14:textId="20A65836" w:rsidR="002277F5" w:rsidRPr="004E3E07" w:rsidRDefault="007E25FF" w:rsidP="004E3E07">
      <w:pPr>
        <w:numPr>
          <w:ilvl w:val="0"/>
          <w:numId w:val="5"/>
        </w:numPr>
        <w:spacing w:after="240" w:line="240" w:lineRule="auto"/>
        <w:ind w:left="0" w:firstLine="720"/>
        <w:jc w:val="both"/>
        <w:rPr>
          <w:rFonts w:ascii="Cambria" w:eastAsia="Cambria" w:hAnsi="Cambria" w:cs="Cambria"/>
          <w:sz w:val="20"/>
          <w:szCs w:val="20"/>
          <w:lang w:val="es-MX"/>
        </w:rPr>
      </w:pPr>
      <w:r w:rsidRPr="004E3E07">
        <w:rPr>
          <w:rFonts w:ascii="Cambria" w:eastAsia="Cambria" w:hAnsi="Cambria" w:cs="Cambria"/>
          <w:sz w:val="20"/>
          <w:szCs w:val="20"/>
          <w:lang w:val="es-MX"/>
        </w:rPr>
        <w:t>El presente informe de seguimiento se divide en siete secciones dedicadas a la consideración de las medidas adoptadas por el Estado para dar cumplimiento a las recomendaciones de la Comisión y los desafíos pendientes. Las recomendaciones son evaluadas de acuerdo con las Directrices generales de seguimiento de recomendaciones y decisiones de la CIDH</w:t>
      </w:r>
      <w:r w:rsidRPr="004E3E07">
        <w:rPr>
          <w:rFonts w:ascii="Cambria" w:eastAsia="Cambria" w:hAnsi="Cambria" w:cs="Cambria"/>
          <w:sz w:val="20"/>
          <w:szCs w:val="20"/>
          <w:vertAlign w:val="superscript"/>
          <w:lang w:val="es-MX"/>
        </w:rPr>
        <w:footnoteReference w:id="9"/>
      </w:r>
      <w:r w:rsidRPr="004E3E07">
        <w:rPr>
          <w:rFonts w:ascii="Cambria" w:eastAsia="Cambria" w:hAnsi="Cambria" w:cs="Cambria"/>
          <w:sz w:val="20"/>
          <w:szCs w:val="20"/>
          <w:lang w:val="es-MX"/>
        </w:rPr>
        <w:t xml:space="preserve"> siguiendo la estructura ut</w:t>
      </w:r>
      <w:r w:rsidR="004E3E07" w:rsidRPr="004E3E07">
        <w:rPr>
          <w:rFonts w:ascii="Cambria" w:eastAsia="Cambria" w:hAnsi="Cambria" w:cs="Cambria"/>
          <w:sz w:val="20"/>
          <w:szCs w:val="20"/>
          <w:lang w:val="es-MX"/>
        </w:rPr>
        <w:t>ilizada en el informe de la Comisión</w:t>
      </w:r>
      <w:r w:rsidRPr="004E3E07">
        <w:rPr>
          <w:rFonts w:ascii="Cambria" w:eastAsia="Cambria" w:hAnsi="Cambria" w:cs="Cambria"/>
          <w:sz w:val="20"/>
          <w:szCs w:val="20"/>
          <w:lang w:val="es-MX"/>
        </w:rPr>
        <w:t xml:space="preserve"> objeto de seguimiento en el presente informe. En cada sección, se refieren las recomendaciones emitidas por la CIDH en los respectivos capítulos y se analizan los principales aspectos de avance y de</w:t>
      </w:r>
      <w:r w:rsidR="004E3E07" w:rsidRPr="004E3E07">
        <w:rPr>
          <w:rFonts w:ascii="Cambria" w:eastAsia="Cambria" w:hAnsi="Cambria" w:cs="Cambria"/>
          <w:sz w:val="20"/>
          <w:szCs w:val="20"/>
          <w:lang w:val="es-MX"/>
        </w:rPr>
        <w:t>safíos identificados por la Comisión</w:t>
      </w:r>
      <w:r w:rsidRPr="004E3E07">
        <w:rPr>
          <w:rFonts w:ascii="Cambria" w:eastAsia="Cambria" w:hAnsi="Cambria" w:cs="Cambria"/>
          <w:sz w:val="20"/>
          <w:szCs w:val="20"/>
          <w:lang w:val="es-MX"/>
        </w:rPr>
        <w:t xml:space="preserve"> a la luz de la información presentada por el Estado y organizaciones de la sociedad civil, así como la información que la Comisión ha recabado en el monitoreo de la situación general de derechos humanos en el país. Para ello, la Comisión se ha valido de la información recibida del Estado durante audiencias públicas, investigaciones realizadas de oficio, de insumos provenientes del mecanismo de peticiones y casos, de medidas cautelares y las solicitudes de información bajo la facultad establecida en el artículo 41 de la Convención Americana sobre Derechos Humanos; así como de la información disponible de otras fuentes públicas y las decisiones y recomendaciones de organismos internacionales especializados, entre otros. Finalmente, la CIDH presenta sus conclusiones y recomendaciones.</w:t>
      </w:r>
    </w:p>
    <w:p w14:paraId="14606932" w14:textId="77777777" w:rsidR="002277F5" w:rsidRPr="004E3E07" w:rsidRDefault="007E25FF">
      <w:pPr>
        <w:pStyle w:val="Heading1"/>
        <w:spacing w:before="280" w:after="280"/>
        <w:rPr>
          <w:lang w:val="es-MX"/>
        </w:rPr>
      </w:pPr>
      <w:r w:rsidRPr="004E3E07">
        <w:rPr>
          <w:lang w:val="es-MX"/>
        </w:rPr>
        <w:t>SEGUIMIENTO DE RECOMENDACIONES</w:t>
      </w:r>
    </w:p>
    <w:p w14:paraId="14606933" w14:textId="77777777" w:rsidR="002277F5" w:rsidRPr="004E3E07" w:rsidRDefault="007E25FF">
      <w:pPr>
        <w:pStyle w:val="Heading2"/>
        <w:rPr>
          <w:sz w:val="20"/>
          <w:lang w:val="es-MX"/>
        </w:rPr>
      </w:pPr>
      <w:r w:rsidRPr="004E3E07">
        <w:rPr>
          <w:sz w:val="20"/>
          <w:lang w:val="es-MX"/>
        </w:rPr>
        <w:t>Seguridad Ciudadana</w:t>
      </w:r>
    </w:p>
    <w:p w14:paraId="14606934" w14:textId="77777777" w:rsidR="002277F5" w:rsidRPr="004E3E07" w:rsidRDefault="007E25FF">
      <w:pPr>
        <w:numPr>
          <w:ilvl w:val="0"/>
          <w:numId w:val="9"/>
        </w:numPr>
        <w:pBdr>
          <w:top w:val="nil"/>
          <w:left w:val="nil"/>
          <w:bottom w:val="nil"/>
          <w:right w:val="nil"/>
          <w:between w:val="nil"/>
        </w:pBdr>
        <w:shd w:val="clear" w:color="auto" w:fill="D9D9D9"/>
        <w:spacing w:after="0" w:line="240" w:lineRule="auto"/>
        <w:ind w:hanging="720"/>
        <w:jc w:val="both"/>
        <w:rPr>
          <w:rFonts w:ascii="Cambria" w:hAnsi="Cambria"/>
          <w:lang w:val="es-MX"/>
        </w:rPr>
      </w:pPr>
      <w:r w:rsidRPr="004E3E07">
        <w:rPr>
          <w:rFonts w:ascii="Cambria" w:eastAsia="Cambria" w:hAnsi="Cambria" w:cs="Cambria"/>
          <w:sz w:val="20"/>
          <w:szCs w:val="20"/>
          <w:lang w:val="es-MX"/>
        </w:rPr>
        <w:t xml:space="preserve">Desarrollar un plan concreto para el retiro gradual de las Fuerzas Armadas de tareas de seguridad pública y para la recuperación de éstas por parte de las policías civiles. </w:t>
      </w:r>
    </w:p>
    <w:p w14:paraId="14606935" w14:textId="77777777" w:rsidR="002277F5" w:rsidRPr="004E3E07" w:rsidRDefault="007E25FF">
      <w:pPr>
        <w:numPr>
          <w:ilvl w:val="0"/>
          <w:numId w:val="9"/>
        </w:numPr>
        <w:pBdr>
          <w:top w:val="nil"/>
          <w:left w:val="nil"/>
          <w:bottom w:val="nil"/>
          <w:right w:val="nil"/>
          <w:between w:val="nil"/>
        </w:pBdr>
        <w:shd w:val="clear" w:color="auto" w:fill="D9D9D9"/>
        <w:spacing w:after="0" w:line="240" w:lineRule="auto"/>
        <w:ind w:hanging="720"/>
        <w:jc w:val="both"/>
        <w:rPr>
          <w:rFonts w:ascii="Cambria" w:hAnsi="Cambria"/>
          <w:lang w:val="es-MX"/>
        </w:rPr>
      </w:pPr>
      <w:r w:rsidRPr="004E3E07">
        <w:rPr>
          <w:rFonts w:ascii="Cambria" w:eastAsia="Cambria" w:hAnsi="Cambria" w:cs="Cambria"/>
          <w:sz w:val="20"/>
          <w:szCs w:val="20"/>
          <w:lang w:val="es-MX"/>
        </w:rPr>
        <w:lastRenderedPageBreak/>
        <w:t>Fortalecer la capacidad de la policía para realizar las tareas de seguridad pública conforme con los estándares internacionales en derechos humanos.</w:t>
      </w:r>
    </w:p>
    <w:p w14:paraId="14606936" w14:textId="77777777" w:rsidR="002277F5" w:rsidRPr="004E3E07" w:rsidRDefault="007E25FF">
      <w:pPr>
        <w:numPr>
          <w:ilvl w:val="0"/>
          <w:numId w:val="9"/>
        </w:numPr>
        <w:pBdr>
          <w:top w:val="nil"/>
          <w:left w:val="nil"/>
          <w:bottom w:val="nil"/>
          <w:right w:val="nil"/>
          <w:between w:val="nil"/>
        </w:pBdr>
        <w:shd w:val="clear" w:color="auto" w:fill="D9D9D9"/>
        <w:spacing w:after="0" w:line="240" w:lineRule="auto"/>
        <w:ind w:hanging="720"/>
        <w:jc w:val="both"/>
        <w:rPr>
          <w:rFonts w:ascii="Cambria" w:hAnsi="Cambria"/>
          <w:lang w:val="es-MX"/>
        </w:rPr>
      </w:pPr>
      <w:r w:rsidRPr="004E3E07">
        <w:rPr>
          <w:rFonts w:ascii="Cambria" w:eastAsia="Cambria" w:hAnsi="Cambria" w:cs="Cambria"/>
          <w:sz w:val="20"/>
          <w:szCs w:val="20"/>
          <w:lang w:val="es-MX"/>
        </w:rPr>
        <w:t>Adoptar una Ley General sobre el Uso de la Fuerza conforme a los estándares internacionales en materia de derechos humanos.</w:t>
      </w:r>
    </w:p>
    <w:p w14:paraId="14606937" w14:textId="77777777" w:rsidR="002277F5" w:rsidRPr="004E3E07" w:rsidRDefault="007E25FF">
      <w:pPr>
        <w:numPr>
          <w:ilvl w:val="0"/>
          <w:numId w:val="9"/>
        </w:numPr>
        <w:pBdr>
          <w:top w:val="nil"/>
          <w:left w:val="nil"/>
          <w:bottom w:val="nil"/>
          <w:right w:val="nil"/>
          <w:between w:val="nil"/>
        </w:pBdr>
        <w:shd w:val="clear" w:color="auto" w:fill="D9D9D9"/>
        <w:spacing w:after="0" w:line="240" w:lineRule="auto"/>
        <w:ind w:hanging="720"/>
        <w:jc w:val="both"/>
        <w:rPr>
          <w:rFonts w:ascii="Cambria" w:hAnsi="Cambria"/>
          <w:lang w:val="es-MX"/>
        </w:rPr>
      </w:pPr>
      <w:r w:rsidRPr="004E3E07">
        <w:rPr>
          <w:rFonts w:ascii="Cambria" w:eastAsia="Cambria" w:hAnsi="Cambria" w:cs="Cambria"/>
          <w:sz w:val="20"/>
          <w:szCs w:val="20"/>
          <w:lang w:val="es-MX"/>
        </w:rPr>
        <w:t xml:space="preserve">Tomar medidas para que funcionarios federales y estatales se abstengan de emitir declaraciones públicas sobre la legalidad de la actuación de las fuerzas de seguridad en casos que puedan constituir un uso indebido de la fuerza antes de contar con los resultados de una investigación. </w:t>
      </w:r>
    </w:p>
    <w:p w14:paraId="14606938" w14:textId="77777777" w:rsidR="002277F5" w:rsidRPr="004E3E07" w:rsidRDefault="007E25FF">
      <w:pPr>
        <w:numPr>
          <w:ilvl w:val="0"/>
          <w:numId w:val="9"/>
        </w:numPr>
        <w:pBdr>
          <w:top w:val="nil"/>
          <w:left w:val="nil"/>
          <w:bottom w:val="nil"/>
          <w:right w:val="nil"/>
          <w:between w:val="nil"/>
        </w:pBdr>
        <w:shd w:val="clear" w:color="auto" w:fill="D9D9D9"/>
        <w:spacing w:after="0" w:line="240" w:lineRule="auto"/>
        <w:ind w:hanging="720"/>
        <w:jc w:val="both"/>
        <w:rPr>
          <w:rFonts w:ascii="Cambria" w:hAnsi="Cambria"/>
          <w:lang w:val="es-MX"/>
        </w:rPr>
      </w:pPr>
      <w:r w:rsidRPr="004E3E07">
        <w:rPr>
          <w:rFonts w:ascii="Cambria" w:eastAsia="Cambria" w:hAnsi="Cambria" w:cs="Cambria"/>
          <w:sz w:val="20"/>
          <w:szCs w:val="20"/>
          <w:lang w:val="es-MX"/>
        </w:rPr>
        <w:t>Adoptar e implementar medidas de rendición de cuentas por un cuerpo independiente de todas las fuerzas de seguridad en relación a operativos y tareas de seguridad pública en donde haya privación de la vida.</w:t>
      </w:r>
    </w:p>
    <w:p w14:paraId="14606939" w14:textId="77777777" w:rsidR="002277F5" w:rsidRPr="004E3E07" w:rsidRDefault="007E25FF">
      <w:pPr>
        <w:numPr>
          <w:ilvl w:val="0"/>
          <w:numId w:val="9"/>
        </w:numPr>
        <w:pBdr>
          <w:top w:val="nil"/>
          <w:left w:val="nil"/>
          <w:bottom w:val="nil"/>
          <w:right w:val="nil"/>
          <w:between w:val="nil"/>
        </w:pBdr>
        <w:shd w:val="clear" w:color="auto" w:fill="D9D9D9"/>
        <w:spacing w:after="0" w:line="240" w:lineRule="auto"/>
        <w:ind w:hanging="720"/>
        <w:jc w:val="both"/>
        <w:rPr>
          <w:rFonts w:ascii="Cambria" w:hAnsi="Cambria"/>
          <w:lang w:val="es-MX"/>
        </w:rPr>
      </w:pPr>
      <w:r w:rsidRPr="004E3E07">
        <w:rPr>
          <w:rFonts w:ascii="Cambria" w:eastAsia="Cambria" w:hAnsi="Cambria" w:cs="Cambria"/>
          <w:sz w:val="20"/>
          <w:szCs w:val="20"/>
          <w:lang w:val="es-MX"/>
        </w:rPr>
        <w:t>Asegurar que, en casos de desaparición forzada, ejecuciones extrajudiciales y tortura, las líneas de investigación no sólo respondan a la autoría material, sino que incluya la responsabilidad de la cadena de mando.</w:t>
      </w:r>
    </w:p>
    <w:p w14:paraId="1460693A" w14:textId="77777777" w:rsidR="002277F5" w:rsidRPr="004E3E07" w:rsidRDefault="007E25FF">
      <w:pPr>
        <w:numPr>
          <w:ilvl w:val="0"/>
          <w:numId w:val="9"/>
        </w:numPr>
        <w:pBdr>
          <w:top w:val="nil"/>
          <w:left w:val="nil"/>
          <w:bottom w:val="nil"/>
          <w:right w:val="nil"/>
          <w:between w:val="nil"/>
        </w:pBdr>
        <w:shd w:val="clear" w:color="auto" w:fill="D9D9D9"/>
        <w:spacing w:after="0" w:line="240" w:lineRule="auto"/>
        <w:ind w:hanging="720"/>
        <w:jc w:val="both"/>
        <w:rPr>
          <w:rFonts w:ascii="Cambria" w:hAnsi="Cambria"/>
          <w:lang w:val="es-MX"/>
        </w:rPr>
      </w:pPr>
      <w:r w:rsidRPr="004E3E07">
        <w:rPr>
          <w:rFonts w:ascii="Cambria" w:eastAsia="Cambria" w:hAnsi="Cambria" w:cs="Cambria"/>
          <w:sz w:val="20"/>
          <w:szCs w:val="20"/>
          <w:lang w:val="es-MX"/>
        </w:rPr>
        <w:t>Crear sistemas de información, recopilación y análisis de datos respecto de la violencia que afecta a los distintos grupos abordados en el presente informe como mujeres, niñas, niños y adolescentes, personas migrantes, defensoras y defensores de derechos humanos, operadores de justicia, personas LGBT, pueblos indígenas y personas privadas de libertad.</w:t>
      </w:r>
    </w:p>
    <w:p w14:paraId="1460693B" w14:textId="77777777" w:rsidR="002277F5" w:rsidRPr="004E3E07" w:rsidRDefault="007E25FF">
      <w:pPr>
        <w:numPr>
          <w:ilvl w:val="0"/>
          <w:numId w:val="9"/>
        </w:numPr>
        <w:pBdr>
          <w:top w:val="nil"/>
          <w:left w:val="nil"/>
          <w:bottom w:val="nil"/>
          <w:right w:val="nil"/>
          <w:between w:val="nil"/>
        </w:pBdr>
        <w:shd w:val="clear" w:color="auto" w:fill="D9D9D9"/>
        <w:spacing w:after="0" w:line="240" w:lineRule="auto"/>
        <w:ind w:hanging="720"/>
        <w:jc w:val="both"/>
        <w:rPr>
          <w:rFonts w:ascii="Cambria" w:hAnsi="Cambria"/>
          <w:lang w:val="es-MX"/>
        </w:rPr>
      </w:pPr>
      <w:r w:rsidRPr="004E3E07">
        <w:rPr>
          <w:rFonts w:ascii="Cambria" w:eastAsia="Cambria" w:hAnsi="Cambria" w:cs="Cambria"/>
          <w:sz w:val="20"/>
          <w:szCs w:val="20"/>
          <w:lang w:val="es-MX"/>
        </w:rPr>
        <w:t>Reorientar el abordaje del tema de drogas en México de un enfoque de militarización y “combate frontal” usando la fuerza pública, a uno con perspectiva integral, de derechos humanos y salud pública sobre las adicciones y el consumo sin fines de distribución.</w:t>
      </w:r>
    </w:p>
    <w:p w14:paraId="1460693C" w14:textId="77777777" w:rsidR="002277F5" w:rsidRPr="004E3E07" w:rsidRDefault="002277F5" w:rsidP="00064A28">
      <w:pPr>
        <w:pBdr>
          <w:top w:val="nil"/>
          <w:left w:val="nil"/>
          <w:bottom w:val="nil"/>
          <w:right w:val="nil"/>
          <w:between w:val="nil"/>
        </w:pBdr>
        <w:shd w:val="clear" w:color="auto" w:fill="FFFFFF"/>
        <w:spacing w:after="0" w:line="240" w:lineRule="auto"/>
        <w:ind w:right="720"/>
        <w:jc w:val="both"/>
        <w:rPr>
          <w:rFonts w:ascii="Cambria" w:eastAsia="Cambria" w:hAnsi="Cambria" w:cs="Cambria"/>
          <w:sz w:val="20"/>
          <w:szCs w:val="20"/>
          <w:lang w:val="es-MX"/>
        </w:rPr>
      </w:pPr>
    </w:p>
    <w:p w14:paraId="1460693D" w14:textId="5D7BF289" w:rsidR="002277F5" w:rsidRPr="004E3E07" w:rsidRDefault="007E25FF" w:rsidP="004E3E07">
      <w:pPr>
        <w:numPr>
          <w:ilvl w:val="0"/>
          <w:numId w:val="5"/>
        </w:numPr>
        <w:spacing w:after="240" w:line="240" w:lineRule="auto"/>
        <w:ind w:left="0" w:firstLine="720"/>
        <w:jc w:val="both"/>
        <w:rPr>
          <w:rFonts w:ascii="Cambria" w:eastAsia="Cambria" w:hAnsi="Cambria" w:cs="Cambria"/>
          <w:sz w:val="20"/>
          <w:szCs w:val="20"/>
          <w:lang w:val="es-MX"/>
        </w:rPr>
      </w:pPr>
      <w:r w:rsidRPr="004E3E07">
        <w:rPr>
          <w:rFonts w:ascii="Cambria" w:eastAsia="Cambria" w:hAnsi="Cambria" w:cs="Cambria"/>
          <w:sz w:val="20"/>
          <w:szCs w:val="20"/>
          <w:lang w:val="es-MX"/>
        </w:rPr>
        <w:t xml:space="preserve">A continuación, la CIDH se referirá a las dos primeras recomendaciones de la presente sección: </w:t>
      </w:r>
      <w:r w:rsidRPr="004E3E07">
        <w:rPr>
          <w:rFonts w:ascii="Cambria" w:eastAsia="Cambria" w:hAnsi="Cambria" w:cs="Cambria"/>
          <w:b/>
          <w:bCs/>
          <w:sz w:val="20"/>
          <w:szCs w:val="20"/>
          <w:lang w:val="es-MX"/>
        </w:rPr>
        <w:t xml:space="preserve">desarrollar un plan concreto para el retiro gradual de las Fuerzas Armadas de tareas de seguridad pública </w:t>
      </w:r>
      <w:r w:rsidRPr="004E3E07">
        <w:rPr>
          <w:rFonts w:ascii="Cambria" w:eastAsia="Cambria" w:hAnsi="Cambria" w:cs="Cambria"/>
          <w:sz w:val="20"/>
          <w:szCs w:val="20"/>
          <w:lang w:val="es-MX"/>
        </w:rPr>
        <w:t xml:space="preserve">y </w:t>
      </w:r>
      <w:r w:rsidRPr="004E3E07">
        <w:rPr>
          <w:rFonts w:ascii="Cambria" w:eastAsia="Cambria" w:hAnsi="Cambria" w:cs="Cambria"/>
          <w:b/>
          <w:bCs/>
          <w:sz w:val="20"/>
          <w:szCs w:val="20"/>
          <w:lang w:val="es-MX"/>
        </w:rPr>
        <w:t>fortalecer la capacidad de la policía para realizar las tareas de seguridad pública conforme los estándares internacionales en derechos humanos</w:t>
      </w:r>
      <w:r w:rsidRPr="004E3E07">
        <w:rPr>
          <w:rFonts w:ascii="Cambria" w:eastAsia="Cambria" w:hAnsi="Cambria" w:cs="Cambria"/>
          <w:sz w:val="20"/>
          <w:szCs w:val="20"/>
          <w:lang w:val="es-MX"/>
        </w:rPr>
        <w:t xml:space="preserve">. Al respecto, el Estado dio cuenta del proceso de modificaciones constitucionales en materia de seguridad ciudadana que dio lugar a la creación de la Guardia Nacional (GN) cuya Ley fue publicada el 27 de mayo de 2019. El Estado destacó que “la creación de la GN tiene como finalidad contar con una fuerza de carácter civil y policial que atienda los retos de seguridad que enfrenta el país, sustituyendo de manera paulatina a las fuerzas armadas en esta función", aunque no reportó avances específicos para el período del 2021 respecto de la implementación y desarrollo normativo en el </w:t>
      </w:r>
      <w:r w:rsidR="4B94DB12" w:rsidRPr="004E3E07">
        <w:rPr>
          <w:rFonts w:ascii="Cambria" w:eastAsia="Cambria" w:hAnsi="Cambria" w:cs="Cambria"/>
          <w:sz w:val="20"/>
          <w:szCs w:val="20"/>
          <w:lang w:val="es-MX"/>
        </w:rPr>
        <w:t>ejercicio</w:t>
      </w:r>
      <w:r w:rsidRPr="004E3E07">
        <w:rPr>
          <w:rFonts w:ascii="Cambria" w:eastAsia="Cambria" w:hAnsi="Cambria" w:cs="Cambria"/>
          <w:sz w:val="20"/>
          <w:szCs w:val="20"/>
          <w:lang w:val="es-MX"/>
        </w:rPr>
        <w:t xml:space="preserve"> de funciones de la GN</w:t>
      </w:r>
      <w:r w:rsidRPr="004E3E07">
        <w:rPr>
          <w:rFonts w:ascii="Cambria" w:eastAsia="Cambria" w:hAnsi="Cambria" w:cs="Cambria"/>
          <w:sz w:val="20"/>
          <w:szCs w:val="20"/>
          <w:vertAlign w:val="superscript"/>
          <w:lang w:val="es-MX"/>
        </w:rPr>
        <w:footnoteReference w:id="10"/>
      </w:r>
      <w:r w:rsidRPr="004E3E07">
        <w:rPr>
          <w:rFonts w:ascii="Cambria" w:eastAsia="Cambria" w:hAnsi="Cambria" w:cs="Cambria"/>
          <w:sz w:val="20"/>
          <w:szCs w:val="20"/>
          <w:lang w:val="es-MX"/>
        </w:rPr>
        <w:t>.</w:t>
      </w:r>
    </w:p>
    <w:p w14:paraId="1460693E" w14:textId="77777777" w:rsidR="002277F5" w:rsidRPr="004E3E07" w:rsidRDefault="007E25FF" w:rsidP="004E3E07">
      <w:pPr>
        <w:numPr>
          <w:ilvl w:val="0"/>
          <w:numId w:val="5"/>
        </w:numPr>
        <w:spacing w:after="240" w:line="240" w:lineRule="auto"/>
        <w:ind w:left="0" w:firstLine="720"/>
        <w:jc w:val="both"/>
        <w:rPr>
          <w:rFonts w:ascii="Cambria" w:eastAsia="Cambria" w:hAnsi="Cambria" w:cs="Cambria"/>
          <w:sz w:val="20"/>
          <w:szCs w:val="20"/>
          <w:lang w:val="es-MX"/>
        </w:rPr>
      </w:pPr>
      <w:r w:rsidRPr="004E3E07">
        <w:rPr>
          <w:rFonts w:ascii="Cambria" w:eastAsia="Cambria" w:hAnsi="Cambria" w:cs="Cambria"/>
          <w:sz w:val="20"/>
          <w:szCs w:val="20"/>
          <w:lang w:val="es-MX"/>
        </w:rPr>
        <w:t>En relación con la recomendación sobre el fortalecimiento de la capacidad de la policía en materia de seguridad ciudadana y derechos humanos, el Estado informó avances en la implementación del Acuerdo Marco firmado con la Oficina de la Alta Comisionada de las Naciones Unidas para los Derechos Humanos (OACNUDH) para brindar asistencia técnica y asesoría para la formación de la Guardia Nacional en derechos humanos y su acción de acuerdo a estándares internacionales de derechos humanos. Según lo informado, desde el 2021 se cuenta con una hoja de ruta para su ejecución. En este sentido, el Estado informó de la creación de dos Grupos Técnicos sobre Capacitación y de Revisión de Casos a cargo de la Secretaría de Seguridad Protección Ciudadana (SSPC) para avanzar con la formación de la GN en materia de derechos humanos, elaboración de materiales de capacitación, y de la construcción de indicadores de cumplimiento para evaluar el impacto de dichas capacitaciones</w:t>
      </w:r>
      <w:r w:rsidRPr="004E3E07">
        <w:rPr>
          <w:rFonts w:ascii="Cambria" w:eastAsia="Cambria" w:hAnsi="Cambria" w:cs="Cambria"/>
          <w:sz w:val="20"/>
          <w:szCs w:val="20"/>
          <w:vertAlign w:val="superscript"/>
          <w:lang w:val="es-MX"/>
        </w:rPr>
        <w:footnoteReference w:id="11"/>
      </w:r>
      <w:r w:rsidRPr="004E3E07">
        <w:rPr>
          <w:rFonts w:ascii="Cambria" w:eastAsia="Cambria" w:hAnsi="Cambria" w:cs="Cambria"/>
          <w:sz w:val="20"/>
          <w:szCs w:val="20"/>
          <w:lang w:val="es-MX"/>
        </w:rPr>
        <w:t xml:space="preserve">. </w:t>
      </w:r>
    </w:p>
    <w:p w14:paraId="1460693F" w14:textId="70D49067" w:rsidR="002277F5" w:rsidRPr="004E3E07" w:rsidRDefault="007E25FF" w:rsidP="004E3E07">
      <w:pPr>
        <w:numPr>
          <w:ilvl w:val="0"/>
          <w:numId w:val="5"/>
        </w:numPr>
        <w:spacing w:after="240" w:line="240" w:lineRule="auto"/>
        <w:ind w:left="0" w:firstLine="720"/>
        <w:jc w:val="both"/>
        <w:rPr>
          <w:rFonts w:ascii="Cambria" w:eastAsia="Cambria" w:hAnsi="Cambria" w:cs="Cambria"/>
          <w:lang w:val="es-MX"/>
        </w:rPr>
      </w:pPr>
      <w:r w:rsidRPr="004E3E07">
        <w:rPr>
          <w:rFonts w:ascii="Cambria" w:eastAsia="Cambria" w:hAnsi="Cambria" w:cs="Cambria"/>
          <w:sz w:val="20"/>
          <w:szCs w:val="20"/>
          <w:lang w:val="es-MX"/>
        </w:rPr>
        <w:t>Asimismo, el Estado informó que el Grupo Técnico de Capacitación está trabajando en un manual sobre el uso de la fuerza</w:t>
      </w:r>
      <w:r w:rsidR="00E15D7F">
        <w:rPr>
          <w:rFonts w:ascii="Cambria" w:eastAsia="Cambria" w:hAnsi="Cambria" w:cs="Cambria"/>
          <w:sz w:val="20"/>
          <w:szCs w:val="20"/>
          <w:lang w:val="es-MX"/>
        </w:rPr>
        <w:t xml:space="preserve"> que</w:t>
      </w:r>
      <w:r w:rsidRPr="004E3E07">
        <w:rPr>
          <w:rFonts w:ascii="Cambria" w:eastAsia="Cambria" w:hAnsi="Cambria" w:cs="Cambria"/>
          <w:sz w:val="20"/>
          <w:szCs w:val="20"/>
          <w:lang w:val="es-MX"/>
        </w:rPr>
        <w:t xml:space="preserve"> funcionará como base para el desarrollo de una serie de cursos en derecho</w:t>
      </w:r>
      <w:r w:rsidR="00E15D7F">
        <w:rPr>
          <w:rFonts w:ascii="Cambria" w:eastAsia="Cambria" w:hAnsi="Cambria" w:cs="Cambria"/>
          <w:sz w:val="20"/>
          <w:szCs w:val="20"/>
          <w:lang w:val="es-MX"/>
        </w:rPr>
        <w:t xml:space="preserve">s humanos al personal de la GN </w:t>
      </w:r>
      <w:r w:rsidRPr="004E3E07">
        <w:rPr>
          <w:rFonts w:ascii="Cambria" w:eastAsia="Cambria" w:hAnsi="Cambria" w:cs="Cambria"/>
          <w:sz w:val="20"/>
          <w:szCs w:val="20"/>
          <w:lang w:val="es-MX"/>
        </w:rPr>
        <w:t xml:space="preserve">con la asistencia del Comité Internacional de la Cruz Roja (CICR). El primer curso </w:t>
      </w:r>
      <w:r w:rsidRPr="004E3E07">
        <w:rPr>
          <w:rFonts w:ascii="Cambria" w:eastAsia="Cambria" w:hAnsi="Cambria" w:cs="Cambria"/>
          <w:sz w:val="20"/>
          <w:szCs w:val="20"/>
          <w:lang w:val="es-MX"/>
        </w:rPr>
        <w:lastRenderedPageBreak/>
        <w:t>piloto sobre el uso de la fuerza a elementos de la GN se realizó en junio de 2021, según la información proporcionada por el Estado</w:t>
      </w:r>
      <w:r w:rsidRPr="004E3E07">
        <w:rPr>
          <w:rFonts w:ascii="Cambria" w:eastAsia="Cambria" w:hAnsi="Cambria" w:cs="Cambria"/>
          <w:sz w:val="20"/>
          <w:szCs w:val="20"/>
          <w:vertAlign w:val="superscript"/>
          <w:lang w:val="es-MX"/>
        </w:rPr>
        <w:footnoteReference w:id="12"/>
      </w:r>
      <w:r w:rsidRPr="004E3E07">
        <w:rPr>
          <w:rFonts w:ascii="Cambria" w:eastAsia="Cambria" w:hAnsi="Cambria" w:cs="Cambria"/>
          <w:sz w:val="20"/>
          <w:szCs w:val="20"/>
          <w:lang w:val="es-MX"/>
        </w:rPr>
        <w:t xml:space="preserve">. </w:t>
      </w:r>
    </w:p>
    <w:p w14:paraId="14606940" w14:textId="06696F2D" w:rsidR="002277F5" w:rsidRPr="004E3E07" w:rsidRDefault="007E25FF" w:rsidP="004E3E07">
      <w:pPr>
        <w:numPr>
          <w:ilvl w:val="0"/>
          <w:numId w:val="5"/>
        </w:numPr>
        <w:spacing w:after="240" w:line="240" w:lineRule="auto"/>
        <w:ind w:left="0" w:firstLine="720"/>
        <w:jc w:val="both"/>
        <w:rPr>
          <w:rFonts w:ascii="Cambria" w:eastAsia="Cambria" w:hAnsi="Cambria" w:cs="Cambria"/>
          <w:lang w:val="es-MX"/>
        </w:rPr>
      </w:pPr>
      <w:r w:rsidRPr="004E3E07">
        <w:rPr>
          <w:rFonts w:ascii="Cambria" w:eastAsia="Cambria" w:hAnsi="Cambria" w:cs="Cambria"/>
          <w:sz w:val="20"/>
          <w:szCs w:val="20"/>
          <w:lang w:val="es-MX"/>
        </w:rPr>
        <w:t>Con respecto al Grupo Técnico de Revisión de Casos, el Estado indicó que el mismo analizará los casos sobre presuntas violaciones a derechos humanos que involucran elementos de la GN. Este grupo concluyó con la revisión de un primer caso sobre Migrantes en la Estación de Tren Siglo XXI. Finalmente, el Estado señaló que actualmente se viene coordinando con organizaciones de derech</w:t>
      </w:r>
      <w:r w:rsidR="00E15D7F">
        <w:rPr>
          <w:rFonts w:ascii="Cambria" w:eastAsia="Cambria" w:hAnsi="Cambria" w:cs="Cambria"/>
          <w:sz w:val="20"/>
          <w:szCs w:val="20"/>
          <w:lang w:val="es-MX"/>
        </w:rPr>
        <w:t>os humanos la revisión de la mall</w:t>
      </w:r>
      <w:r w:rsidRPr="004E3E07">
        <w:rPr>
          <w:rFonts w:ascii="Cambria" w:eastAsia="Cambria" w:hAnsi="Cambria" w:cs="Cambria"/>
          <w:sz w:val="20"/>
          <w:szCs w:val="20"/>
          <w:lang w:val="es-MX"/>
        </w:rPr>
        <w:t>a curricular vigente de la GN en materia de migración, feminicidio, desaparición forza</w:t>
      </w:r>
      <w:r w:rsidR="0089310E">
        <w:rPr>
          <w:rFonts w:ascii="Cambria" w:eastAsia="Cambria" w:hAnsi="Cambria" w:cs="Cambria"/>
          <w:sz w:val="20"/>
          <w:szCs w:val="20"/>
          <w:lang w:val="es-MX"/>
        </w:rPr>
        <w:t xml:space="preserve">da, </w:t>
      </w:r>
      <w:r w:rsidRPr="004E3E07">
        <w:rPr>
          <w:rFonts w:ascii="Cambria" w:eastAsia="Cambria" w:hAnsi="Cambria" w:cs="Cambria"/>
          <w:sz w:val="20"/>
          <w:szCs w:val="20"/>
          <w:lang w:val="es-MX"/>
        </w:rPr>
        <w:t>entre otras áreas de oportunidad de mejora</w:t>
      </w:r>
      <w:r w:rsidRPr="004E3E07">
        <w:rPr>
          <w:rFonts w:ascii="Cambria" w:eastAsia="Cambria" w:hAnsi="Cambria" w:cs="Cambria"/>
          <w:sz w:val="20"/>
          <w:szCs w:val="20"/>
          <w:vertAlign w:val="superscript"/>
          <w:lang w:val="es-MX"/>
        </w:rPr>
        <w:footnoteReference w:id="13"/>
      </w:r>
      <w:r w:rsidRPr="004E3E07">
        <w:rPr>
          <w:rFonts w:ascii="Cambria" w:eastAsia="Cambria" w:hAnsi="Cambria" w:cs="Cambria"/>
          <w:sz w:val="20"/>
          <w:szCs w:val="20"/>
          <w:lang w:val="es-MX"/>
        </w:rPr>
        <w:t xml:space="preserve">. </w:t>
      </w:r>
    </w:p>
    <w:p w14:paraId="14606941" w14:textId="36F66A61" w:rsidR="002277F5" w:rsidRPr="004E3E07" w:rsidRDefault="007E25FF" w:rsidP="004E3E07">
      <w:pPr>
        <w:numPr>
          <w:ilvl w:val="0"/>
          <w:numId w:val="5"/>
        </w:numPr>
        <w:spacing w:after="240" w:line="240" w:lineRule="auto"/>
        <w:ind w:left="0" w:firstLine="720"/>
        <w:jc w:val="both"/>
        <w:rPr>
          <w:rFonts w:ascii="Cambria" w:eastAsia="Cambria" w:hAnsi="Cambria" w:cs="Cambria"/>
          <w:sz w:val="20"/>
          <w:szCs w:val="20"/>
          <w:lang w:val="es-MX"/>
        </w:rPr>
      </w:pPr>
      <w:r w:rsidRPr="004E3E07">
        <w:rPr>
          <w:rFonts w:ascii="Cambria" w:eastAsia="Cambria" w:hAnsi="Cambria" w:cs="Cambria"/>
          <w:sz w:val="20"/>
          <w:szCs w:val="20"/>
          <w:lang w:val="es-MX"/>
        </w:rPr>
        <w:t xml:space="preserve">La CIDH </w:t>
      </w:r>
      <w:r w:rsidR="00F33F3B">
        <w:rPr>
          <w:rFonts w:ascii="Cambria" w:eastAsia="Cambria" w:hAnsi="Cambria" w:cs="Cambria"/>
          <w:sz w:val="20"/>
          <w:szCs w:val="20"/>
          <w:lang w:val="es-MX"/>
        </w:rPr>
        <w:t>nota</w:t>
      </w:r>
      <w:r w:rsidRPr="004E3E07">
        <w:rPr>
          <w:rFonts w:ascii="Cambria" w:eastAsia="Cambria" w:hAnsi="Cambria" w:cs="Cambria"/>
          <w:sz w:val="20"/>
          <w:szCs w:val="20"/>
          <w:lang w:val="es-MX"/>
        </w:rPr>
        <w:t xml:space="preserve"> que la OACNUDH en México se pronunció positivamente sobre la decisión del Instituto Nacional de Transparencia, Acceso a la Información y Protección de Datos Personales (INAI) de exigir a la GN la elaboración y entrega de la versión pública de los informes sobre el uso de la fuerza enunciados en la Ley Nacional sobre el Uso de la Fuerza. Asimismo, el mencionado órgano de Naciones Unidas reconoció la disponibilidad de la GN para dar acceso al INAI de la información solicitada</w:t>
      </w:r>
      <w:r w:rsidRPr="004E3E07">
        <w:rPr>
          <w:rFonts w:ascii="Cambria" w:eastAsia="Cambria" w:hAnsi="Cambria" w:cs="Cambria"/>
          <w:sz w:val="20"/>
          <w:szCs w:val="20"/>
          <w:vertAlign w:val="superscript"/>
          <w:lang w:val="es-MX"/>
        </w:rPr>
        <w:footnoteReference w:id="14"/>
      </w:r>
      <w:r w:rsidRPr="004E3E07">
        <w:rPr>
          <w:rFonts w:ascii="Cambria" w:eastAsia="Cambria" w:hAnsi="Cambria" w:cs="Cambria"/>
          <w:sz w:val="20"/>
          <w:szCs w:val="20"/>
          <w:lang w:val="es-MX"/>
        </w:rPr>
        <w:t xml:space="preserve">. </w:t>
      </w:r>
    </w:p>
    <w:p w14:paraId="14606942" w14:textId="5872E3A5" w:rsidR="002277F5" w:rsidRPr="004E3E07" w:rsidRDefault="007E25FF" w:rsidP="004E3E07">
      <w:pPr>
        <w:numPr>
          <w:ilvl w:val="0"/>
          <w:numId w:val="5"/>
        </w:numPr>
        <w:spacing w:after="240" w:line="240" w:lineRule="auto"/>
        <w:ind w:left="0" w:firstLine="720"/>
        <w:jc w:val="both"/>
        <w:rPr>
          <w:rFonts w:ascii="Cambria" w:eastAsia="Cambria" w:hAnsi="Cambria" w:cs="Cambria"/>
          <w:sz w:val="20"/>
          <w:szCs w:val="20"/>
          <w:lang w:val="es-MX"/>
        </w:rPr>
      </w:pPr>
      <w:r w:rsidRPr="004E3E07">
        <w:rPr>
          <w:rFonts w:ascii="Cambria" w:eastAsia="Cambria" w:hAnsi="Cambria" w:cs="Cambria"/>
          <w:sz w:val="20"/>
          <w:szCs w:val="20"/>
          <w:lang w:val="es-MX"/>
        </w:rPr>
        <w:t>Por su parte, las organizaciones de sociedad civil expresaron su preocupación por las acciones y medidas llevadas a cabo por el Estado</w:t>
      </w:r>
      <w:r w:rsidR="007A7DC1">
        <w:rPr>
          <w:rFonts w:ascii="Cambria" w:eastAsia="Cambria" w:hAnsi="Cambria" w:cs="Cambria"/>
          <w:sz w:val="20"/>
          <w:szCs w:val="20"/>
          <w:lang w:val="es-MX"/>
        </w:rPr>
        <w:t xml:space="preserve"> </w:t>
      </w:r>
      <w:r w:rsidRPr="004E3E07">
        <w:rPr>
          <w:rFonts w:ascii="Cambria" w:eastAsia="Cambria" w:hAnsi="Cambria" w:cs="Cambria"/>
          <w:sz w:val="20"/>
          <w:szCs w:val="20"/>
          <w:lang w:val="es-MX"/>
        </w:rPr>
        <w:t>que han profundizado un modelo de se</w:t>
      </w:r>
      <w:r w:rsidR="007A7DC1">
        <w:rPr>
          <w:rFonts w:ascii="Cambria" w:eastAsia="Cambria" w:hAnsi="Cambria" w:cs="Cambria"/>
          <w:sz w:val="20"/>
          <w:szCs w:val="20"/>
          <w:lang w:val="es-MX"/>
        </w:rPr>
        <w:t>guridad militarizado en México.</w:t>
      </w:r>
      <w:r w:rsidRPr="004E3E07">
        <w:rPr>
          <w:rFonts w:ascii="Cambria" w:eastAsia="Cambria" w:hAnsi="Cambria" w:cs="Cambria"/>
          <w:sz w:val="20"/>
          <w:szCs w:val="20"/>
          <w:lang w:val="es-MX"/>
        </w:rPr>
        <w:t xml:space="preserve"> El Centro PRODH documentó, en su informe “Poder Militar, la Guardia Nacional y los riesgos del renovado protagonismo castrense”</w:t>
      </w:r>
      <w:r w:rsidRPr="004E3E07">
        <w:rPr>
          <w:rFonts w:ascii="Cambria" w:eastAsia="Cambria" w:hAnsi="Cambria" w:cs="Cambria"/>
          <w:sz w:val="20"/>
          <w:szCs w:val="20"/>
          <w:vertAlign w:val="superscript"/>
          <w:lang w:val="es-MX"/>
        </w:rPr>
        <w:footnoteReference w:id="15"/>
      </w:r>
      <w:r w:rsidRPr="004E3E07">
        <w:rPr>
          <w:rFonts w:ascii="Cambria" w:eastAsia="Cambria" w:hAnsi="Cambria" w:cs="Cambria"/>
          <w:sz w:val="20"/>
          <w:szCs w:val="20"/>
          <w:lang w:val="es-MX"/>
        </w:rPr>
        <w:t>, que e</w:t>
      </w:r>
      <w:r w:rsidR="007A7DC1">
        <w:rPr>
          <w:rFonts w:ascii="Cambria" w:eastAsia="Cambria" w:hAnsi="Cambria" w:cs="Cambria"/>
          <w:sz w:val="20"/>
          <w:szCs w:val="20"/>
          <w:lang w:val="es-MX"/>
        </w:rPr>
        <w:t xml:space="preserve">l carácter de la GN no es civil, </w:t>
      </w:r>
      <w:r w:rsidRPr="004E3E07">
        <w:rPr>
          <w:rFonts w:ascii="Cambria" w:eastAsia="Cambria" w:hAnsi="Cambria" w:cs="Cambria"/>
          <w:sz w:val="20"/>
          <w:szCs w:val="20"/>
          <w:lang w:val="es-MX"/>
        </w:rPr>
        <w:t>teniendo una p</w:t>
      </w:r>
      <w:r w:rsidR="007A7DC1">
        <w:rPr>
          <w:rFonts w:ascii="Cambria" w:eastAsia="Cambria" w:hAnsi="Cambria" w:cs="Cambria"/>
          <w:sz w:val="20"/>
          <w:szCs w:val="20"/>
          <w:lang w:val="es-MX"/>
        </w:rPr>
        <w:t xml:space="preserve">redominante estructura militar ya </w:t>
      </w:r>
      <w:r w:rsidRPr="004E3E07">
        <w:rPr>
          <w:rFonts w:ascii="Cambria" w:eastAsia="Cambria" w:hAnsi="Cambria" w:cs="Cambria"/>
          <w:sz w:val="20"/>
          <w:szCs w:val="20"/>
          <w:lang w:val="es-MX"/>
        </w:rPr>
        <w:t xml:space="preserve">que el 75% de su fuerza de extracción es castrense. También indicó que, en los niveles de Comisarios Generales, 32 coordinadores estatales están en manos de las fuerzas armadas, 28 de Secretaría de Defensa Nacional (SEDENA) y 4 de la Secretaría de la Marina (SEMAR). </w:t>
      </w:r>
      <w:r w:rsidR="00736E75">
        <w:rPr>
          <w:rFonts w:ascii="Cambria" w:eastAsia="Cambria" w:hAnsi="Cambria" w:cs="Cambria"/>
          <w:sz w:val="20"/>
          <w:szCs w:val="20"/>
          <w:lang w:val="es-MX"/>
        </w:rPr>
        <w:t xml:space="preserve">La CIDH tomó nota de información </w:t>
      </w:r>
      <w:r w:rsidR="00F33F3B">
        <w:rPr>
          <w:rFonts w:ascii="Cambria" w:eastAsia="Cambria" w:hAnsi="Cambria" w:cs="Cambria"/>
          <w:sz w:val="20"/>
          <w:szCs w:val="20"/>
          <w:lang w:val="es-MX"/>
        </w:rPr>
        <w:t>recibida que indica</w:t>
      </w:r>
      <w:r w:rsidR="006E44FE">
        <w:rPr>
          <w:rFonts w:ascii="Cambria" w:eastAsia="Cambria" w:hAnsi="Cambria" w:cs="Cambria"/>
          <w:sz w:val="20"/>
          <w:szCs w:val="20"/>
          <w:lang w:val="es-MX"/>
        </w:rPr>
        <w:t>ndo</w:t>
      </w:r>
      <w:r w:rsidR="00736E75" w:rsidDel="00F33F3B">
        <w:rPr>
          <w:rFonts w:ascii="Cambria" w:eastAsia="Cambria" w:hAnsi="Cambria" w:cs="Cambria"/>
          <w:sz w:val="20"/>
          <w:szCs w:val="20"/>
          <w:lang w:val="es-MX"/>
        </w:rPr>
        <w:t xml:space="preserve"> que</w:t>
      </w:r>
      <w:r w:rsidR="006E44FE">
        <w:rPr>
          <w:rFonts w:ascii="Cambria" w:eastAsia="Cambria" w:hAnsi="Cambria" w:cs="Cambria"/>
          <w:sz w:val="20"/>
          <w:szCs w:val="20"/>
          <w:lang w:val="es-MX"/>
        </w:rPr>
        <w:t>,</w:t>
      </w:r>
      <w:r w:rsidR="007A7DC1">
        <w:rPr>
          <w:rFonts w:ascii="Cambria" w:eastAsia="Cambria" w:hAnsi="Cambria" w:cs="Cambria"/>
          <w:sz w:val="20"/>
          <w:szCs w:val="20"/>
          <w:lang w:val="es-MX"/>
        </w:rPr>
        <w:t xml:space="preserve"> durante su</w:t>
      </w:r>
      <w:r w:rsidRPr="004E3E07">
        <w:rPr>
          <w:rFonts w:ascii="Cambria" w:eastAsia="Cambria" w:hAnsi="Cambria" w:cs="Cambria"/>
          <w:sz w:val="20"/>
          <w:szCs w:val="20"/>
          <w:lang w:val="es-MX"/>
        </w:rPr>
        <w:t xml:space="preserve"> existencia</w:t>
      </w:r>
      <w:r w:rsidR="007A7DC1">
        <w:rPr>
          <w:rFonts w:ascii="Cambria" w:eastAsia="Cambria" w:hAnsi="Cambria" w:cs="Cambria"/>
          <w:sz w:val="20"/>
          <w:szCs w:val="20"/>
          <w:lang w:val="es-MX"/>
        </w:rPr>
        <w:t xml:space="preserve">, </w:t>
      </w:r>
      <w:r w:rsidRPr="004E3E07">
        <w:rPr>
          <w:rFonts w:ascii="Cambria" w:eastAsia="Cambria" w:hAnsi="Cambria" w:cs="Cambria"/>
          <w:sz w:val="20"/>
          <w:szCs w:val="20"/>
          <w:lang w:val="es-MX"/>
        </w:rPr>
        <w:t>la GN ha recibido un número creciente de denuncias por graves violaciones a los derechos humanos. El Sistema Nacional de Alerta de Violación a los Derechos Humanos reportó 74 quejas entre enero y mediados de abril de 2021</w:t>
      </w:r>
      <w:r w:rsidRPr="004E3E07">
        <w:rPr>
          <w:rFonts w:ascii="Cambria" w:eastAsia="Cambria" w:hAnsi="Cambria" w:cs="Cambria"/>
          <w:sz w:val="20"/>
          <w:szCs w:val="20"/>
          <w:vertAlign w:val="superscript"/>
          <w:lang w:val="es-MX"/>
        </w:rPr>
        <w:footnoteReference w:id="16"/>
      </w:r>
      <w:r w:rsidRPr="004E3E07">
        <w:rPr>
          <w:rFonts w:ascii="Cambria" w:eastAsia="Cambria" w:hAnsi="Cambria" w:cs="Cambria"/>
          <w:sz w:val="20"/>
          <w:szCs w:val="20"/>
          <w:lang w:val="es-MX"/>
        </w:rPr>
        <w:t>. El Centro PRODH también denunció la decisión del Presidente de la República de enviar una inicia</w:t>
      </w:r>
      <w:r w:rsidR="007A7DC1">
        <w:rPr>
          <w:rFonts w:ascii="Cambria" w:eastAsia="Cambria" w:hAnsi="Cambria" w:cs="Cambria"/>
          <w:sz w:val="20"/>
          <w:szCs w:val="20"/>
          <w:lang w:val="es-MX"/>
        </w:rPr>
        <w:t>tiva de reforma para que la GN “</w:t>
      </w:r>
      <w:r w:rsidRPr="004E3E07">
        <w:rPr>
          <w:rFonts w:ascii="Cambria" w:eastAsia="Cambria" w:hAnsi="Cambria" w:cs="Cambria"/>
          <w:sz w:val="20"/>
          <w:szCs w:val="20"/>
          <w:lang w:val="es-MX"/>
        </w:rPr>
        <w:t>forme parte de la Secretaría de la Defensa Nacional</w:t>
      </w:r>
      <w:r w:rsidR="007A7DC1">
        <w:rPr>
          <w:rFonts w:ascii="Cambria" w:eastAsia="Cambria" w:hAnsi="Cambria" w:cs="Cambria"/>
          <w:sz w:val="20"/>
          <w:szCs w:val="20"/>
          <w:lang w:val="es-MX"/>
        </w:rPr>
        <w:t>”</w:t>
      </w:r>
      <w:r w:rsidRPr="004E3E07">
        <w:rPr>
          <w:rFonts w:ascii="Cambria" w:eastAsia="Cambria" w:hAnsi="Cambria" w:cs="Cambria"/>
          <w:sz w:val="20"/>
          <w:szCs w:val="20"/>
          <w:vertAlign w:val="superscript"/>
          <w:lang w:val="es-MX"/>
        </w:rPr>
        <w:footnoteReference w:id="17"/>
      </w:r>
      <w:r w:rsidRPr="004E3E07">
        <w:rPr>
          <w:rFonts w:ascii="Cambria" w:eastAsia="Cambria" w:hAnsi="Cambria" w:cs="Cambria"/>
          <w:sz w:val="20"/>
          <w:szCs w:val="20"/>
          <w:lang w:val="es-MX"/>
        </w:rPr>
        <w:t xml:space="preserve"> implicando un inédi</w:t>
      </w:r>
      <w:r w:rsidR="007A7DC1">
        <w:rPr>
          <w:rFonts w:ascii="Cambria" w:eastAsia="Cambria" w:hAnsi="Cambria" w:cs="Cambria"/>
          <w:sz w:val="20"/>
          <w:szCs w:val="20"/>
          <w:lang w:val="es-MX"/>
        </w:rPr>
        <w:t>to escenario de militarización de carácter permanente y</w:t>
      </w:r>
      <w:r w:rsidRPr="004E3E07">
        <w:rPr>
          <w:rFonts w:ascii="Cambria" w:eastAsia="Cambria" w:hAnsi="Cambria" w:cs="Cambria"/>
          <w:sz w:val="20"/>
          <w:szCs w:val="20"/>
          <w:lang w:val="es-MX"/>
        </w:rPr>
        <w:t xml:space="preserve"> </w:t>
      </w:r>
      <w:r w:rsidR="007A7DC1">
        <w:rPr>
          <w:rFonts w:ascii="Cambria" w:eastAsia="Cambria" w:hAnsi="Cambria" w:cs="Cambria"/>
          <w:sz w:val="20"/>
          <w:szCs w:val="20"/>
          <w:lang w:val="es-MX"/>
        </w:rPr>
        <w:t xml:space="preserve">ya </w:t>
      </w:r>
      <w:r w:rsidRPr="004E3E07">
        <w:rPr>
          <w:rFonts w:ascii="Cambria" w:eastAsia="Cambria" w:hAnsi="Cambria" w:cs="Cambria"/>
          <w:sz w:val="20"/>
          <w:szCs w:val="20"/>
          <w:lang w:val="es-MX"/>
        </w:rPr>
        <w:t>no transitorio.</w:t>
      </w:r>
    </w:p>
    <w:p w14:paraId="09913ACE" w14:textId="30F06112" w:rsidR="007B69C1" w:rsidRPr="007B69C1" w:rsidRDefault="007E25FF" w:rsidP="007B69C1">
      <w:pPr>
        <w:numPr>
          <w:ilvl w:val="0"/>
          <w:numId w:val="5"/>
        </w:numPr>
        <w:spacing w:after="240" w:line="240" w:lineRule="auto"/>
        <w:ind w:left="0" w:firstLine="720"/>
        <w:jc w:val="both"/>
        <w:rPr>
          <w:rFonts w:ascii="Cambria" w:eastAsia="Cambria" w:hAnsi="Cambria" w:cs="Cambria"/>
          <w:sz w:val="20"/>
          <w:szCs w:val="20"/>
          <w:lang w:val="es-MX"/>
        </w:rPr>
      </w:pPr>
      <w:r w:rsidRPr="004E3E07">
        <w:rPr>
          <w:rFonts w:ascii="Cambria" w:eastAsia="Cambria" w:hAnsi="Cambria" w:cs="Cambria"/>
          <w:sz w:val="20"/>
          <w:szCs w:val="20"/>
          <w:lang w:val="es-MX"/>
        </w:rPr>
        <w:t>Como ha señalado anteriormente</w:t>
      </w:r>
      <w:r w:rsidRPr="004E3E07">
        <w:rPr>
          <w:rFonts w:ascii="Cambria" w:eastAsia="Cambria" w:hAnsi="Cambria" w:cs="Cambria"/>
          <w:sz w:val="20"/>
          <w:szCs w:val="20"/>
          <w:vertAlign w:val="superscript"/>
          <w:lang w:val="es-MX"/>
        </w:rPr>
        <w:footnoteReference w:id="18"/>
      </w:r>
      <w:r w:rsidRPr="004E3E07">
        <w:rPr>
          <w:rFonts w:ascii="Cambria" w:eastAsia="Cambria" w:hAnsi="Cambria" w:cs="Cambria"/>
          <w:sz w:val="20"/>
          <w:szCs w:val="20"/>
          <w:lang w:val="es-MX"/>
        </w:rPr>
        <w:t xml:space="preserve">, la CIDH observa que, </w:t>
      </w:r>
      <w:r w:rsidR="00B0099A">
        <w:rPr>
          <w:rFonts w:ascii="Cambria" w:eastAsia="Cambria" w:hAnsi="Cambria" w:cs="Cambria"/>
          <w:sz w:val="20"/>
          <w:szCs w:val="20"/>
          <w:lang w:val="es-MX"/>
        </w:rPr>
        <w:t>incluso si</w:t>
      </w:r>
      <w:r w:rsidRPr="004E3E07">
        <w:rPr>
          <w:rFonts w:ascii="Cambria" w:eastAsia="Cambria" w:hAnsi="Cambria" w:cs="Cambria"/>
          <w:sz w:val="20"/>
          <w:szCs w:val="20"/>
          <w:lang w:val="es-MX"/>
        </w:rPr>
        <w:t xml:space="preserve"> normativamente las reformas constitucionales determinaron que la Guardia Nacional es un órgano civil con funciones poli</w:t>
      </w:r>
      <w:r w:rsidR="00091274">
        <w:rPr>
          <w:rFonts w:ascii="Cambria" w:eastAsia="Cambria" w:hAnsi="Cambria" w:cs="Cambria"/>
          <w:sz w:val="20"/>
          <w:szCs w:val="20"/>
          <w:lang w:val="es-MX"/>
        </w:rPr>
        <w:t xml:space="preserve">ciales, en su operación actual </w:t>
      </w:r>
      <w:r w:rsidRPr="004E3E07">
        <w:rPr>
          <w:rFonts w:ascii="Cambria" w:eastAsia="Cambria" w:hAnsi="Cambria" w:cs="Cambria"/>
          <w:sz w:val="20"/>
          <w:szCs w:val="20"/>
          <w:lang w:val="es-MX"/>
        </w:rPr>
        <w:t>esta corporación continúa consolidándose como un órgano conformado por personal y estructura de tipo militar en lugar de una institución de seguridad eminentemente civil. Sumado a lo anterior, la CIDH observa que la controversia constitucional 90/2020</w:t>
      </w:r>
      <w:r w:rsidRPr="004E3E07">
        <w:rPr>
          <w:rFonts w:ascii="Cambria" w:eastAsia="Cambria" w:hAnsi="Cambria" w:cs="Cambria"/>
          <w:sz w:val="20"/>
          <w:szCs w:val="20"/>
          <w:vertAlign w:val="superscript"/>
          <w:lang w:val="es-MX"/>
        </w:rPr>
        <w:footnoteReference w:id="19"/>
      </w:r>
      <w:r w:rsidRPr="004E3E07">
        <w:rPr>
          <w:rFonts w:ascii="Cambria" w:eastAsia="Cambria" w:hAnsi="Cambria" w:cs="Cambria"/>
          <w:sz w:val="20"/>
          <w:szCs w:val="20"/>
          <w:lang w:val="es-MX"/>
        </w:rPr>
        <w:t xml:space="preserve"> que cuestiona la compatibilidad del “Acuerdo por el que se dispone de la Fuerza Armada Permanente para llevar a cabo tareas de seguridad pública de </w:t>
      </w:r>
      <w:r w:rsidRPr="004E3E07">
        <w:rPr>
          <w:rFonts w:ascii="Cambria" w:eastAsia="Cambria" w:hAnsi="Cambria" w:cs="Cambria"/>
          <w:sz w:val="20"/>
          <w:szCs w:val="20"/>
          <w:lang w:val="es-MX"/>
        </w:rPr>
        <w:lastRenderedPageBreak/>
        <w:t>manera extraordinaria, regulada, fiscalizada, subordinada y complementaria” con las obligaciones de México en materia de derechos humanos aún no ha sido resuelta</w:t>
      </w:r>
      <w:r w:rsidR="00091274">
        <w:rPr>
          <w:rFonts w:ascii="Cambria" w:eastAsia="Cambria" w:hAnsi="Cambria" w:cs="Cambria"/>
          <w:sz w:val="20"/>
          <w:szCs w:val="20"/>
          <w:lang w:val="es-MX"/>
        </w:rPr>
        <w:t>,</w:t>
      </w:r>
      <w:r w:rsidRPr="004E3E07">
        <w:rPr>
          <w:rFonts w:ascii="Cambria" w:eastAsia="Cambria" w:hAnsi="Cambria" w:cs="Cambria"/>
          <w:sz w:val="20"/>
          <w:szCs w:val="20"/>
          <w:lang w:val="es-MX"/>
        </w:rPr>
        <w:t xml:space="preserve"> y existen preocupaciones por la falta de transparencia en su trámite</w:t>
      </w:r>
      <w:r w:rsidRPr="004E3E07">
        <w:rPr>
          <w:rFonts w:ascii="Cambria" w:eastAsia="Cambria" w:hAnsi="Cambria" w:cs="Cambria"/>
          <w:sz w:val="20"/>
          <w:szCs w:val="20"/>
          <w:vertAlign w:val="superscript"/>
          <w:lang w:val="es-MX"/>
        </w:rPr>
        <w:footnoteReference w:id="20"/>
      </w:r>
      <w:r w:rsidRPr="004E3E07">
        <w:rPr>
          <w:rFonts w:ascii="Cambria" w:eastAsia="Cambria" w:hAnsi="Cambria" w:cs="Cambria"/>
          <w:sz w:val="20"/>
          <w:szCs w:val="20"/>
          <w:lang w:val="es-MX"/>
        </w:rPr>
        <w:t xml:space="preserve">. </w:t>
      </w:r>
      <w:r w:rsidR="007B69C1">
        <w:rPr>
          <w:rFonts w:ascii="Cambria" w:eastAsia="Cambria" w:hAnsi="Cambria" w:cs="Cambria"/>
          <w:sz w:val="20"/>
          <w:szCs w:val="20"/>
          <w:lang w:val="es-MX"/>
        </w:rPr>
        <w:t xml:space="preserve"> Al respecto, en sus observaciones al proyecto del presente informe, el Estado mexicano indicó que </w:t>
      </w:r>
      <w:r w:rsidR="007B69C1" w:rsidRPr="007B69C1">
        <w:rPr>
          <w:rFonts w:ascii="Cambria" w:eastAsia="Cambria" w:hAnsi="Cambria" w:cs="Cambria"/>
          <w:sz w:val="20"/>
          <w:szCs w:val="20"/>
          <w:lang w:val="es-MX"/>
        </w:rPr>
        <w:t xml:space="preserve">el 23 de junio de 2020,  la citada Controversia Constitucional se turnó a la Primera Sala de la Suprema Corte de Justicia de la </w:t>
      </w:r>
      <w:r w:rsidR="007B69C1">
        <w:rPr>
          <w:rFonts w:ascii="Cambria" w:eastAsia="Cambria" w:hAnsi="Cambria" w:cs="Cambria"/>
          <w:sz w:val="20"/>
          <w:szCs w:val="20"/>
          <w:lang w:val="es-MX"/>
        </w:rPr>
        <w:t xml:space="preserve"> </w:t>
      </w:r>
      <w:r w:rsidR="007B69C1" w:rsidRPr="007B69C1">
        <w:rPr>
          <w:rFonts w:ascii="Cambria" w:eastAsia="Cambria" w:hAnsi="Cambria" w:cs="Cambria"/>
          <w:sz w:val="20"/>
          <w:szCs w:val="20"/>
          <w:lang w:val="es-MX"/>
        </w:rPr>
        <w:t>Nación (SCJN) y mediante acuerdo de 25 de noviembre de 2021, la Ministra Presidenta de la Primera Sala ordenó remitirlo para su resolución al Tribunal Pleno, conforme a lo determinado por las Ministras y los Ministros integrantes de la referida Sala durante la sesión ordinaria de carácter público  del  24 de noviembre de 2021. El asunto actualmente se encuentra actualmente en trámite, pendiente de resolución</w:t>
      </w:r>
      <w:r w:rsidR="007B69C1">
        <w:rPr>
          <w:rStyle w:val="FootnoteReference"/>
          <w:rFonts w:ascii="Cambria" w:eastAsia="Cambria" w:hAnsi="Cambria" w:cs="Cambria"/>
          <w:sz w:val="20"/>
          <w:szCs w:val="20"/>
          <w:lang w:val="es-MX"/>
        </w:rPr>
        <w:footnoteReference w:id="21"/>
      </w:r>
      <w:r w:rsidR="007B69C1">
        <w:rPr>
          <w:rFonts w:ascii="Cambria" w:eastAsia="Cambria" w:hAnsi="Cambria" w:cs="Cambria"/>
          <w:sz w:val="20"/>
          <w:szCs w:val="20"/>
          <w:lang w:val="es-MX"/>
        </w:rPr>
        <w:t>.</w:t>
      </w:r>
    </w:p>
    <w:p w14:paraId="14606943" w14:textId="5573D518" w:rsidR="002277F5" w:rsidRPr="004E3E07" w:rsidRDefault="007E25FF" w:rsidP="004E3E07">
      <w:pPr>
        <w:numPr>
          <w:ilvl w:val="0"/>
          <w:numId w:val="5"/>
        </w:numPr>
        <w:spacing w:after="240" w:line="240" w:lineRule="auto"/>
        <w:ind w:left="0" w:firstLine="720"/>
        <w:jc w:val="both"/>
        <w:rPr>
          <w:rFonts w:ascii="Cambria" w:eastAsia="Cambria" w:hAnsi="Cambria" w:cs="Cambria"/>
          <w:sz w:val="20"/>
          <w:szCs w:val="20"/>
          <w:lang w:val="es-MX"/>
        </w:rPr>
      </w:pPr>
      <w:r w:rsidRPr="004E3E07">
        <w:rPr>
          <w:rFonts w:ascii="Cambria" w:eastAsia="Cambria" w:hAnsi="Cambria" w:cs="Cambria"/>
          <w:sz w:val="20"/>
          <w:szCs w:val="20"/>
          <w:lang w:val="es-MX"/>
        </w:rPr>
        <w:t xml:space="preserve">Asimismo, existen otras acciones de inconstitucionalidad planteadas </w:t>
      </w:r>
      <w:r w:rsidR="00B0099A">
        <w:rPr>
          <w:rFonts w:ascii="Cambria" w:eastAsia="Cambria" w:hAnsi="Cambria" w:cs="Cambria"/>
          <w:sz w:val="20"/>
          <w:szCs w:val="20"/>
          <w:lang w:val="es-MX"/>
        </w:rPr>
        <w:t xml:space="preserve">respecto </w:t>
      </w:r>
      <w:r w:rsidR="00B0099A" w:rsidRPr="004E3E07">
        <w:rPr>
          <w:rFonts w:ascii="Cambria" w:eastAsia="Cambria" w:hAnsi="Cambria" w:cs="Cambria"/>
          <w:sz w:val="20"/>
          <w:szCs w:val="20"/>
          <w:lang w:val="es-MX"/>
        </w:rPr>
        <w:t>de las leyes de la Guardia Nacional; del Registro de Detenciones, y del Sistema Nacional de</w:t>
      </w:r>
      <w:r w:rsidR="00B0099A">
        <w:rPr>
          <w:rFonts w:ascii="Cambria" w:eastAsia="Cambria" w:hAnsi="Cambria" w:cs="Cambria"/>
          <w:sz w:val="20"/>
          <w:szCs w:val="20"/>
          <w:lang w:val="es-MX"/>
        </w:rPr>
        <w:t xml:space="preserve"> Seguridad Pública, </w:t>
      </w:r>
      <w:r w:rsidR="00B0099A" w:rsidRPr="004E3E07">
        <w:rPr>
          <w:rFonts w:ascii="Cambria" w:eastAsia="Cambria" w:hAnsi="Cambria" w:cs="Cambria"/>
          <w:sz w:val="20"/>
          <w:szCs w:val="20"/>
          <w:lang w:val="es-MX"/>
        </w:rPr>
        <w:t>por su colisión con las garantí</w:t>
      </w:r>
      <w:r w:rsidR="00B0099A">
        <w:rPr>
          <w:rFonts w:ascii="Cambria" w:eastAsia="Cambria" w:hAnsi="Cambria" w:cs="Cambria"/>
          <w:sz w:val="20"/>
          <w:szCs w:val="20"/>
          <w:lang w:val="es-MX"/>
        </w:rPr>
        <w:t>as de los derechos humanos y por profundizar</w:t>
      </w:r>
      <w:r w:rsidR="00B0099A" w:rsidRPr="004E3E07">
        <w:rPr>
          <w:rFonts w:ascii="Cambria" w:eastAsia="Cambria" w:hAnsi="Cambria" w:cs="Cambria"/>
          <w:sz w:val="20"/>
          <w:szCs w:val="20"/>
          <w:lang w:val="es-MX"/>
        </w:rPr>
        <w:t xml:space="preserve"> la militarización en Méxi</w:t>
      </w:r>
      <w:r w:rsidR="00B0099A">
        <w:rPr>
          <w:rFonts w:ascii="Cambria" w:eastAsia="Cambria" w:hAnsi="Cambria" w:cs="Cambria"/>
          <w:sz w:val="20"/>
          <w:szCs w:val="20"/>
          <w:lang w:val="es-MX"/>
        </w:rPr>
        <w:t>co</w:t>
      </w:r>
      <w:r w:rsidR="006E44FE">
        <w:rPr>
          <w:rFonts w:ascii="Cambria" w:eastAsia="Cambria" w:hAnsi="Cambria" w:cs="Cambria"/>
          <w:sz w:val="20"/>
          <w:szCs w:val="20"/>
          <w:lang w:val="es-MX"/>
        </w:rPr>
        <w:t>,</w:t>
      </w:r>
      <w:r w:rsidR="00B0099A">
        <w:rPr>
          <w:rFonts w:ascii="Cambria" w:eastAsia="Cambria" w:hAnsi="Cambria" w:cs="Cambria"/>
          <w:sz w:val="20"/>
          <w:szCs w:val="20"/>
          <w:lang w:val="es-MX"/>
        </w:rPr>
        <w:t xml:space="preserve"> </w:t>
      </w:r>
      <w:r w:rsidR="00091274">
        <w:rPr>
          <w:rFonts w:ascii="Cambria" w:eastAsia="Cambria" w:hAnsi="Cambria" w:cs="Cambria"/>
          <w:sz w:val="20"/>
          <w:szCs w:val="20"/>
          <w:lang w:val="es-MX"/>
        </w:rPr>
        <w:t>que tampoco han sido resueltas, y</w:t>
      </w:r>
      <w:r w:rsidRPr="004E3E07">
        <w:rPr>
          <w:rFonts w:ascii="Cambria" w:eastAsia="Cambria" w:hAnsi="Cambria" w:cs="Cambria"/>
          <w:sz w:val="20"/>
          <w:szCs w:val="20"/>
          <w:lang w:val="es-MX"/>
        </w:rPr>
        <w:t xml:space="preserve"> </w:t>
      </w:r>
      <w:r w:rsidR="00091274">
        <w:rPr>
          <w:rFonts w:ascii="Cambria" w:eastAsia="Cambria" w:hAnsi="Cambria" w:cs="Cambria"/>
          <w:sz w:val="20"/>
          <w:szCs w:val="20"/>
          <w:lang w:val="es-MX"/>
        </w:rPr>
        <w:t>respecto de las cua</w:t>
      </w:r>
      <w:r w:rsidR="00091274" w:rsidRPr="004E3E07">
        <w:rPr>
          <w:rFonts w:ascii="Cambria" w:eastAsia="Cambria" w:hAnsi="Cambria" w:cs="Cambria"/>
          <w:sz w:val="20"/>
          <w:szCs w:val="20"/>
          <w:lang w:val="es-MX"/>
        </w:rPr>
        <w:t xml:space="preserve">les la CIDH </w:t>
      </w:r>
      <w:r w:rsidR="00B0099A">
        <w:rPr>
          <w:rFonts w:ascii="Cambria" w:eastAsia="Cambria" w:hAnsi="Cambria" w:cs="Cambria"/>
          <w:sz w:val="20"/>
          <w:szCs w:val="20"/>
          <w:lang w:val="es-MX"/>
        </w:rPr>
        <w:t xml:space="preserve">manifestó </w:t>
      </w:r>
      <w:r w:rsidR="00091274" w:rsidRPr="004E3E07">
        <w:rPr>
          <w:rFonts w:ascii="Cambria" w:eastAsia="Cambria" w:hAnsi="Cambria" w:cs="Cambria"/>
          <w:sz w:val="20"/>
          <w:szCs w:val="20"/>
          <w:lang w:val="es-MX"/>
        </w:rPr>
        <w:t>su preocupación en su Informe Anual 2019</w:t>
      </w:r>
      <w:r w:rsidR="00B0099A">
        <w:rPr>
          <w:rFonts w:ascii="Cambria" w:eastAsia="Cambria" w:hAnsi="Cambria" w:cs="Cambria"/>
          <w:sz w:val="20"/>
          <w:szCs w:val="20"/>
          <w:lang w:val="es-MX"/>
        </w:rPr>
        <w:t xml:space="preserve">. </w:t>
      </w:r>
      <w:r w:rsidRPr="004E3E07">
        <w:rPr>
          <w:rFonts w:ascii="Cambria" w:eastAsia="Cambria" w:hAnsi="Cambria" w:cs="Cambria"/>
          <w:sz w:val="20"/>
          <w:szCs w:val="20"/>
          <w:lang w:val="es-MX"/>
        </w:rPr>
        <w:t>En virtud de las consideraciones presentadas, la CIDH encuentra que la recomendación se encuentra pendiente de cumplimiento.</w:t>
      </w:r>
    </w:p>
    <w:p w14:paraId="14606945" w14:textId="36BF736E" w:rsidR="002277F5" w:rsidRPr="004E3E07" w:rsidRDefault="00736E75" w:rsidP="004E3E07">
      <w:pPr>
        <w:numPr>
          <w:ilvl w:val="0"/>
          <w:numId w:val="5"/>
        </w:numPr>
        <w:spacing w:after="240" w:line="240" w:lineRule="auto"/>
        <w:ind w:left="0" w:firstLine="720"/>
        <w:jc w:val="both"/>
        <w:rPr>
          <w:rFonts w:ascii="Cambria" w:eastAsia="Cambria" w:hAnsi="Cambria" w:cs="Cambria"/>
          <w:sz w:val="20"/>
          <w:szCs w:val="20"/>
          <w:lang w:val="es-MX"/>
        </w:rPr>
      </w:pPr>
      <w:r w:rsidRPr="004E3E07">
        <w:rPr>
          <w:rFonts w:ascii="Cambria" w:eastAsia="Cambria" w:hAnsi="Cambria" w:cs="Cambria"/>
          <w:sz w:val="20"/>
          <w:szCs w:val="20"/>
          <w:lang w:val="es-MX"/>
        </w:rPr>
        <w:t xml:space="preserve">En relación con el cumplimiento de la recomendación del </w:t>
      </w:r>
      <w:r w:rsidRPr="00D04E3B">
        <w:rPr>
          <w:rFonts w:ascii="Cambria" w:eastAsia="Cambria" w:hAnsi="Cambria" w:cs="Cambria"/>
          <w:b/>
          <w:sz w:val="20"/>
          <w:szCs w:val="20"/>
          <w:lang w:val="es-MX"/>
        </w:rPr>
        <w:t>fortalecimiento del cuerpo policial</w:t>
      </w:r>
      <w:r w:rsidRPr="004E3E07">
        <w:rPr>
          <w:rFonts w:ascii="Cambria" w:eastAsia="Cambria" w:hAnsi="Cambria" w:cs="Cambria"/>
          <w:sz w:val="20"/>
          <w:szCs w:val="20"/>
          <w:lang w:val="es-MX"/>
        </w:rPr>
        <w:t>,</w:t>
      </w:r>
      <w:r>
        <w:rPr>
          <w:rFonts w:ascii="Cambria" w:eastAsia="Cambria" w:hAnsi="Cambria" w:cs="Cambria"/>
          <w:sz w:val="20"/>
          <w:szCs w:val="20"/>
          <w:lang w:val="es-MX"/>
        </w:rPr>
        <w:t xml:space="preserve"> </w:t>
      </w:r>
      <w:r w:rsidR="00A05ED2">
        <w:rPr>
          <w:rFonts w:ascii="Cambria" w:eastAsia="Cambria" w:hAnsi="Cambria" w:cs="Cambria"/>
          <w:sz w:val="20"/>
          <w:szCs w:val="20"/>
          <w:lang w:val="es-MX"/>
        </w:rPr>
        <w:t>l</w:t>
      </w:r>
      <w:r w:rsidRPr="00A05ED2">
        <w:rPr>
          <w:rFonts w:ascii="Cambria" w:eastAsia="Cambria" w:hAnsi="Cambria" w:cs="Cambria"/>
          <w:sz w:val="20"/>
          <w:szCs w:val="20"/>
          <w:lang w:val="es-MX"/>
        </w:rPr>
        <w:t>a</w:t>
      </w:r>
      <w:r w:rsidR="007E25FF" w:rsidRPr="004E3E07">
        <w:rPr>
          <w:rFonts w:ascii="Cambria" w:eastAsia="Cambria" w:hAnsi="Cambria" w:cs="Cambria"/>
          <w:sz w:val="20"/>
          <w:szCs w:val="20"/>
          <w:lang w:val="es-MX"/>
        </w:rPr>
        <w:t xml:space="preserve"> CIDH observa positivamente los avances orientados a la capacitación del personal policial y el escrutinio independiente de sus acciones a través de la cooperación internacional. Sin embargo, dado que el programa recién se encuentra en etapa inicial de implementación la CIDH encuentra que la recomendación mantiene su calificación de pendiente de cumplimiento.</w:t>
      </w:r>
    </w:p>
    <w:p w14:paraId="14606946" w14:textId="77777777" w:rsidR="002277F5" w:rsidRPr="004E3E07" w:rsidRDefault="007E25FF" w:rsidP="004E3E07">
      <w:pPr>
        <w:numPr>
          <w:ilvl w:val="0"/>
          <w:numId w:val="5"/>
        </w:numPr>
        <w:spacing w:after="240" w:line="240" w:lineRule="auto"/>
        <w:ind w:left="0" w:firstLine="720"/>
        <w:jc w:val="both"/>
        <w:rPr>
          <w:rFonts w:ascii="Cambria" w:eastAsia="Cambria" w:hAnsi="Cambria" w:cs="Cambria"/>
          <w:sz w:val="20"/>
          <w:szCs w:val="20"/>
          <w:lang w:val="es-MX"/>
        </w:rPr>
      </w:pPr>
      <w:r w:rsidRPr="004E3E07">
        <w:rPr>
          <w:rFonts w:ascii="Cambria" w:eastAsia="Cambria" w:hAnsi="Cambria" w:cs="Cambria"/>
          <w:sz w:val="20"/>
          <w:szCs w:val="20"/>
          <w:lang w:val="es-MX"/>
        </w:rPr>
        <w:t xml:space="preserve">En relación con la recomendación de </w:t>
      </w:r>
      <w:r w:rsidRPr="004E3E07">
        <w:rPr>
          <w:rFonts w:ascii="Cambria" w:eastAsia="Cambria" w:hAnsi="Cambria" w:cs="Cambria"/>
          <w:b/>
          <w:bCs/>
          <w:sz w:val="20"/>
          <w:szCs w:val="20"/>
          <w:lang w:val="es-MX"/>
        </w:rPr>
        <w:t>adoptar una Ley Nacional sobre el Uso de la Fuerza conforme a los estándares internacionales en materia de derechos humanos</w:t>
      </w:r>
      <w:r w:rsidRPr="004E3E07">
        <w:rPr>
          <w:rFonts w:ascii="Cambria" w:eastAsia="Cambria" w:hAnsi="Cambria" w:cs="Cambria"/>
          <w:sz w:val="20"/>
          <w:szCs w:val="20"/>
          <w:lang w:val="es-MX"/>
        </w:rPr>
        <w:t>, el Estado informó que el 27 de mayo de 2019 se adoptó la Ley Nacional sobre el Uso de la Fuerza</w:t>
      </w:r>
      <w:r w:rsidRPr="004E3E07">
        <w:rPr>
          <w:rFonts w:ascii="Cambria" w:eastAsia="Cambria" w:hAnsi="Cambria" w:cs="Cambria"/>
          <w:sz w:val="20"/>
          <w:szCs w:val="20"/>
          <w:vertAlign w:val="superscript"/>
          <w:lang w:val="es-MX"/>
        </w:rPr>
        <w:footnoteReference w:id="22"/>
      </w:r>
      <w:r w:rsidRPr="004E3E07">
        <w:rPr>
          <w:rFonts w:ascii="Cambria" w:eastAsia="Cambria" w:hAnsi="Cambria" w:cs="Cambria"/>
          <w:sz w:val="20"/>
          <w:szCs w:val="20"/>
          <w:lang w:val="es-MX"/>
        </w:rPr>
        <w:t>. Asimismo, el Estado reiteró la información sobre el programa de capacitación de la GN en temas de derechos humanos y la adopción de protocolos de actuación en temas como el uso de la fuerza y la prevención de violaciones de derechos humanos, particularmente los que involucran la protección y atención específica a mujeres y grupos en situación de vulnerabilidad (niñas, niños y adolescentes y personas indígenas).</w:t>
      </w:r>
    </w:p>
    <w:p w14:paraId="14606947" w14:textId="42650BD5" w:rsidR="002277F5" w:rsidRPr="004E3E07" w:rsidRDefault="007E25FF" w:rsidP="004E3E07">
      <w:pPr>
        <w:numPr>
          <w:ilvl w:val="0"/>
          <w:numId w:val="5"/>
        </w:numPr>
        <w:spacing w:after="240" w:line="240" w:lineRule="auto"/>
        <w:ind w:left="0" w:firstLine="720"/>
        <w:jc w:val="both"/>
        <w:rPr>
          <w:rFonts w:ascii="Cambria" w:eastAsia="Cambria" w:hAnsi="Cambria" w:cs="Cambria"/>
          <w:sz w:val="20"/>
          <w:szCs w:val="20"/>
          <w:lang w:val="es-MX"/>
        </w:rPr>
      </w:pPr>
      <w:r w:rsidRPr="004E3E07">
        <w:rPr>
          <w:rFonts w:ascii="Cambria" w:eastAsia="Cambria" w:hAnsi="Cambria" w:cs="Cambria"/>
          <w:sz w:val="20"/>
          <w:szCs w:val="20"/>
          <w:lang w:val="es-MX"/>
        </w:rPr>
        <w:t>Tal como la CIDH dio cuenta en su</w:t>
      </w:r>
      <w:r w:rsidR="00121B1E" w:rsidRPr="004E3E07">
        <w:rPr>
          <w:rFonts w:ascii="Cambria" w:eastAsia="Cambria" w:hAnsi="Cambria" w:cs="Cambria"/>
          <w:sz w:val="20"/>
          <w:szCs w:val="20"/>
          <w:lang w:val="es-MX"/>
        </w:rPr>
        <w:t>s</w:t>
      </w:r>
      <w:r w:rsidRPr="004E3E07">
        <w:rPr>
          <w:rFonts w:ascii="Cambria" w:eastAsia="Cambria" w:hAnsi="Cambria" w:cs="Cambria"/>
          <w:sz w:val="20"/>
          <w:szCs w:val="20"/>
          <w:lang w:val="es-MX"/>
        </w:rPr>
        <w:t xml:space="preserve"> informe</w:t>
      </w:r>
      <w:r w:rsidR="00121B1E" w:rsidRPr="004E3E07">
        <w:rPr>
          <w:rFonts w:ascii="Cambria" w:eastAsia="Cambria" w:hAnsi="Cambria" w:cs="Cambria"/>
          <w:sz w:val="20"/>
          <w:szCs w:val="20"/>
          <w:lang w:val="es-MX"/>
        </w:rPr>
        <w:t>s</w:t>
      </w:r>
      <w:r w:rsidRPr="004E3E07">
        <w:rPr>
          <w:rFonts w:ascii="Cambria" w:eastAsia="Cambria" w:hAnsi="Cambria" w:cs="Cambria"/>
          <w:sz w:val="20"/>
          <w:szCs w:val="20"/>
          <w:lang w:val="es-MX"/>
        </w:rPr>
        <w:t xml:space="preserve"> de 2019</w:t>
      </w:r>
      <w:r w:rsidRPr="004E3E07">
        <w:rPr>
          <w:rFonts w:ascii="Cambria" w:eastAsia="Cambria" w:hAnsi="Cambria" w:cs="Cambria"/>
          <w:sz w:val="20"/>
          <w:szCs w:val="20"/>
          <w:vertAlign w:val="superscript"/>
          <w:lang w:val="es-MX"/>
        </w:rPr>
        <w:footnoteReference w:id="23"/>
      </w:r>
      <w:r w:rsidR="00121B1E" w:rsidRPr="004E3E07">
        <w:rPr>
          <w:rFonts w:ascii="Cambria" w:eastAsia="Cambria" w:hAnsi="Cambria" w:cs="Cambria"/>
          <w:sz w:val="20"/>
          <w:szCs w:val="20"/>
          <w:lang w:val="es-MX"/>
        </w:rPr>
        <w:t xml:space="preserve"> y 2020</w:t>
      </w:r>
      <w:r w:rsidR="00121B1E" w:rsidRPr="004E3E07">
        <w:rPr>
          <w:rFonts w:ascii="Cambria" w:eastAsia="Cambria" w:hAnsi="Cambria" w:cs="Cambria"/>
          <w:sz w:val="20"/>
          <w:szCs w:val="20"/>
          <w:vertAlign w:val="superscript"/>
          <w:lang w:val="es-MX"/>
        </w:rPr>
        <w:footnoteReference w:id="24"/>
      </w:r>
      <w:r w:rsidRPr="004E3E07">
        <w:rPr>
          <w:rFonts w:ascii="Cambria" w:eastAsia="Cambria" w:hAnsi="Cambria" w:cs="Cambria"/>
          <w:sz w:val="20"/>
          <w:szCs w:val="20"/>
          <w:lang w:val="es-MX"/>
        </w:rPr>
        <w:t xml:space="preserve"> el texto de la mencionada Ley indica que el uso de la fuerza por parte de agentes de seguridad se encuentra regido por los principios de absoluta necesidad, legalidad, prevención, proporcionalidad y rendición de cuentas y con pleno respeto a los derechos humanos</w:t>
      </w:r>
      <w:r w:rsidRPr="004E3E07">
        <w:rPr>
          <w:rFonts w:ascii="Cambria" w:eastAsia="Cambria" w:hAnsi="Cambria" w:cs="Cambria"/>
          <w:sz w:val="20"/>
          <w:szCs w:val="20"/>
          <w:vertAlign w:val="superscript"/>
          <w:lang w:val="es-MX"/>
        </w:rPr>
        <w:footnoteReference w:id="25"/>
      </w:r>
      <w:r w:rsidRPr="004E3E07">
        <w:rPr>
          <w:rFonts w:ascii="Cambria" w:eastAsia="Cambria" w:hAnsi="Cambria" w:cs="Cambria"/>
          <w:sz w:val="20"/>
          <w:szCs w:val="20"/>
          <w:lang w:val="es-MX"/>
        </w:rPr>
        <w:t>. La Comisión también dio cuenta de que en los capítulos IX y X, respectivamente, la obligación de emitir informes pormenorizados de los operativos del uso de la fuerza y armas letales de ser el caso, y la institucionalización de la capacitación y profesionalización en materia de uso de la fuerza (armas, métodos y técnicas), derechos humanos, no discriminación, perspectiva de género, ética y doctrina policial, entre otros aspectos</w:t>
      </w:r>
      <w:r w:rsidRPr="004E3E07">
        <w:rPr>
          <w:rFonts w:ascii="Cambria" w:eastAsia="Cambria" w:hAnsi="Cambria" w:cs="Cambria"/>
          <w:sz w:val="20"/>
          <w:szCs w:val="20"/>
          <w:vertAlign w:val="superscript"/>
          <w:lang w:val="es-MX"/>
        </w:rPr>
        <w:footnoteReference w:id="26"/>
      </w:r>
      <w:r w:rsidRPr="004E3E07">
        <w:rPr>
          <w:rFonts w:ascii="Cambria" w:eastAsia="Cambria" w:hAnsi="Cambria" w:cs="Cambria"/>
          <w:sz w:val="20"/>
          <w:szCs w:val="20"/>
          <w:lang w:val="es-MX"/>
        </w:rPr>
        <w:t xml:space="preserve">. </w:t>
      </w:r>
    </w:p>
    <w:p w14:paraId="1C890837" w14:textId="77777777" w:rsidR="007B69C1" w:rsidRDefault="007E25FF" w:rsidP="007B69C1">
      <w:pPr>
        <w:numPr>
          <w:ilvl w:val="0"/>
          <w:numId w:val="5"/>
        </w:numPr>
        <w:spacing w:after="240" w:line="240" w:lineRule="auto"/>
        <w:ind w:left="0" w:firstLine="720"/>
        <w:jc w:val="both"/>
        <w:rPr>
          <w:rFonts w:ascii="Cambria" w:eastAsia="Cambria" w:hAnsi="Cambria" w:cs="Cambria"/>
          <w:sz w:val="20"/>
          <w:szCs w:val="20"/>
          <w:lang w:val="es-MX"/>
        </w:rPr>
      </w:pPr>
      <w:r w:rsidRPr="004E3E07">
        <w:rPr>
          <w:rFonts w:ascii="Cambria" w:eastAsia="Cambria" w:hAnsi="Cambria" w:cs="Cambria"/>
          <w:sz w:val="20"/>
          <w:szCs w:val="20"/>
          <w:highlight w:val="white"/>
          <w:lang w:val="es-MX"/>
        </w:rPr>
        <w:t xml:space="preserve">La Comisión observa que en octubre de 2021 la SCJN resolvió la acción de inconstitucionalidad 64/2019 promovida por la Comisión Nacional de Derechos Humanos, en la que se demanda la invalidez de </w:t>
      </w:r>
      <w:r w:rsidRPr="004E3E07">
        <w:rPr>
          <w:rFonts w:ascii="Cambria" w:eastAsia="Cambria" w:hAnsi="Cambria" w:cs="Cambria"/>
          <w:sz w:val="20"/>
          <w:szCs w:val="20"/>
          <w:highlight w:val="white"/>
          <w:lang w:val="es-MX"/>
        </w:rPr>
        <w:lastRenderedPageBreak/>
        <w:t>diversas disposiciones de la Ley Nacional sobre el Uso de la Fuerza (LNUF). Según información pública, la SCJN determinó que el Congreso de la Unión incurrió en omisiones legislativas por la falta de previsión de sujeción del uso de la fuerza a los principios de racionalidad y oportunidad</w:t>
      </w:r>
      <w:r w:rsidRPr="004E3E07">
        <w:rPr>
          <w:rFonts w:ascii="Cambria" w:eastAsia="Cambria" w:hAnsi="Cambria" w:cs="Cambria"/>
          <w:sz w:val="20"/>
          <w:szCs w:val="20"/>
          <w:vertAlign w:val="superscript"/>
          <w:lang w:val="es-MX"/>
        </w:rPr>
        <w:footnoteReference w:id="27"/>
      </w:r>
      <w:r w:rsidRPr="004E3E07">
        <w:rPr>
          <w:rFonts w:ascii="Cambria" w:eastAsia="Cambria" w:hAnsi="Cambria" w:cs="Cambria"/>
          <w:sz w:val="20"/>
          <w:szCs w:val="20"/>
          <w:highlight w:val="white"/>
          <w:lang w:val="es-MX"/>
        </w:rPr>
        <w:t>. Por otro lado, información de sociedad civil indicaría que la determinación de la constitucionalidad de los artículos 27 y 28 de la LNUF autorizaría a las fuerzas de seguridad a intervenir en manifestaciones o reuniones públicas que puedan tornarse violentas, además de que persistirían ambigüedades respecto la clasificación de armas y la elaboración de informes de agentes que utilicen armas de fuego, entre otras preocupaciones</w:t>
      </w:r>
      <w:r w:rsidRPr="004E3E07">
        <w:rPr>
          <w:rFonts w:ascii="Cambria" w:eastAsia="Cambria" w:hAnsi="Cambria" w:cs="Cambria"/>
          <w:sz w:val="20"/>
          <w:szCs w:val="20"/>
          <w:vertAlign w:val="superscript"/>
          <w:lang w:val="es-MX"/>
        </w:rPr>
        <w:footnoteReference w:id="28"/>
      </w:r>
      <w:r w:rsidRPr="004E3E07">
        <w:rPr>
          <w:rFonts w:ascii="Cambria" w:eastAsia="Cambria" w:hAnsi="Cambria" w:cs="Cambria"/>
          <w:sz w:val="20"/>
          <w:szCs w:val="20"/>
          <w:highlight w:val="white"/>
          <w:lang w:val="es-MX"/>
        </w:rPr>
        <w:t>.</w:t>
      </w:r>
    </w:p>
    <w:p w14:paraId="671D215B" w14:textId="04DBBF71" w:rsidR="007B69C1" w:rsidRPr="00E95928" w:rsidRDefault="007B69C1" w:rsidP="007B69C1">
      <w:pPr>
        <w:numPr>
          <w:ilvl w:val="0"/>
          <w:numId w:val="5"/>
        </w:numPr>
        <w:spacing w:after="240" w:line="240" w:lineRule="auto"/>
        <w:ind w:left="0" w:firstLine="720"/>
        <w:jc w:val="both"/>
        <w:rPr>
          <w:rFonts w:ascii="Cambria" w:eastAsia="Cambria" w:hAnsi="Cambria" w:cs="Cambria"/>
          <w:sz w:val="20"/>
          <w:szCs w:val="20"/>
          <w:lang w:val="es-MX"/>
        </w:rPr>
      </w:pPr>
      <w:r w:rsidRPr="00E95928">
        <w:rPr>
          <w:rFonts w:ascii="Cambria" w:eastAsia="Cambria" w:hAnsi="Cambria" w:cs="Cambria"/>
          <w:sz w:val="20"/>
          <w:szCs w:val="20"/>
          <w:lang w:val="es-MX"/>
        </w:rPr>
        <w:t>En sus observaciones al proyecto del presente informe, el Estado informó que la SCJN  resolvió declarar procedente y parcialmente fundada la acción de inconstitucionalidad conforme a lo siguiente: a.  Se declararon infundadas las omisiones legislativas relacionadas con el adiestramiento del uso de la fuerza mediante el empleo de armas incapacitantes no letales y letales y la distinción y regulación de dichas armas; así como la sistematización y archivo de los informes de los servidores públicos que hagan uso de armas de fuego en el desempeño de sus funciones que, como previsiones mínimas, contiene la LNUF,  b.  Se reconoció la validez de los artículos 27, párrafo primero y 28, así como 36, en su porción normativa ‘desde la planeación’, de la Ley,  c.  Se declaró la invalidez del artículo 6, fracción VI, en su porción normativa ‘epiletal’, de la Ley,  d.  Se declararon fundadas las omisiones legislativas relativas a la finalidad del uso de la fuerza, así como la sujeción del uso de la fuerza a los principios de racionalidad y oportunidad que, como previsiones mínimas, debe contener la LNUF, e.  Se condenó al Congreso de la Unión para que, en el siguiente período ordinario de sesiones que inicia en febrero de 2022, legisle para solventar las señaladas omisiones legislativas</w:t>
      </w:r>
      <w:r w:rsidRPr="00E95928">
        <w:rPr>
          <w:rStyle w:val="FootnoteReference"/>
          <w:rFonts w:ascii="Cambria" w:eastAsia="Cambria" w:hAnsi="Cambria" w:cs="Cambria"/>
          <w:sz w:val="20"/>
          <w:szCs w:val="20"/>
          <w:lang w:val="es-MX"/>
        </w:rPr>
        <w:footnoteReference w:id="29"/>
      </w:r>
      <w:r w:rsidRPr="00E95928">
        <w:rPr>
          <w:rFonts w:ascii="Cambria" w:eastAsia="Cambria" w:hAnsi="Cambria" w:cs="Cambria"/>
          <w:sz w:val="20"/>
          <w:szCs w:val="20"/>
          <w:lang w:val="es-MX"/>
        </w:rPr>
        <w:t>.</w:t>
      </w:r>
    </w:p>
    <w:p w14:paraId="14606949" w14:textId="227A78CE" w:rsidR="002277F5" w:rsidRPr="004E3E07" w:rsidRDefault="007E25FF" w:rsidP="004E3E07">
      <w:pPr>
        <w:numPr>
          <w:ilvl w:val="0"/>
          <w:numId w:val="5"/>
        </w:numPr>
        <w:spacing w:after="240" w:line="240" w:lineRule="auto"/>
        <w:ind w:left="0" w:firstLine="720"/>
        <w:jc w:val="both"/>
        <w:rPr>
          <w:rFonts w:ascii="Cambria" w:eastAsia="Cambria" w:hAnsi="Cambria" w:cs="Cambria"/>
          <w:sz w:val="20"/>
          <w:szCs w:val="20"/>
          <w:lang w:val="es-MX"/>
        </w:rPr>
      </w:pPr>
      <w:r w:rsidRPr="004E3E07">
        <w:rPr>
          <w:rFonts w:ascii="Cambria" w:eastAsia="Cambria" w:hAnsi="Cambria" w:cs="Cambria"/>
          <w:sz w:val="20"/>
          <w:szCs w:val="20"/>
          <w:lang w:val="es-MX"/>
        </w:rPr>
        <w:t xml:space="preserve">Al respecto, el Centro PRODH indicó su preocupación por la convalidación del uso de la fuerza letal en contextos de protesta, por lo que </w:t>
      </w:r>
      <w:r w:rsidR="005E388E" w:rsidRPr="004E3E07">
        <w:rPr>
          <w:rFonts w:ascii="Cambria" w:eastAsia="Cambria" w:hAnsi="Cambria" w:cs="Cambria"/>
          <w:sz w:val="20"/>
          <w:szCs w:val="20"/>
          <w:lang w:val="es-MX"/>
        </w:rPr>
        <w:t>las organizaciones de la socieda</w:t>
      </w:r>
      <w:r w:rsidR="005E388E">
        <w:rPr>
          <w:rFonts w:ascii="Cambria" w:eastAsia="Cambria" w:hAnsi="Cambria" w:cs="Cambria"/>
          <w:sz w:val="20"/>
          <w:szCs w:val="20"/>
          <w:lang w:val="es-MX"/>
        </w:rPr>
        <w:t xml:space="preserve">d civil, </w:t>
      </w:r>
      <w:r w:rsidR="005E388E" w:rsidRPr="004E3E07">
        <w:rPr>
          <w:rFonts w:ascii="Cambria" w:eastAsia="Cambria" w:hAnsi="Cambria" w:cs="Cambria"/>
          <w:sz w:val="20"/>
          <w:szCs w:val="20"/>
          <w:lang w:val="es-MX"/>
        </w:rPr>
        <w:t xml:space="preserve">en audiencia pública </w:t>
      </w:r>
      <w:r w:rsidR="005E388E">
        <w:rPr>
          <w:rFonts w:ascii="Cambria" w:eastAsia="Cambria" w:hAnsi="Cambria" w:cs="Cambria"/>
          <w:sz w:val="20"/>
          <w:szCs w:val="20"/>
          <w:lang w:val="es-MX"/>
        </w:rPr>
        <w:t xml:space="preserve">celebrada en el marco de su 181 periodo de sesiones, presentaron </w:t>
      </w:r>
      <w:r w:rsidR="005E388E" w:rsidRPr="004E3E07">
        <w:rPr>
          <w:rFonts w:ascii="Cambria" w:eastAsia="Cambria" w:hAnsi="Cambria" w:cs="Cambria"/>
          <w:sz w:val="20"/>
          <w:szCs w:val="20"/>
          <w:lang w:val="es-MX"/>
        </w:rPr>
        <w:t>ante la CID</w:t>
      </w:r>
      <w:r w:rsidR="005E388E">
        <w:rPr>
          <w:rFonts w:ascii="Cambria" w:eastAsia="Cambria" w:hAnsi="Cambria" w:cs="Cambria"/>
          <w:sz w:val="20"/>
          <w:szCs w:val="20"/>
          <w:lang w:val="es-MX"/>
        </w:rPr>
        <w:t xml:space="preserve">H </w:t>
      </w:r>
      <w:r w:rsidRPr="004E3E07">
        <w:rPr>
          <w:rFonts w:ascii="Cambria" w:eastAsia="Cambria" w:hAnsi="Cambria" w:cs="Cambria"/>
          <w:sz w:val="20"/>
          <w:szCs w:val="20"/>
          <w:lang w:val="es-MX"/>
        </w:rPr>
        <w:t>sus principales preocupaciones respecto a situación de derechos humanos de las mujeres y niñas en contextos de protestas</w:t>
      </w:r>
      <w:r w:rsidRPr="004E3E07">
        <w:rPr>
          <w:rFonts w:ascii="Cambria" w:eastAsia="Cambria" w:hAnsi="Cambria" w:cs="Cambria"/>
          <w:sz w:val="20"/>
          <w:szCs w:val="20"/>
          <w:vertAlign w:val="superscript"/>
          <w:lang w:val="es-MX"/>
        </w:rPr>
        <w:footnoteReference w:id="30"/>
      </w:r>
      <w:r w:rsidRPr="004E3E07">
        <w:rPr>
          <w:rFonts w:ascii="Cambria" w:eastAsia="Cambria" w:hAnsi="Cambria" w:cs="Cambria"/>
          <w:sz w:val="20"/>
          <w:szCs w:val="20"/>
          <w:lang w:val="es-MX"/>
        </w:rPr>
        <w:t xml:space="preserve">. </w:t>
      </w:r>
    </w:p>
    <w:p w14:paraId="1460694A" w14:textId="3C15E7F9" w:rsidR="002277F5" w:rsidRPr="004E3E07" w:rsidRDefault="00C47E57" w:rsidP="004E3E07">
      <w:pPr>
        <w:numPr>
          <w:ilvl w:val="0"/>
          <w:numId w:val="5"/>
        </w:numPr>
        <w:spacing w:after="240" w:line="240" w:lineRule="auto"/>
        <w:ind w:left="0" w:firstLine="720"/>
        <w:jc w:val="both"/>
        <w:rPr>
          <w:rFonts w:ascii="Cambria" w:eastAsia="Cambria" w:hAnsi="Cambria" w:cs="Cambria"/>
          <w:sz w:val="20"/>
          <w:szCs w:val="20"/>
          <w:lang w:val="es-MX"/>
        </w:rPr>
      </w:pPr>
      <w:r>
        <w:rPr>
          <w:rFonts w:ascii="Cambria" w:eastAsia="Cambria" w:hAnsi="Cambria" w:cs="Cambria"/>
          <w:sz w:val="20"/>
          <w:szCs w:val="20"/>
          <w:lang w:val="es-MX"/>
        </w:rPr>
        <w:t>Dado que el ley sobre el uso de la fuerza ya fue adoptada, l</w:t>
      </w:r>
      <w:r w:rsidR="007E25FF" w:rsidRPr="004E3E07">
        <w:rPr>
          <w:rFonts w:ascii="Cambria" w:eastAsia="Cambria" w:hAnsi="Cambria" w:cs="Cambria"/>
          <w:sz w:val="20"/>
          <w:szCs w:val="20"/>
          <w:lang w:val="es-MX"/>
        </w:rPr>
        <w:t>a CIDH considera que la recomendación se encuentra en cumplimiento total, pero continuará monitoreando la implementación normativa</w:t>
      </w:r>
      <w:r>
        <w:rPr>
          <w:rStyle w:val="FootnoteReference"/>
          <w:rFonts w:ascii="Cambria" w:eastAsia="Cambria" w:hAnsi="Cambria" w:cs="Cambria"/>
          <w:sz w:val="20"/>
          <w:szCs w:val="20"/>
          <w:lang w:val="es-MX"/>
        </w:rPr>
        <w:footnoteReference w:id="31"/>
      </w:r>
      <w:r w:rsidR="007E25FF" w:rsidRPr="004E3E07">
        <w:rPr>
          <w:rFonts w:ascii="Cambria" w:eastAsia="Cambria" w:hAnsi="Cambria" w:cs="Cambria"/>
          <w:sz w:val="20"/>
          <w:szCs w:val="20"/>
          <w:lang w:val="es-MX"/>
        </w:rPr>
        <w:t>.</w:t>
      </w:r>
    </w:p>
    <w:p w14:paraId="1460694B" w14:textId="7789125A" w:rsidR="002277F5" w:rsidRPr="004E3E07" w:rsidRDefault="007E25FF" w:rsidP="004E3E07">
      <w:pPr>
        <w:numPr>
          <w:ilvl w:val="0"/>
          <w:numId w:val="5"/>
        </w:numPr>
        <w:shd w:val="clear" w:color="auto" w:fill="FFFFFF"/>
        <w:spacing w:after="240" w:line="240" w:lineRule="auto"/>
        <w:ind w:left="0" w:firstLine="720"/>
        <w:jc w:val="both"/>
        <w:rPr>
          <w:rFonts w:ascii="Cambria" w:eastAsia="Cambria" w:hAnsi="Cambria" w:cs="Cambria"/>
          <w:sz w:val="20"/>
          <w:szCs w:val="20"/>
          <w:lang w:val="es-MX"/>
        </w:rPr>
      </w:pPr>
      <w:r w:rsidRPr="004E3E07">
        <w:rPr>
          <w:rFonts w:ascii="Cambria" w:eastAsia="Cambria" w:hAnsi="Cambria" w:cs="Cambria"/>
          <w:sz w:val="20"/>
          <w:szCs w:val="20"/>
          <w:lang w:val="es-MX"/>
        </w:rPr>
        <w:t xml:space="preserve">En relación con la recomendación relativa a </w:t>
      </w:r>
      <w:r w:rsidRPr="004E3E07">
        <w:rPr>
          <w:rFonts w:ascii="Cambria" w:eastAsia="Cambria" w:hAnsi="Cambria" w:cs="Cambria"/>
          <w:b/>
          <w:bCs/>
          <w:sz w:val="20"/>
          <w:szCs w:val="20"/>
          <w:lang w:val="es-MX"/>
        </w:rPr>
        <w:t>tomar medidas para que funcionarios federales y estatales se abstengan de emitir declaraciones públicas sobre la legalidad de la actuación de las fuerzas de seguridad en casos que puedan constituir un uso indebido de la fuerza antes de contar con los resultados de una investigación</w:t>
      </w:r>
      <w:r w:rsidRPr="004E3E07">
        <w:rPr>
          <w:rFonts w:ascii="Cambria" w:eastAsia="Cambria" w:hAnsi="Cambria" w:cs="Cambria"/>
          <w:sz w:val="20"/>
          <w:szCs w:val="20"/>
          <w:lang w:val="es-MX"/>
        </w:rPr>
        <w:t>, el Estado indicó que de conformidad con el artículo 32 de la Ley Nacio</w:t>
      </w:r>
      <w:r w:rsidR="002F1CA5">
        <w:rPr>
          <w:rFonts w:ascii="Cambria" w:eastAsia="Cambria" w:hAnsi="Cambria" w:cs="Cambria"/>
          <w:sz w:val="20"/>
          <w:szCs w:val="20"/>
          <w:lang w:val="es-MX"/>
        </w:rPr>
        <w:t xml:space="preserve">nal sobre el Uso de la Fuerza, </w:t>
      </w:r>
      <w:r w:rsidRPr="004E3E07">
        <w:rPr>
          <w:rFonts w:ascii="Cambria" w:eastAsia="Cambria" w:hAnsi="Cambria" w:cs="Cambria"/>
          <w:sz w:val="20"/>
          <w:szCs w:val="20"/>
          <w:lang w:val="es-MX"/>
        </w:rPr>
        <w:t xml:space="preserve">siempre que los miembros de las instituciones de seguridad utilicen la fuerza en cumplimiento de sus funciones deberán realizar un reporte pormenorizado a su superior jerárquico inmediato. Asimismo, las instituciones de seguridad deberán presentar a su vez informes públicos anuales que permitan conocer el desarrollo de las actividades que involucren el uso de la fuerza por parte de sus elementos. El Estado se refirió a la recomendación de la CNDH (2019) en la materia dirigida a la SEMAR para que sus </w:t>
      </w:r>
      <w:r w:rsidRPr="004E3E07">
        <w:rPr>
          <w:rFonts w:ascii="Cambria" w:eastAsia="Cambria" w:hAnsi="Cambria" w:cs="Cambria"/>
          <w:sz w:val="20"/>
          <w:szCs w:val="20"/>
          <w:lang w:val="es-MX"/>
        </w:rPr>
        <w:lastRenderedPageBreak/>
        <w:t xml:space="preserve">comunicados a la opinión pública sobre el uso de la fuerza sean confirmados y avalados por la autoridad competente. </w:t>
      </w:r>
    </w:p>
    <w:p w14:paraId="1460694D" w14:textId="0BCFAECC" w:rsidR="002277F5" w:rsidRPr="00035575" w:rsidRDefault="006662E1" w:rsidP="00035575">
      <w:pPr>
        <w:numPr>
          <w:ilvl w:val="0"/>
          <w:numId w:val="5"/>
        </w:numPr>
        <w:shd w:val="clear" w:color="auto" w:fill="FFFFFF"/>
        <w:spacing w:after="240" w:line="240" w:lineRule="auto"/>
        <w:ind w:left="0" w:firstLine="720"/>
        <w:jc w:val="both"/>
        <w:rPr>
          <w:rFonts w:ascii="Cambria" w:eastAsia="Cambria" w:hAnsi="Cambria" w:cs="Cambria"/>
          <w:sz w:val="20"/>
          <w:szCs w:val="20"/>
          <w:lang w:val="es-MX"/>
        </w:rPr>
      </w:pPr>
      <w:r w:rsidRPr="00035575">
        <w:rPr>
          <w:rFonts w:ascii="Cambria" w:eastAsia="Cambria" w:hAnsi="Cambria" w:cs="Cambria"/>
          <w:sz w:val="20"/>
          <w:szCs w:val="20"/>
          <w:lang w:val="es-MX"/>
        </w:rPr>
        <w:t xml:space="preserve">La CIDH </w:t>
      </w:r>
      <w:r w:rsidR="00DF5F3F" w:rsidRPr="00035575">
        <w:rPr>
          <w:rFonts w:ascii="Cambria" w:eastAsia="Cambria" w:hAnsi="Cambria" w:cs="Cambria"/>
          <w:sz w:val="20"/>
          <w:szCs w:val="20"/>
          <w:lang w:val="es-MX"/>
        </w:rPr>
        <w:t>expresa su preocupación por las declaraciones del Poder Ejecutivo</w:t>
      </w:r>
      <w:r w:rsidR="00F1313C" w:rsidRPr="00035575">
        <w:rPr>
          <w:rFonts w:ascii="Cambria" w:eastAsia="Cambria" w:hAnsi="Cambria" w:cs="Cambria"/>
          <w:sz w:val="20"/>
          <w:szCs w:val="20"/>
          <w:lang w:val="es-MX"/>
        </w:rPr>
        <w:t>, de modo anticipado, a las Fuerzas Armadas frente a posibles acusaciones por violaciones a los derechos humanos</w:t>
      </w:r>
      <w:r w:rsidR="00F1313C" w:rsidRPr="00035575">
        <w:rPr>
          <w:rStyle w:val="FootnoteReference"/>
          <w:rFonts w:ascii="Cambria" w:eastAsia="Cambria" w:hAnsi="Cambria" w:cs="Cambria"/>
          <w:sz w:val="20"/>
          <w:szCs w:val="20"/>
          <w:lang w:val="es-MX"/>
        </w:rPr>
        <w:footnoteReference w:id="32"/>
      </w:r>
      <w:r w:rsidR="00F1313C" w:rsidRPr="00035575">
        <w:rPr>
          <w:rFonts w:ascii="Cambria" w:eastAsia="Cambria" w:hAnsi="Cambria" w:cs="Cambria"/>
          <w:sz w:val="20"/>
          <w:szCs w:val="20"/>
          <w:lang w:val="es-MX"/>
        </w:rPr>
        <w:t xml:space="preserve">. En un contexto criticado </w:t>
      </w:r>
      <w:r w:rsidR="005C1D6B" w:rsidRPr="00035575">
        <w:rPr>
          <w:rFonts w:ascii="Cambria" w:eastAsia="Cambria" w:hAnsi="Cambria" w:cs="Cambria"/>
          <w:sz w:val="20"/>
          <w:szCs w:val="20"/>
          <w:lang w:val="es-MX"/>
        </w:rPr>
        <w:t xml:space="preserve">por la participacion de entidades militares en tareas civiles, la CIDH considera necesario </w:t>
      </w:r>
      <w:r w:rsidR="00074ED1" w:rsidRPr="00035575">
        <w:rPr>
          <w:rFonts w:ascii="Cambria" w:eastAsia="Cambria" w:hAnsi="Cambria" w:cs="Cambria"/>
          <w:sz w:val="20"/>
          <w:szCs w:val="20"/>
          <w:lang w:val="es-MX"/>
        </w:rPr>
        <w:t xml:space="preserve">que, en seguimiento a la recomendación bajo análisis, el Estado </w:t>
      </w:r>
      <w:r w:rsidR="003E7094" w:rsidRPr="00035575">
        <w:rPr>
          <w:rFonts w:ascii="Cambria" w:eastAsia="Cambria" w:hAnsi="Cambria" w:cs="Cambria"/>
          <w:sz w:val="20"/>
          <w:szCs w:val="20"/>
          <w:lang w:val="es-MX"/>
        </w:rPr>
        <w:t>refuerce sus discursos sobre rendición de cuentas y lucha contra la impunidad</w:t>
      </w:r>
      <w:r w:rsidR="00035575" w:rsidRPr="00035575">
        <w:rPr>
          <w:rFonts w:ascii="Cambria" w:eastAsia="Cambria" w:hAnsi="Cambria" w:cs="Cambria"/>
          <w:sz w:val="20"/>
          <w:szCs w:val="20"/>
          <w:lang w:val="es-MX"/>
        </w:rPr>
        <w:t xml:space="preserve">. </w:t>
      </w:r>
      <w:r w:rsidR="007E25FF" w:rsidRPr="00035575">
        <w:rPr>
          <w:rFonts w:ascii="Cambria" w:eastAsia="Cambria" w:hAnsi="Cambria" w:cs="Cambria"/>
          <w:sz w:val="20"/>
          <w:szCs w:val="20"/>
          <w:lang w:val="es-MX"/>
        </w:rPr>
        <w:t>En función de lo anterior, la Comisión considera que la recomendación se encuentra aún en cumplimiento parcial.</w:t>
      </w:r>
    </w:p>
    <w:p w14:paraId="1460694E" w14:textId="33858534" w:rsidR="002277F5" w:rsidRPr="004E3E07" w:rsidRDefault="007E25FF" w:rsidP="004E3E07">
      <w:pPr>
        <w:numPr>
          <w:ilvl w:val="0"/>
          <w:numId w:val="5"/>
        </w:numPr>
        <w:shd w:val="clear" w:color="auto" w:fill="FFFFFF"/>
        <w:spacing w:after="240" w:line="240" w:lineRule="auto"/>
        <w:ind w:left="0" w:firstLine="720"/>
        <w:jc w:val="both"/>
        <w:rPr>
          <w:rFonts w:ascii="Cambria" w:eastAsia="Cambria" w:hAnsi="Cambria" w:cs="Cambria"/>
          <w:sz w:val="20"/>
          <w:szCs w:val="20"/>
          <w:lang w:val="es-MX"/>
        </w:rPr>
      </w:pPr>
      <w:r w:rsidRPr="004E3E07">
        <w:rPr>
          <w:rFonts w:ascii="Cambria" w:eastAsia="Cambria" w:hAnsi="Cambria" w:cs="Cambria"/>
          <w:sz w:val="20"/>
          <w:szCs w:val="20"/>
          <w:lang w:val="es-MX"/>
        </w:rPr>
        <w:t xml:space="preserve">En relación con la recomendación </w:t>
      </w:r>
      <w:r w:rsidRPr="004E3E07">
        <w:rPr>
          <w:rFonts w:ascii="Cambria" w:eastAsia="Cambria" w:hAnsi="Cambria" w:cs="Cambria"/>
          <w:b/>
          <w:bCs/>
          <w:sz w:val="20"/>
          <w:szCs w:val="20"/>
          <w:lang w:val="es-MX"/>
        </w:rPr>
        <w:t>de adoptar e implementar medidas de rendición de cuentas por un cuerpo independiente de todas las fuerzas de seguridad en relación a operativos y tareas de seguridad pública en donde haya privación de la vida</w:t>
      </w:r>
      <w:r w:rsidRPr="004E3E07">
        <w:rPr>
          <w:rFonts w:ascii="Cambria" w:eastAsia="Cambria" w:hAnsi="Cambria" w:cs="Cambria"/>
          <w:sz w:val="20"/>
          <w:szCs w:val="20"/>
          <w:lang w:val="es-MX"/>
        </w:rPr>
        <w:t xml:space="preserve"> el Estado informó que el artículo 43 de la Ley Nacional sobre el Uso de la Fuerza establece que “las infracciones derivadas del uso indebido de la fuerza, cometidas por integrantes de las instituciones de seguridad pública, así como de la Fuerza Armada permanente, cuando actúen en tareas de seguridad pública, deberán ser sancionadas en términos de las disposiciones legales civ</w:t>
      </w:r>
      <w:r w:rsidR="002F1CA5">
        <w:rPr>
          <w:rFonts w:ascii="Cambria" w:eastAsia="Cambria" w:hAnsi="Cambria" w:cs="Cambria"/>
          <w:sz w:val="20"/>
          <w:szCs w:val="20"/>
          <w:lang w:val="es-MX"/>
        </w:rPr>
        <w:t>iles, penales o administrativas</w:t>
      </w:r>
      <w:r w:rsidRPr="004E3E07">
        <w:rPr>
          <w:rFonts w:ascii="Cambria" w:eastAsia="Cambria" w:hAnsi="Cambria" w:cs="Cambria"/>
          <w:sz w:val="20"/>
          <w:szCs w:val="20"/>
          <w:lang w:val="es-MX"/>
        </w:rPr>
        <w:t xml:space="preserve"> correspondientes; por lo que corresponde a la Fiscalía General de la República (FGR) y a la Secretaría de la Función Pública llevar a cabo las investigaciones respectivas, y no a las propias instituciones de seguridad pública”</w:t>
      </w:r>
      <w:r w:rsidR="002F1CA5">
        <w:rPr>
          <w:rStyle w:val="FootnoteReference"/>
          <w:rFonts w:ascii="Cambria" w:eastAsia="Cambria" w:hAnsi="Cambria" w:cs="Cambria"/>
          <w:sz w:val="20"/>
          <w:szCs w:val="20"/>
          <w:lang w:val="es-MX"/>
        </w:rPr>
        <w:footnoteReference w:id="33"/>
      </w:r>
      <w:r w:rsidRPr="004E3E07">
        <w:rPr>
          <w:rFonts w:ascii="Cambria" w:eastAsia="Cambria" w:hAnsi="Cambria" w:cs="Cambria"/>
          <w:sz w:val="20"/>
          <w:szCs w:val="20"/>
          <w:lang w:val="es-MX"/>
        </w:rPr>
        <w:t>. Asimismo, el Estado se refirió también a la Ley General de Responsabilidad Administrativa que obliga a los elementos de las instituciones de seguridad denunciar cualquier hecho en que se presuma se ha cometido algún delito antes las autoridades correspondientes</w:t>
      </w:r>
      <w:r w:rsidR="00895753">
        <w:rPr>
          <w:rStyle w:val="FootnoteReference"/>
          <w:rFonts w:ascii="Cambria" w:eastAsia="Cambria" w:hAnsi="Cambria" w:cs="Cambria"/>
          <w:sz w:val="20"/>
          <w:szCs w:val="20"/>
          <w:lang w:val="es-MX"/>
        </w:rPr>
        <w:footnoteReference w:id="34"/>
      </w:r>
      <w:r w:rsidRPr="004E3E07">
        <w:rPr>
          <w:rFonts w:ascii="Cambria" w:eastAsia="Cambria" w:hAnsi="Cambria" w:cs="Cambria"/>
          <w:sz w:val="20"/>
          <w:szCs w:val="20"/>
          <w:lang w:val="es-MX"/>
        </w:rPr>
        <w:t>.</w:t>
      </w:r>
    </w:p>
    <w:p w14:paraId="1460694F" w14:textId="0EB6FB30" w:rsidR="002277F5" w:rsidRPr="004E3E07" w:rsidRDefault="007E25FF" w:rsidP="4395A72F">
      <w:pPr>
        <w:numPr>
          <w:ilvl w:val="0"/>
          <w:numId w:val="5"/>
        </w:numPr>
        <w:shd w:val="clear" w:color="auto" w:fill="FFFFFF" w:themeFill="background1"/>
        <w:spacing w:after="240" w:line="240" w:lineRule="auto"/>
        <w:ind w:left="0" w:firstLine="720"/>
        <w:jc w:val="both"/>
        <w:rPr>
          <w:rFonts w:ascii="Cambria" w:eastAsia="Cambria" w:hAnsi="Cambria" w:cs="Cambria"/>
          <w:sz w:val="20"/>
          <w:szCs w:val="20"/>
          <w:lang w:val="es-MX"/>
        </w:rPr>
      </w:pPr>
      <w:r w:rsidRPr="004E3E07">
        <w:rPr>
          <w:rFonts w:ascii="Cambria" w:eastAsia="Cambria" w:hAnsi="Cambria" w:cs="Cambria"/>
          <w:sz w:val="20"/>
          <w:szCs w:val="20"/>
          <w:lang w:val="es-MX"/>
        </w:rPr>
        <w:t>Sobre esta recomendación, el Centro PRODH ha mostrado públicamente su preocupación respecto de que el órgano de control interno de la Guardia Nacional (Unidad de Asuntos Internos) se encuentre encabezado por un General de Brigada en retiro. Asimismo, de acuerdo con su estudio sobre las quejas y denuncias de la labor de la GN entre mayo de 2019 y marzo de 2021, el Centro PRODH encontró que existen 4.867 expedientes de investigación de los cu</w:t>
      </w:r>
      <w:r w:rsidR="00933213" w:rsidRPr="004E3E07">
        <w:rPr>
          <w:rFonts w:ascii="Cambria" w:eastAsia="Cambria" w:hAnsi="Cambria" w:cs="Cambria"/>
          <w:sz w:val="20"/>
          <w:szCs w:val="20"/>
          <w:lang w:val="es-MX"/>
        </w:rPr>
        <w:t>a</w:t>
      </w:r>
      <w:r w:rsidRPr="004E3E07">
        <w:rPr>
          <w:rFonts w:ascii="Cambria" w:eastAsia="Cambria" w:hAnsi="Cambria" w:cs="Cambria"/>
          <w:sz w:val="20"/>
          <w:szCs w:val="20"/>
          <w:lang w:val="es-MX"/>
        </w:rPr>
        <w:t>les 3483 se encuentran en trámite. De los casos en trámite, la CIDH observa que 161 se tratan de eventos en los que se hizo uso de la fuerza y armas de fuego, aunque en ninguno de ellos se concluyó la existencia de excesivo uso de la fuerza o la fuerza letal. Estas cifras resultan poco convincentes, según lo calificado por el Centro PRODH</w:t>
      </w:r>
      <w:r w:rsidRPr="004E3E07">
        <w:rPr>
          <w:rFonts w:ascii="Cambria" w:eastAsia="Cambria" w:hAnsi="Cambria" w:cs="Cambria"/>
          <w:sz w:val="20"/>
          <w:szCs w:val="20"/>
          <w:vertAlign w:val="superscript"/>
          <w:lang w:val="es-MX"/>
        </w:rPr>
        <w:footnoteReference w:id="35"/>
      </w:r>
      <w:r w:rsidRPr="004E3E07">
        <w:rPr>
          <w:rFonts w:ascii="Cambria" w:eastAsia="Cambria" w:hAnsi="Cambria" w:cs="Cambria"/>
          <w:sz w:val="20"/>
          <w:szCs w:val="20"/>
          <w:lang w:val="es-MX"/>
        </w:rPr>
        <w:t>.</w:t>
      </w:r>
    </w:p>
    <w:p w14:paraId="14606950" w14:textId="77777777" w:rsidR="002277F5" w:rsidRPr="004E3E07" w:rsidRDefault="007E25FF" w:rsidP="004E3E07">
      <w:pPr>
        <w:numPr>
          <w:ilvl w:val="0"/>
          <w:numId w:val="5"/>
        </w:numPr>
        <w:shd w:val="clear" w:color="auto" w:fill="FFFFFF"/>
        <w:spacing w:after="240" w:line="240" w:lineRule="auto"/>
        <w:ind w:left="0" w:firstLine="720"/>
        <w:jc w:val="both"/>
        <w:rPr>
          <w:rFonts w:ascii="Cambria" w:eastAsia="Cambria" w:hAnsi="Cambria" w:cs="Cambria"/>
          <w:sz w:val="20"/>
          <w:szCs w:val="20"/>
          <w:lang w:val="es-MX"/>
        </w:rPr>
      </w:pPr>
      <w:r w:rsidRPr="004E3E07">
        <w:rPr>
          <w:rFonts w:ascii="Cambria" w:eastAsia="Cambria" w:hAnsi="Cambria" w:cs="Cambria"/>
          <w:sz w:val="20"/>
          <w:szCs w:val="20"/>
          <w:lang w:val="es-MX"/>
        </w:rPr>
        <w:t>Asimismo, la CIDH reitera</w:t>
      </w:r>
      <w:r w:rsidRPr="004E3E07">
        <w:rPr>
          <w:rFonts w:ascii="Cambria" w:eastAsia="Cambria" w:hAnsi="Cambria" w:cs="Cambria"/>
          <w:sz w:val="20"/>
          <w:szCs w:val="20"/>
          <w:vertAlign w:val="superscript"/>
          <w:lang w:val="es-MX"/>
        </w:rPr>
        <w:footnoteReference w:id="36"/>
      </w:r>
      <w:r w:rsidRPr="004E3E07">
        <w:rPr>
          <w:rFonts w:ascii="Cambria" w:eastAsia="Cambria" w:hAnsi="Cambria" w:cs="Cambria"/>
          <w:sz w:val="20"/>
          <w:szCs w:val="20"/>
          <w:lang w:val="es-MX"/>
        </w:rPr>
        <w:t xml:space="preserve"> que en el Caso Mujeres víctimas de tortura sexual en Atenco vs. México ante la Corte Interamericana, este órgano dispuso como medida de reparación que el Estado mexicano debía establecer a nivel federal un “observatorio independiente que permita dar seguimiento a la implementación de las políticas en materia de rendición de cuentas y monitoreo del uso de la fuerza de la Policía Federal y la policía del estado de México, dentro del cual se permita la participación de miembros de la sociedad civil. Asimismo, dicho observatorio deberá generar información que permita realizar mejoras institucionales en la materia. Para tales efectos, el Estado deberá generar sistemas de información que permitan: (i) evaluar la efectividad de los mecanismos existentes de supervisión y fiscalización de los operativos policiales antes, </w:t>
      </w:r>
      <w:r w:rsidRPr="004E3E07">
        <w:rPr>
          <w:rFonts w:ascii="Cambria" w:eastAsia="Cambria" w:hAnsi="Cambria" w:cs="Cambria"/>
          <w:sz w:val="20"/>
          <w:szCs w:val="20"/>
          <w:lang w:val="es-MX"/>
        </w:rPr>
        <w:lastRenderedPageBreak/>
        <w:t>durante y después del uso de la fuerza, y (ii) brindar retroalimentación sobre las mejoras institucionales que correspondan de acuerdo con la información obtenida por medio del observatorio”</w:t>
      </w:r>
      <w:r w:rsidRPr="004E3E07">
        <w:rPr>
          <w:rFonts w:ascii="Cambria" w:eastAsia="Cambria" w:hAnsi="Cambria" w:cs="Cambria"/>
          <w:sz w:val="20"/>
          <w:szCs w:val="20"/>
          <w:vertAlign w:val="superscript"/>
          <w:lang w:val="es-MX"/>
        </w:rPr>
        <w:footnoteReference w:id="37"/>
      </w:r>
      <w:r w:rsidRPr="004E3E07">
        <w:rPr>
          <w:rFonts w:ascii="Cambria" w:eastAsia="Cambria" w:hAnsi="Cambria" w:cs="Cambria"/>
          <w:sz w:val="20"/>
          <w:szCs w:val="20"/>
          <w:lang w:val="es-MX"/>
        </w:rPr>
        <w:t>.</w:t>
      </w:r>
    </w:p>
    <w:p w14:paraId="53274E57" w14:textId="1B4188E1" w:rsidR="00257149" w:rsidRPr="004E3E07" w:rsidRDefault="007E25FF" w:rsidP="004E3E07">
      <w:pPr>
        <w:numPr>
          <w:ilvl w:val="0"/>
          <w:numId w:val="5"/>
        </w:numPr>
        <w:shd w:val="clear" w:color="auto" w:fill="FFFFFF"/>
        <w:spacing w:after="240" w:line="240" w:lineRule="auto"/>
        <w:ind w:left="0" w:firstLine="720"/>
        <w:jc w:val="both"/>
        <w:rPr>
          <w:rFonts w:ascii="Cambria" w:eastAsia="Cambria" w:hAnsi="Cambria" w:cs="Cambria"/>
          <w:sz w:val="20"/>
          <w:szCs w:val="20"/>
          <w:lang w:val="es-MX"/>
        </w:rPr>
      </w:pPr>
      <w:r w:rsidRPr="004E3E07">
        <w:rPr>
          <w:rFonts w:ascii="Cambria" w:eastAsia="Cambria" w:hAnsi="Cambria" w:cs="Cambria"/>
          <w:sz w:val="20"/>
          <w:szCs w:val="20"/>
          <w:lang w:val="es-MX"/>
        </w:rPr>
        <w:t>En función de lo anterior, la CIDH da cuenta de que el Estado ha descrito el proceso interno de control del uso de la fuerza letal según lo estipulado en la Ley Nacional sobre el Uso de la Fuerza, pero no aportó información sobre la operación de estos mecanismos de rendición de cuentas. Asimismo, la CIDH también nota que no se informó sobre el estado de cumplimiento de la recomendación de la Corte en el caso previamente indicado. Siendo que el contenido de la recomendación de la CIDH apunta</w:t>
      </w:r>
      <w:r w:rsidR="00736E75">
        <w:rPr>
          <w:rFonts w:ascii="Cambria" w:eastAsia="Cambria" w:hAnsi="Cambria" w:cs="Cambria"/>
          <w:sz w:val="20"/>
          <w:szCs w:val="20"/>
          <w:lang w:val="es-MX"/>
        </w:rPr>
        <w:t xml:space="preserve">, no solo a la habilitación normativa correspondientes, sino </w:t>
      </w:r>
      <w:r w:rsidRPr="004E3E07">
        <w:rPr>
          <w:rFonts w:ascii="Cambria" w:eastAsia="Cambria" w:hAnsi="Cambria" w:cs="Cambria"/>
          <w:sz w:val="20"/>
          <w:szCs w:val="20"/>
          <w:lang w:val="es-MX"/>
        </w:rPr>
        <w:t xml:space="preserve">a que la rendición de cuentas debe ser encabezada por un cuerpo independiente de las fuerzas de seguridad, precisamente para asegurar la imparcialidad respecto del procesamiento de la información reportada, la Comisión concluye que la recomendación se encuentra aún en cumplimiento parcial. </w:t>
      </w:r>
    </w:p>
    <w:p w14:paraId="58248DD2" w14:textId="7812396F" w:rsidR="000B20D4" w:rsidRPr="005B34E0" w:rsidRDefault="00947533" w:rsidP="004E3E07">
      <w:pPr>
        <w:numPr>
          <w:ilvl w:val="0"/>
          <w:numId w:val="5"/>
        </w:numPr>
        <w:shd w:val="clear" w:color="auto" w:fill="FFFFFF"/>
        <w:spacing w:after="240" w:line="240" w:lineRule="auto"/>
        <w:ind w:left="0" w:firstLine="720"/>
        <w:jc w:val="both"/>
        <w:rPr>
          <w:rFonts w:ascii="Cambria" w:eastAsia="Cambria" w:hAnsi="Cambria" w:cs="Cambria"/>
          <w:sz w:val="20"/>
          <w:szCs w:val="20"/>
          <w:lang w:val="es-MX"/>
        </w:rPr>
      </w:pPr>
      <w:r w:rsidRPr="004E3E07">
        <w:rPr>
          <w:rFonts w:ascii="Cambria" w:eastAsia="Cambria" w:hAnsi="Cambria" w:cs="Cambria"/>
          <w:sz w:val="20"/>
          <w:szCs w:val="20"/>
          <w:lang w:val="es-MX"/>
        </w:rPr>
        <w:t xml:space="preserve">Respecto de la recomendación sobre </w:t>
      </w:r>
      <w:r w:rsidRPr="004E3E07">
        <w:rPr>
          <w:rFonts w:ascii="Cambria" w:eastAsia="Cambria" w:hAnsi="Cambria" w:cs="Cambria"/>
          <w:b/>
          <w:bCs/>
          <w:sz w:val="20"/>
          <w:szCs w:val="20"/>
          <w:lang w:val="es-MX"/>
        </w:rPr>
        <w:t>asegurar que, en casos de desaparición forzada, ejecuciones extrajudiciales y tortura, las líneas de investigación no sólo respondan a la autoría material, sino que incluya la responsabilidad de la cadena de mando</w:t>
      </w:r>
      <w:r w:rsidR="00895753">
        <w:rPr>
          <w:rFonts w:ascii="Cambria" w:eastAsia="Cambria" w:hAnsi="Cambria" w:cs="Cambria"/>
          <w:sz w:val="20"/>
          <w:szCs w:val="20"/>
          <w:lang w:val="es-MX"/>
        </w:rPr>
        <w:t xml:space="preserve">, </w:t>
      </w:r>
      <w:r w:rsidRPr="004E3E07">
        <w:rPr>
          <w:rFonts w:ascii="Cambria" w:eastAsia="Cambria" w:hAnsi="Cambria" w:cs="Cambria"/>
          <w:sz w:val="20"/>
          <w:szCs w:val="20"/>
          <w:lang w:val="es-MX"/>
        </w:rPr>
        <w:t xml:space="preserve">el Estado indicó que </w:t>
      </w:r>
      <w:r w:rsidR="0065040D" w:rsidRPr="004E3E07">
        <w:rPr>
          <w:rFonts w:ascii="Cambria" w:eastAsia="Cambria" w:hAnsi="Cambria" w:cs="Cambria"/>
          <w:sz w:val="20"/>
          <w:szCs w:val="20"/>
          <w:lang w:val="es-MX"/>
        </w:rPr>
        <w:t xml:space="preserve">los instrumentos normativos sobre las materias objeto de la recomendación disponen la responsabilidad de la cadena de mando. Así, </w:t>
      </w:r>
      <w:r w:rsidR="00D31721" w:rsidRPr="004E3E07">
        <w:rPr>
          <w:rFonts w:ascii="Cambria" w:eastAsia="Cambria" w:hAnsi="Cambria" w:cs="Cambria"/>
          <w:sz w:val="20"/>
          <w:szCs w:val="20"/>
          <w:lang w:val="es-MX"/>
        </w:rPr>
        <w:t>señaló</w:t>
      </w:r>
      <w:r w:rsidR="0065040D" w:rsidRPr="004E3E07">
        <w:rPr>
          <w:rFonts w:ascii="Cambria" w:eastAsia="Cambria" w:hAnsi="Cambria" w:cs="Cambria"/>
          <w:sz w:val="20"/>
          <w:szCs w:val="20"/>
          <w:lang w:val="es-MX"/>
        </w:rPr>
        <w:t xml:space="preserve"> que para el caso de desapariciones forzadas </w:t>
      </w:r>
      <w:r w:rsidRPr="004E3E07">
        <w:rPr>
          <w:rFonts w:ascii="Cambria" w:eastAsia="Cambria" w:hAnsi="Cambria" w:cs="Cambria"/>
          <w:sz w:val="20"/>
          <w:szCs w:val="20"/>
          <w:lang w:val="es-MX"/>
        </w:rPr>
        <w:t>el artículo</w:t>
      </w:r>
      <w:r w:rsidR="0065040D" w:rsidRPr="004E3E07">
        <w:rPr>
          <w:rFonts w:ascii="Cambria" w:eastAsia="Cambria" w:hAnsi="Cambria" w:cs="Cambria"/>
          <w:sz w:val="20"/>
          <w:szCs w:val="20"/>
          <w:lang w:val="es-MX"/>
        </w:rPr>
        <w:t xml:space="preserve"> </w:t>
      </w:r>
      <w:r w:rsidRPr="004E3E07">
        <w:rPr>
          <w:rFonts w:ascii="Cambria" w:eastAsia="Cambria" w:hAnsi="Cambria" w:cs="Cambria"/>
          <w:sz w:val="20"/>
          <w:szCs w:val="20"/>
          <w:lang w:val="es-MX"/>
        </w:rPr>
        <w:t>29 de la Ley General en Materia de Desaparición Forzada de Perso</w:t>
      </w:r>
      <w:r w:rsidR="00B362FA">
        <w:rPr>
          <w:rFonts w:ascii="Cambria" w:eastAsia="Cambria" w:hAnsi="Cambria" w:cs="Cambria"/>
          <w:sz w:val="20"/>
          <w:szCs w:val="20"/>
          <w:lang w:val="es-MX"/>
        </w:rPr>
        <w:t>nas, Desaparición cometida por P</w:t>
      </w:r>
      <w:r w:rsidRPr="004E3E07">
        <w:rPr>
          <w:rFonts w:ascii="Cambria" w:eastAsia="Cambria" w:hAnsi="Cambria" w:cs="Cambria"/>
          <w:sz w:val="20"/>
          <w:szCs w:val="20"/>
          <w:lang w:val="es-MX"/>
        </w:rPr>
        <w:t xml:space="preserve">articulares y el Sistema Nacional de Búsqueda de Personas </w:t>
      </w:r>
      <w:r w:rsidR="000B20D4" w:rsidRPr="004E3E07">
        <w:rPr>
          <w:rFonts w:ascii="Cambria" w:eastAsia="Cambria" w:hAnsi="Cambria" w:cs="Cambria"/>
          <w:sz w:val="20"/>
          <w:szCs w:val="20"/>
          <w:lang w:val="es-MX"/>
        </w:rPr>
        <w:t>establece</w:t>
      </w:r>
      <w:r w:rsidRPr="004E3E07">
        <w:rPr>
          <w:rFonts w:ascii="Cambria" w:eastAsia="Cambria" w:hAnsi="Cambria" w:cs="Cambria"/>
          <w:sz w:val="20"/>
          <w:szCs w:val="20"/>
          <w:lang w:val="es-MX"/>
        </w:rPr>
        <w:t xml:space="preserve"> que los superiores jerárquicos serán considerados autores del delito de desaparición forzada de personas en los términos de lo previsto en la legislación penal correspondiente.</w:t>
      </w:r>
      <w:r w:rsidR="0065040D" w:rsidRPr="004E3E07">
        <w:rPr>
          <w:rFonts w:ascii="Cambria" w:eastAsia="Cambria" w:hAnsi="Cambria" w:cs="Cambria"/>
          <w:sz w:val="20"/>
          <w:szCs w:val="20"/>
          <w:lang w:val="es-MX"/>
        </w:rPr>
        <w:t xml:space="preserve"> Sobre la tortura, </w:t>
      </w:r>
      <w:r w:rsidR="00D31721" w:rsidRPr="004E3E07">
        <w:rPr>
          <w:rFonts w:ascii="Cambria" w:eastAsia="Cambria" w:hAnsi="Cambria" w:cs="Cambria"/>
          <w:sz w:val="20"/>
          <w:szCs w:val="20"/>
          <w:lang w:val="es-MX"/>
        </w:rPr>
        <w:t>refirió</w:t>
      </w:r>
      <w:r w:rsidRPr="004E3E07">
        <w:rPr>
          <w:rFonts w:ascii="Cambria" w:eastAsia="Cambria" w:hAnsi="Cambria" w:cs="Cambria"/>
          <w:sz w:val="20"/>
          <w:szCs w:val="20"/>
          <w:lang w:val="es-MX"/>
        </w:rPr>
        <w:t xml:space="preserve"> que el artículo 13 de la Ley General para Prevenir, Investigar, Sancionar la Tortura y Otros Tratos o Penas Crueles, Inhumanos o Degradantes señala lo mismo que el artículo anterior estableciendo sanciones para servidores públicos que materialicen la conducta típica, particulares que intervengan a cualquier nivel en el acto delictivo y a los servidores públicos que teniendo conocimiento de la comisión de </w:t>
      </w:r>
      <w:r w:rsidRPr="005B34E0">
        <w:rPr>
          <w:rFonts w:ascii="Cambria" w:eastAsia="Cambria" w:hAnsi="Cambria" w:cs="Cambria"/>
          <w:sz w:val="20"/>
          <w:szCs w:val="20"/>
          <w:lang w:val="es-MX"/>
        </w:rPr>
        <w:t>conductas constitutivas de tortura se abstuviere de denunciar inmediatamente las mismas</w:t>
      </w:r>
      <w:r w:rsidR="00B362FA" w:rsidRPr="005B34E0">
        <w:rPr>
          <w:rStyle w:val="FootnoteReference"/>
          <w:rFonts w:ascii="Cambria" w:eastAsia="Cambria" w:hAnsi="Cambria" w:cs="Cambria"/>
          <w:sz w:val="20"/>
          <w:szCs w:val="20"/>
          <w:lang w:val="es-MX"/>
        </w:rPr>
        <w:footnoteReference w:id="38"/>
      </w:r>
      <w:r w:rsidR="00B362FA" w:rsidRPr="005B34E0">
        <w:rPr>
          <w:rFonts w:ascii="Cambria" w:eastAsia="Cambria" w:hAnsi="Cambria" w:cs="Cambria"/>
          <w:sz w:val="20"/>
          <w:szCs w:val="20"/>
          <w:lang w:val="es-MX"/>
        </w:rPr>
        <w:t>.</w:t>
      </w:r>
    </w:p>
    <w:p w14:paraId="0C169EEC" w14:textId="79E3C480" w:rsidR="008D4AEA" w:rsidRPr="005B34E0" w:rsidRDefault="5A7CAB9E" w:rsidP="7828E254">
      <w:pPr>
        <w:numPr>
          <w:ilvl w:val="0"/>
          <w:numId w:val="5"/>
        </w:numPr>
        <w:shd w:val="clear" w:color="auto" w:fill="FFFFFF" w:themeFill="background1"/>
        <w:spacing w:after="240" w:line="240" w:lineRule="auto"/>
        <w:ind w:left="0" w:firstLine="720"/>
        <w:jc w:val="both"/>
        <w:rPr>
          <w:rFonts w:ascii="Cambria" w:eastAsia="Cambria" w:hAnsi="Cambria" w:cs="Cambria"/>
          <w:sz w:val="20"/>
          <w:szCs w:val="20"/>
          <w:lang w:val="es-MX"/>
        </w:rPr>
      </w:pPr>
      <w:r w:rsidRPr="005B34E0">
        <w:rPr>
          <w:rFonts w:ascii="Cambria" w:eastAsia="Cambria" w:hAnsi="Cambria" w:cs="Cambria"/>
          <w:sz w:val="20"/>
          <w:szCs w:val="20"/>
          <w:lang w:val="es-MX"/>
        </w:rPr>
        <w:t xml:space="preserve">En cuanto a </w:t>
      </w:r>
      <w:r w:rsidR="0065040D" w:rsidRPr="005B34E0">
        <w:rPr>
          <w:rFonts w:ascii="Cambria" w:eastAsia="Cambria" w:hAnsi="Cambria" w:cs="Cambria"/>
          <w:sz w:val="20"/>
          <w:szCs w:val="20"/>
          <w:lang w:val="es-MX"/>
        </w:rPr>
        <w:t>l</w:t>
      </w:r>
      <w:r w:rsidR="3D0985F6" w:rsidRPr="005B34E0">
        <w:rPr>
          <w:rFonts w:ascii="Cambria" w:eastAsia="Cambria" w:hAnsi="Cambria" w:cs="Cambria"/>
          <w:sz w:val="20"/>
          <w:szCs w:val="20"/>
          <w:lang w:val="es-MX"/>
        </w:rPr>
        <w:t>os casos de</w:t>
      </w:r>
      <w:r w:rsidR="0065040D" w:rsidRPr="005B34E0">
        <w:rPr>
          <w:rFonts w:ascii="Cambria" w:eastAsia="Cambria" w:hAnsi="Cambria" w:cs="Cambria"/>
          <w:sz w:val="20"/>
          <w:szCs w:val="20"/>
          <w:lang w:val="es-MX"/>
        </w:rPr>
        <w:t xml:space="preserve"> ej</w:t>
      </w:r>
      <w:r w:rsidR="009F6230" w:rsidRPr="005B34E0">
        <w:rPr>
          <w:rFonts w:ascii="Cambria" w:eastAsia="Cambria" w:hAnsi="Cambria" w:cs="Cambria"/>
          <w:sz w:val="20"/>
          <w:szCs w:val="20"/>
          <w:lang w:val="es-MX"/>
        </w:rPr>
        <w:t>ecuciones extrajudiciales, e</w:t>
      </w:r>
      <w:r w:rsidR="007E25FF" w:rsidRPr="005B34E0">
        <w:rPr>
          <w:rFonts w:ascii="Cambria" w:eastAsia="Cambria" w:hAnsi="Cambria" w:cs="Cambria"/>
          <w:sz w:val="20"/>
          <w:szCs w:val="20"/>
          <w:lang w:val="es-MX"/>
        </w:rPr>
        <w:t xml:space="preserve">l Estado </w:t>
      </w:r>
      <w:r w:rsidR="00AC44D3" w:rsidRPr="005B34E0">
        <w:rPr>
          <w:rFonts w:ascii="Cambria" w:eastAsia="Cambria" w:hAnsi="Cambria" w:cs="Cambria"/>
          <w:sz w:val="20"/>
          <w:szCs w:val="20"/>
          <w:lang w:val="es-MX"/>
        </w:rPr>
        <w:t>reiteró</w:t>
      </w:r>
      <w:r w:rsidR="007E25FF" w:rsidRPr="005B34E0">
        <w:rPr>
          <w:rFonts w:ascii="Cambria" w:eastAsia="Cambria" w:hAnsi="Cambria" w:cs="Cambria"/>
          <w:sz w:val="20"/>
          <w:szCs w:val="20"/>
          <w:lang w:val="es-MX"/>
        </w:rPr>
        <w:t xml:space="preserve"> </w:t>
      </w:r>
      <w:r w:rsidR="002B37F2" w:rsidRPr="005B34E0">
        <w:rPr>
          <w:rFonts w:ascii="Cambria" w:eastAsia="Cambria" w:hAnsi="Cambria" w:cs="Cambria"/>
          <w:sz w:val="20"/>
          <w:szCs w:val="20"/>
          <w:lang w:val="es-MX"/>
        </w:rPr>
        <w:t xml:space="preserve">que </w:t>
      </w:r>
      <w:r w:rsidR="007E25FF" w:rsidRPr="005B34E0">
        <w:rPr>
          <w:rFonts w:ascii="Cambria" w:eastAsia="Cambria" w:hAnsi="Cambria" w:cs="Cambria"/>
          <w:sz w:val="20"/>
          <w:szCs w:val="20"/>
          <w:lang w:val="es-MX"/>
        </w:rPr>
        <w:t>la Ley Nacional sobre el Uso de la Fuerza</w:t>
      </w:r>
      <w:r w:rsidR="002B37F2" w:rsidRPr="005B34E0">
        <w:rPr>
          <w:rFonts w:ascii="Cambria" w:eastAsia="Cambria" w:hAnsi="Cambria" w:cs="Cambria"/>
          <w:sz w:val="20"/>
          <w:szCs w:val="20"/>
          <w:lang w:val="es-MX"/>
        </w:rPr>
        <w:t xml:space="preserve"> también </w:t>
      </w:r>
      <w:r w:rsidR="007E25FF" w:rsidRPr="005B34E0">
        <w:rPr>
          <w:rFonts w:ascii="Cambria" w:eastAsia="Cambria" w:hAnsi="Cambria" w:cs="Cambria"/>
          <w:sz w:val="20"/>
          <w:szCs w:val="20"/>
          <w:lang w:val="es-MX"/>
        </w:rPr>
        <w:t xml:space="preserve">establece que los superiores jerárquicos </w:t>
      </w:r>
      <w:r w:rsidR="0078293B" w:rsidRPr="005B34E0">
        <w:rPr>
          <w:rFonts w:ascii="Cambria" w:eastAsia="Cambria" w:hAnsi="Cambria" w:cs="Cambria"/>
          <w:sz w:val="20"/>
          <w:szCs w:val="20"/>
          <w:lang w:val="es-MX"/>
        </w:rPr>
        <w:t>son</w:t>
      </w:r>
      <w:r w:rsidR="007E25FF" w:rsidRPr="005B34E0">
        <w:rPr>
          <w:rFonts w:ascii="Cambria" w:eastAsia="Cambria" w:hAnsi="Cambria" w:cs="Cambria"/>
          <w:sz w:val="20"/>
          <w:szCs w:val="20"/>
          <w:lang w:val="es-MX"/>
        </w:rPr>
        <w:t xml:space="preserve"> responsables cuando deban tener o tengan conocimiento de que los agentes bajo su </w:t>
      </w:r>
      <w:r w:rsidR="00DD770A" w:rsidRPr="005B34E0">
        <w:rPr>
          <w:rFonts w:ascii="Cambria" w:eastAsia="Cambria" w:hAnsi="Cambria" w:cs="Cambria"/>
          <w:sz w:val="20"/>
          <w:szCs w:val="20"/>
          <w:lang w:val="es-MX"/>
        </w:rPr>
        <w:t>mando</w:t>
      </w:r>
      <w:r w:rsidR="007E25FF" w:rsidRPr="005B34E0">
        <w:rPr>
          <w:rFonts w:ascii="Cambria" w:eastAsia="Cambria" w:hAnsi="Cambria" w:cs="Cambria"/>
          <w:sz w:val="20"/>
          <w:szCs w:val="20"/>
          <w:lang w:val="es-MX"/>
        </w:rPr>
        <w:t xml:space="preserve"> hayan empleado ilícitamente la fuerza, los instrumentos o armas de fuego a su cargo y no lo impidan o denuncien ante las autoridades</w:t>
      </w:r>
      <w:r w:rsidR="007E25FF" w:rsidRPr="005B34E0">
        <w:rPr>
          <w:rFonts w:ascii="Cambria" w:eastAsia="Cambria" w:hAnsi="Cambria" w:cs="Cambria"/>
          <w:sz w:val="20"/>
          <w:szCs w:val="20"/>
          <w:vertAlign w:val="superscript"/>
          <w:lang w:val="es-MX"/>
        </w:rPr>
        <w:footnoteReference w:id="39"/>
      </w:r>
      <w:r w:rsidR="007E25FF" w:rsidRPr="005B34E0">
        <w:rPr>
          <w:rFonts w:ascii="Cambria" w:eastAsia="Cambria" w:hAnsi="Cambria" w:cs="Cambria"/>
          <w:sz w:val="20"/>
          <w:szCs w:val="20"/>
          <w:lang w:val="es-MX"/>
        </w:rPr>
        <w:t>.</w:t>
      </w:r>
    </w:p>
    <w:p w14:paraId="567B631C" w14:textId="70EEB332" w:rsidR="008D4AEA" w:rsidRPr="005B34E0" w:rsidRDefault="00866855" w:rsidP="004E3E07">
      <w:pPr>
        <w:numPr>
          <w:ilvl w:val="0"/>
          <w:numId w:val="5"/>
        </w:numPr>
        <w:shd w:val="clear" w:color="auto" w:fill="FFFFFF"/>
        <w:spacing w:after="240" w:line="240" w:lineRule="auto"/>
        <w:ind w:left="0" w:firstLine="720"/>
        <w:jc w:val="both"/>
        <w:rPr>
          <w:rFonts w:ascii="Cambria" w:eastAsia="Cambria" w:hAnsi="Cambria" w:cs="Cambria"/>
          <w:sz w:val="20"/>
          <w:szCs w:val="20"/>
          <w:lang w:val="es-MX"/>
        </w:rPr>
      </w:pPr>
      <w:r w:rsidRPr="005B34E0">
        <w:rPr>
          <w:rFonts w:ascii="Cambria" w:eastAsia="Cambria" w:hAnsi="Cambria" w:cs="Cambria"/>
          <w:sz w:val="20"/>
          <w:szCs w:val="20"/>
          <w:lang w:val="es-MX"/>
        </w:rPr>
        <w:t xml:space="preserve">Por su parte, el Centro PRODH </w:t>
      </w:r>
      <w:r w:rsidR="00112AA3" w:rsidRPr="005B34E0">
        <w:rPr>
          <w:rFonts w:ascii="Cambria" w:eastAsia="Cambria" w:hAnsi="Cambria" w:cs="Cambria"/>
          <w:sz w:val="20"/>
          <w:szCs w:val="20"/>
          <w:lang w:val="es-MX"/>
        </w:rPr>
        <w:t>indicó que</w:t>
      </w:r>
      <w:r w:rsidR="00A76F98" w:rsidRPr="005B34E0">
        <w:rPr>
          <w:rFonts w:ascii="Cambria" w:eastAsia="Cambria" w:hAnsi="Cambria" w:cs="Cambria"/>
          <w:sz w:val="20"/>
          <w:szCs w:val="20"/>
          <w:lang w:val="es-MX"/>
        </w:rPr>
        <w:t>,</w:t>
      </w:r>
      <w:r w:rsidR="00470840" w:rsidRPr="005B34E0">
        <w:rPr>
          <w:rFonts w:ascii="Cambria" w:eastAsia="Cambria" w:hAnsi="Cambria" w:cs="Cambria"/>
          <w:sz w:val="20"/>
          <w:szCs w:val="20"/>
          <w:lang w:val="es-MX"/>
        </w:rPr>
        <w:t xml:space="preserve"> </w:t>
      </w:r>
      <w:r w:rsidR="00112AA3" w:rsidRPr="005B34E0">
        <w:rPr>
          <w:rFonts w:ascii="Cambria" w:eastAsia="Cambria" w:hAnsi="Cambria" w:cs="Cambria"/>
          <w:sz w:val="20"/>
          <w:szCs w:val="20"/>
          <w:lang w:val="es-MX"/>
        </w:rPr>
        <w:t>en el contexto del</w:t>
      </w:r>
      <w:r w:rsidRPr="005B34E0">
        <w:rPr>
          <w:rFonts w:ascii="Cambria" w:eastAsia="Cambria" w:hAnsi="Cambria" w:cs="Cambria"/>
          <w:sz w:val="20"/>
          <w:szCs w:val="20"/>
          <w:lang w:val="es-MX"/>
        </w:rPr>
        <w:t xml:space="preserve"> c</w:t>
      </w:r>
      <w:r w:rsidR="00A76F98" w:rsidRPr="005B34E0">
        <w:rPr>
          <w:rFonts w:ascii="Cambria" w:eastAsia="Cambria" w:hAnsi="Cambria" w:cs="Cambria"/>
          <w:sz w:val="20"/>
          <w:szCs w:val="20"/>
          <w:lang w:val="es-MX"/>
        </w:rPr>
        <w:t xml:space="preserve">aso de la masacre de </w:t>
      </w:r>
      <w:r w:rsidRPr="005B34E0">
        <w:rPr>
          <w:rFonts w:ascii="Cambria" w:eastAsia="Cambria" w:hAnsi="Cambria" w:cs="Cambria"/>
          <w:sz w:val="20"/>
          <w:szCs w:val="20"/>
          <w:lang w:val="es-MX"/>
        </w:rPr>
        <w:t>Tlatlaya</w:t>
      </w:r>
      <w:r w:rsidR="001277AE" w:rsidRPr="005B34E0">
        <w:rPr>
          <w:rFonts w:ascii="Cambria" w:eastAsia="Cambria" w:hAnsi="Cambria" w:cs="Cambria"/>
          <w:sz w:val="20"/>
          <w:szCs w:val="20"/>
          <w:lang w:val="es-MX"/>
        </w:rPr>
        <w:t xml:space="preserve"> de</w:t>
      </w:r>
      <w:r w:rsidRPr="005B34E0">
        <w:rPr>
          <w:rFonts w:ascii="Cambria" w:eastAsia="Cambria" w:hAnsi="Cambria" w:cs="Cambria"/>
          <w:sz w:val="20"/>
          <w:szCs w:val="20"/>
          <w:lang w:val="es-MX"/>
        </w:rPr>
        <w:t xml:space="preserve"> del 2014, representativo del uso de la fuerza letal en operativos y supuestos enfrentamientos ocurridos entre el crimen organizado y las fuerzas armadas, </w:t>
      </w:r>
      <w:r w:rsidR="00EF7682" w:rsidRPr="005B34E0">
        <w:rPr>
          <w:rFonts w:ascii="Cambria" w:eastAsia="Cambria" w:hAnsi="Cambria" w:cs="Cambria"/>
          <w:sz w:val="20"/>
          <w:szCs w:val="20"/>
          <w:lang w:val="es-MX"/>
        </w:rPr>
        <w:t xml:space="preserve">se logró la reaprehensión de </w:t>
      </w:r>
      <w:r w:rsidR="00FB7948" w:rsidRPr="005B34E0">
        <w:rPr>
          <w:rFonts w:ascii="Cambria" w:eastAsia="Cambria" w:hAnsi="Cambria" w:cs="Cambria"/>
          <w:sz w:val="20"/>
          <w:szCs w:val="20"/>
          <w:lang w:val="es-MX"/>
        </w:rPr>
        <w:t xml:space="preserve">siete agentes de seguridad imputados en el caso, aunque </w:t>
      </w:r>
      <w:r w:rsidR="0051199D" w:rsidRPr="005B34E0">
        <w:rPr>
          <w:rFonts w:ascii="Cambria" w:eastAsia="Cambria" w:hAnsi="Cambria" w:cs="Cambria"/>
          <w:sz w:val="20"/>
          <w:szCs w:val="20"/>
          <w:lang w:val="es-MX"/>
        </w:rPr>
        <w:t>sigue siendo</w:t>
      </w:r>
      <w:r w:rsidR="00FB7948" w:rsidRPr="005B34E0">
        <w:rPr>
          <w:rFonts w:ascii="Cambria" w:eastAsia="Cambria" w:hAnsi="Cambria" w:cs="Cambria"/>
          <w:sz w:val="20"/>
          <w:szCs w:val="20"/>
          <w:lang w:val="es-MX"/>
        </w:rPr>
        <w:t xml:space="preserve"> inciert</w:t>
      </w:r>
      <w:r w:rsidR="00F66F1C" w:rsidRPr="005B34E0">
        <w:rPr>
          <w:rFonts w:ascii="Cambria" w:eastAsia="Cambria" w:hAnsi="Cambria" w:cs="Cambria"/>
          <w:sz w:val="20"/>
          <w:szCs w:val="20"/>
          <w:lang w:val="es-MX"/>
        </w:rPr>
        <w:t xml:space="preserve">a la fecha de la celebración de los juicios y el impulso del proceso. Además, informó a la CIDH que la responsabilidad </w:t>
      </w:r>
      <w:r w:rsidR="0051199D" w:rsidRPr="005B34E0">
        <w:rPr>
          <w:rFonts w:ascii="Cambria" w:eastAsia="Cambria" w:hAnsi="Cambria" w:cs="Cambria"/>
          <w:sz w:val="20"/>
          <w:szCs w:val="20"/>
          <w:lang w:val="es-MX"/>
        </w:rPr>
        <w:t>de la cadena de mando no es parte de la investigación</w:t>
      </w:r>
      <w:r w:rsidRPr="005B34E0">
        <w:rPr>
          <w:rFonts w:ascii="Cambria" w:eastAsia="Cambria" w:hAnsi="Cambria" w:cs="Cambria"/>
          <w:sz w:val="20"/>
          <w:szCs w:val="20"/>
          <w:vertAlign w:val="superscript"/>
          <w:lang w:val="es-MX"/>
        </w:rPr>
        <w:footnoteReference w:id="40"/>
      </w:r>
      <w:r w:rsidR="008D4AEA" w:rsidRPr="005B34E0">
        <w:rPr>
          <w:rFonts w:ascii="Cambria" w:eastAsia="Cambria" w:hAnsi="Cambria" w:cs="Cambria"/>
          <w:sz w:val="20"/>
          <w:szCs w:val="20"/>
          <w:lang w:val="es-MX"/>
        </w:rPr>
        <w:t>.</w:t>
      </w:r>
    </w:p>
    <w:p w14:paraId="14606957" w14:textId="77DD1F07" w:rsidR="002277F5" w:rsidRPr="004E3E07" w:rsidRDefault="007E25FF" w:rsidP="004E3E07">
      <w:pPr>
        <w:numPr>
          <w:ilvl w:val="0"/>
          <w:numId w:val="5"/>
        </w:numPr>
        <w:shd w:val="clear" w:color="auto" w:fill="FFFFFF" w:themeFill="background1"/>
        <w:spacing w:after="240" w:line="240" w:lineRule="auto"/>
        <w:ind w:left="0" w:firstLine="720"/>
        <w:jc w:val="both"/>
        <w:rPr>
          <w:rFonts w:ascii="Cambria" w:eastAsia="Cambria" w:hAnsi="Cambria" w:cs="Cambria"/>
          <w:sz w:val="20"/>
          <w:szCs w:val="20"/>
          <w:lang w:val="es-MX"/>
        </w:rPr>
      </w:pPr>
      <w:r w:rsidRPr="005B34E0">
        <w:rPr>
          <w:rFonts w:ascii="Cambria" w:eastAsia="Cambria" w:hAnsi="Cambria" w:cs="Cambria"/>
          <w:sz w:val="20"/>
          <w:szCs w:val="20"/>
          <w:lang w:val="es-MX"/>
        </w:rPr>
        <w:t>Al respecto</w:t>
      </w:r>
      <w:r w:rsidR="005E025C" w:rsidRPr="005B34E0">
        <w:rPr>
          <w:rFonts w:ascii="Cambria" w:eastAsia="Cambria" w:hAnsi="Cambria" w:cs="Cambria"/>
          <w:sz w:val="20"/>
          <w:szCs w:val="20"/>
          <w:lang w:val="es-MX"/>
        </w:rPr>
        <w:t>, la CIDH</w:t>
      </w:r>
      <w:r w:rsidR="00A02D54" w:rsidRPr="005B34E0">
        <w:rPr>
          <w:rFonts w:ascii="Cambria" w:eastAsia="Cambria" w:hAnsi="Cambria" w:cs="Cambria"/>
          <w:sz w:val="20"/>
          <w:szCs w:val="20"/>
          <w:lang w:val="es-MX"/>
        </w:rPr>
        <w:t xml:space="preserve"> </w:t>
      </w:r>
      <w:r w:rsidR="0D5597EE" w:rsidRPr="005B34E0">
        <w:rPr>
          <w:rFonts w:ascii="Cambria" w:eastAsia="Cambria" w:hAnsi="Cambria" w:cs="Cambria"/>
          <w:sz w:val="20"/>
          <w:szCs w:val="20"/>
          <w:lang w:val="es-MX"/>
        </w:rPr>
        <w:t>reitera</w:t>
      </w:r>
      <w:r w:rsidRPr="005B34E0">
        <w:rPr>
          <w:rFonts w:ascii="Cambria" w:hAnsi="Cambria"/>
          <w:sz w:val="20"/>
          <w:szCs w:val="20"/>
          <w:lang w:val="es-MX"/>
        </w:rPr>
        <w:t xml:space="preserve"> que el Capítulo XI de la Ley Nacional sobre Uso de la Fuerza sobre el Régimen de Responsabilidades establece avances en materia de lucha contra la impunidad en la seguridad</w:t>
      </w:r>
      <w:r w:rsidRPr="004E3E07">
        <w:rPr>
          <w:rFonts w:ascii="Cambria" w:hAnsi="Cambria"/>
          <w:sz w:val="20"/>
          <w:szCs w:val="20"/>
          <w:lang w:val="es-MX"/>
        </w:rPr>
        <w:t xml:space="preserve"> pública, regula supuestos bastante acotados al uso de la fuerza pública en operativos oficiales y por agentes identificados. Sin embargo, hechos de tortura, desaparición forzada y ejecuciones extrajudiciales pueden ser cometidos en operativos clandestinos, y en omisión o aquiescencia de agentes estatales, o por terceras </w:t>
      </w:r>
      <w:r w:rsidRPr="004E3E07">
        <w:rPr>
          <w:rFonts w:ascii="Cambria" w:hAnsi="Cambria"/>
          <w:sz w:val="20"/>
          <w:szCs w:val="20"/>
          <w:lang w:val="es-MX"/>
        </w:rPr>
        <w:lastRenderedPageBreak/>
        <w:t>personas</w:t>
      </w:r>
      <w:r w:rsidRPr="004E3E07">
        <w:rPr>
          <w:rFonts w:ascii="Cambria" w:eastAsia="Cambria" w:hAnsi="Cambria" w:cs="Cambria"/>
          <w:sz w:val="20"/>
          <w:szCs w:val="20"/>
          <w:vertAlign w:val="superscript"/>
          <w:lang w:val="es-MX"/>
        </w:rPr>
        <w:footnoteReference w:id="41"/>
      </w:r>
      <w:r w:rsidRPr="004E3E07">
        <w:rPr>
          <w:rFonts w:ascii="Cambria" w:eastAsia="Cambria" w:hAnsi="Cambria" w:cs="Cambria"/>
          <w:sz w:val="20"/>
          <w:szCs w:val="20"/>
          <w:lang w:val="es-MX"/>
        </w:rPr>
        <w:t xml:space="preserve">. </w:t>
      </w:r>
      <w:r w:rsidR="00001F3F" w:rsidRPr="004E3E07">
        <w:rPr>
          <w:rFonts w:ascii="Cambria" w:eastAsia="Cambria" w:hAnsi="Cambria" w:cs="Cambria"/>
          <w:sz w:val="20"/>
          <w:szCs w:val="20"/>
          <w:lang w:val="es-MX"/>
        </w:rPr>
        <w:t>En dichas oportunidades</w:t>
      </w:r>
      <w:r w:rsidRPr="004E3E07">
        <w:rPr>
          <w:rFonts w:ascii="Cambria" w:eastAsia="Cambria" w:hAnsi="Cambria" w:cs="Cambria"/>
          <w:sz w:val="20"/>
          <w:szCs w:val="20"/>
          <w:lang w:val="es-MX"/>
        </w:rPr>
        <w:t>, la CIDH también ha referido que, según la normativa aplicable en materia de desaparición forzada, las investigaciones sobre ese delito deben incluir la cadena de mando</w:t>
      </w:r>
      <w:r w:rsidRPr="004E3E07">
        <w:rPr>
          <w:rFonts w:ascii="Cambria" w:eastAsia="Cambria" w:hAnsi="Cambria" w:cs="Cambria"/>
          <w:sz w:val="20"/>
          <w:szCs w:val="20"/>
          <w:vertAlign w:val="superscript"/>
          <w:lang w:val="es-MX"/>
        </w:rPr>
        <w:footnoteReference w:id="42"/>
      </w:r>
      <w:r w:rsidRPr="004E3E07">
        <w:rPr>
          <w:rFonts w:ascii="Cambria" w:eastAsia="Cambria" w:hAnsi="Cambria" w:cs="Cambria"/>
          <w:sz w:val="20"/>
          <w:szCs w:val="20"/>
          <w:lang w:val="es-MX"/>
        </w:rPr>
        <w:t>.</w:t>
      </w:r>
    </w:p>
    <w:p w14:paraId="14606958" w14:textId="27E98394" w:rsidR="002277F5" w:rsidRPr="007B69C1" w:rsidRDefault="007E25FF" w:rsidP="007B69C1">
      <w:pPr>
        <w:numPr>
          <w:ilvl w:val="0"/>
          <w:numId w:val="5"/>
        </w:numPr>
        <w:shd w:val="clear" w:color="auto" w:fill="FFFFFF"/>
        <w:spacing w:after="240" w:line="240" w:lineRule="auto"/>
        <w:ind w:left="0" w:firstLine="720"/>
        <w:jc w:val="both"/>
        <w:rPr>
          <w:rFonts w:ascii="Cambria" w:eastAsia="Cambria" w:hAnsi="Cambria" w:cs="Cambria"/>
          <w:sz w:val="20"/>
          <w:szCs w:val="20"/>
          <w:lang w:val="es-MX"/>
        </w:rPr>
      </w:pPr>
      <w:r w:rsidRPr="004E3E07">
        <w:rPr>
          <w:rFonts w:ascii="Cambria" w:eastAsia="Cambria" w:hAnsi="Cambria" w:cs="Cambria"/>
          <w:sz w:val="20"/>
          <w:szCs w:val="20"/>
          <w:lang w:val="es-MX"/>
        </w:rPr>
        <w:t xml:space="preserve">En función de las consideraciones anteriores, </w:t>
      </w:r>
      <w:r w:rsidR="00D57D8D" w:rsidRPr="004E3E07">
        <w:rPr>
          <w:rFonts w:ascii="Cambria" w:eastAsia="Cambria" w:hAnsi="Cambria" w:cs="Cambria"/>
          <w:sz w:val="20"/>
          <w:szCs w:val="20"/>
          <w:lang w:val="es-MX"/>
        </w:rPr>
        <w:t xml:space="preserve">la CIDH encuentra reiterativa la información remitida por el Estado en sus dos últimos informes </w:t>
      </w:r>
      <w:r w:rsidR="00C476F8" w:rsidRPr="004E3E07">
        <w:rPr>
          <w:rFonts w:ascii="Cambria" w:eastAsia="Cambria" w:hAnsi="Cambria" w:cs="Cambria"/>
          <w:sz w:val="20"/>
          <w:szCs w:val="20"/>
          <w:lang w:val="es-MX"/>
        </w:rPr>
        <w:t xml:space="preserve">sobre la habilitación normativa que dispone contemple la incorporación de la cadena de mando en las líneas de investigación en las </w:t>
      </w:r>
      <w:r w:rsidRPr="004E3E07">
        <w:rPr>
          <w:rFonts w:ascii="Cambria" w:eastAsia="Cambria" w:hAnsi="Cambria" w:cs="Cambria"/>
          <w:sz w:val="20"/>
          <w:szCs w:val="20"/>
          <w:lang w:val="es-MX"/>
        </w:rPr>
        <w:t>investigaciones de graves violaciones</w:t>
      </w:r>
      <w:r w:rsidR="00C476F8" w:rsidRPr="004E3E07">
        <w:rPr>
          <w:rFonts w:ascii="Cambria" w:eastAsia="Cambria" w:hAnsi="Cambria" w:cs="Cambria"/>
          <w:sz w:val="20"/>
          <w:szCs w:val="20"/>
          <w:lang w:val="es-MX"/>
        </w:rPr>
        <w:t xml:space="preserve"> a los derechos humanos. Sin embargo, l</w:t>
      </w:r>
      <w:r w:rsidRPr="004E3E07">
        <w:rPr>
          <w:rFonts w:ascii="Cambria" w:eastAsia="Cambria" w:hAnsi="Cambria" w:cs="Cambria"/>
          <w:sz w:val="20"/>
          <w:szCs w:val="20"/>
          <w:lang w:val="es-MX"/>
        </w:rPr>
        <w:t>a evidencia proporcionada no muestra avances de la implementación de esta práctica en el plano jurisdiccional</w:t>
      </w:r>
      <w:r w:rsidR="007B69C1">
        <w:rPr>
          <w:rStyle w:val="FootnoteReference"/>
          <w:rFonts w:ascii="Cambria" w:eastAsia="Cambria" w:hAnsi="Cambria" w:cs="Cambria"/>
          <w:sz w:val="20"/>
          <w:szCs w:val="20"/>
          <w:lang w:val="es-MX"/>
        </w:rPr>
        <w:footnoteReference w:id="43"/>
      </w:r>
      <w:r w:rsidRPr="004E3E07">
        <w:rPr>
          <w:rFonts w:ascii="Cambria" w:eastAsia="Cambria" w:hAnsi="Cambria" w:cs="Cambria"/>
          <w:sz w:val="20"/>
          <w:szCs w:val="20"/>
          <w:lang w:val="es-MX"/>
        </w:rPr>
        <w:t>.</w:t>
      </w:r>
      <w:r w:rsidR="007B69C1">
        <w:rPr>
          <w:rFonts w:ascii="Cambria" w:eastAsia="Cambria" w:hAnsi="Cambria" w:cs="Cambria"/>
          <w:sz w:val="20"/>
          <w:szCs w:val="20"/>
          <w:lang w:val="es-MX"/>
        </w:rPr>
        <w:t xml:space="preserve"> </w:t>
      </w:r>
      <w:r w:rsidRPr="004E3E07">
        <w:rPr>
          <w:rFonts w:ascii="Cambria" w:eastAsia="Cambria" w:hAnsi="Cambria" w:cs="Cambria"/>
          <w:sz w:val="20"/>
          <w:szCs w:val="20"/>
          <w:lang w:val="es-MX"/>
        </w:rPr>
        <w:t xml:space="preserve"> </w:t>
      </w:r>
      <w:r w:rsidRPr="007B69C1">
        <w:rPr>
          <w:rFonts w:ascii="Cambria" w:eastAsia="Cambria" w:hAnsi="Cambria" w:cs="Cambria"/>
          <w:sz w:val="20"/>
          <w:szCs w:val="20"/>
          <w:lang w:val="es-MX"/>
        </w:rPr>
        <w:t>En estos términos, la CIDH considera que su recomendación se encuentra parcialmente cumplida.</w:t>
      </w:r>
    </w:p>
    <w:p w14:paraId="7800A428" w14:textId="4929A64B" w:rsidR="00355D8B" w:rsidRPr="004E3E07" w:rsidRDefault="00C476F8" w:rsidP="004E3E07">
      <w:pPr>
        <w:numPr>
          <w:ilvl w:val="0"/>
          <w:numId w:val="5"/>
        </w:numPr>
        <w:shd w:val="clear" w:color="auto" w:fill="FFFFFF"/>
        <w:spacing w:after="240" w:line="240" w:lineRule="auto"/>
        <w:ind w:left="0" w:firstLine="720"/>
        <w:jc w:val="both"/>
        <w:rPr>
          <w:rFonts w:ascii="Cambria" w:eastAsia="Cambria" w:hAnsi="Cambria" w:cs="Cambria"/>
          <w:sz w:val="20"/>
          <w:szCs w:val="20"/>
          <w:lang w:val="es-MX"/>
        </w:rPr>
      </w:pPr>
      <w:r w:rsidRPr="004E3E07">
        <w:rPr>
          <w:rFonts w:ascii="Cambria" w:eastAsia="Cambria" w:hAnsi="Cambria" w:cs="Cambria"/>
          <w:sz w:val="20"/>
          <w:szCs w:val="20"/>
          <w:lang w:val="es-MX"/>
        </w:rPr>
        <w:t xml:space="preserve">La CIDH recibió información del Estado en relación con la recomendación sobre </w:t>
      </w:r>
      <w:r w:rsidRPr="004E3E07">
        <w:rPr>
          <w:rFonts w:ascii="Cambria" w:eastAsia="Cambria" w:hAnsi="Cambria" w:cs="Cambria"/>
          <w:b/>
          <w:bCs/>
          <w:sz w:val="20"/>
          <w:szCs w:val="20"/>
          <w:lang w:val="es-MX"/>
        </w:rPr>
        <w:t xml:space="preserve">crear sistemas de información, recopilación y análisis de datos respecto de la violencia que afecta a mujeres, niñas, niños y adolescentes, personas migrantes, defensoras y defensores de derechos humanos, operadores de justicia, personas LGBT, pueblos indígenas y personas privadas de libertad. </w:t>
      </w:r>
      <w:r w:rsidR="00A00BAA" w:rsidRPr="004E3E07">
        <w:rPr>
          <w:rFonts w:ascii="Cambria" w:eastAsia="Cambria" w:hAnsi="Cambria" w:cs="Cambria"/>
          <w:sz w:val="20"/>
          <w:szCs w:val="20"/>
          <w:lang w:val="es-MX"/>
        </w:rPr>
        <w:t>R</w:t>
      </w:r>
      <w:r w:rsidRPr="004E3E07">
        <w:rPr>
          <w:rFonts w:ascii="Cambria" w:eastAsia="Cambria" w:hAnsi="Cambria" w:cs="Cambria"/>
          <w:sz w:val="20"/>
          <w:szCs w:val="20"/>
          <w:lang w:val="es-MX"/>
        </w:rPr>
        <w:t>especto</w:t>
      </w:r>
      <w:r w:rsidR="00A00BAA" w:rsidRPr="004E3E07">
        <w:rPr>
          <w:rFonts w:ascii="Cambria" w:eastAsia="Cambria" w:hAnsi="Cambria" w:cs="Cambria"/>
          <w:sz w:val="20"/>
          <w:szCs w:val="20"/>
          <w:lang w:val="es-MX"/>
        </w:rPr>
        <w:t xml:space="preserve"> de </w:t>
      </w:r>
      <w:r w:rsidR="00A00BAA" w:rsidRPr="004E3E07">
        <w:rPr>
          <w:rFonts w:ascii="Cambria" w:eastAsia="Cambria" w:hAnsi="Cambria" w:cs="Cambria"/>
          <w:b/>
          <w:sz w:val="20"/>
          <w:szCs w:val="20"/>
          <w:lang w:val="es-MX"/>
        </w:rPr>
        <w:t>niñas, niños y adolescentes</w:t>
      </w:r>
      <w:r w:rsidR="00406551">
        <w:rPr>
          <w:rFonts w:ascii="Cambria" w:eastAsia="Cambria" w:hAnsi="Cambria" w:cs="Cambria"/>
          <w:sz w:val="20"/>
          <w:szCs w:val="20"/>
          <w:lang w:val="es-MX"/>
        </w:rPr>
        <w:t xml:space="preserve">, </w:t>
      </w:r>
      <w:r w:rsidR="00A00BAA" w:rsidRPr="004E3E07">
        <w:rPr>
          <w:rFonts w:ascii="Cambria" w:eastAsia="Cambria" w:hAnsi="Cambria" w:cs="Cambria"/>
          <w:sz w:val="20"/>
          <w:szCs w:val="20"/>
          <w:lang w:val="es-MX"/>
        </w:rPr>
        <w:t xml:space="preserve">el Estado señalo que el Sistema Nacional para el Desarrollo Integral de la Familia </w:t>
      </w:r>
      <w:r w:rsidR="00247E80" w:rsidRPr="004E3E07">
        <w:rPr>
          <w:rFonts w:ascii="Cambria" w:eastAsia="Cambria" w:hAnsi="Cambria" w:cs="Cambria"/>
          <w:sz w:val="20"/>
          <w:szCs w:val="20"/>
          <w:lang w:val="es-MX"/>
        </w:rPr>
        <w:t xml:space="preserve">(DIF) </w:t>
      </w:r>
      <w:r w:rsidR="00A00BAA" w:rsidRPr="004E3E07">
        <w:rPr>
          <w:rFonts w:ascii="Cambria" w:eastAsia="Cambria" w:hAnsi="Cambria" w:cs="Cambria"/>
          <w:sz w:val="20"/>
          <w:szCs w:val="20"/>
          <w:lang w:val="es-MX"/>
        </w:rPr>
        <w:t>a través de la Procuraduría Federal de protección de Niñas, Niños y Adolescentes (PFPNNA) ha producido diferentes sistemas de información, recopilación y análisis de datos de la violencia. Entre ellos, el Estado mencionó el registro y control de información de niñas y niños menores de 3 años que viven con su madre privada de libertad en el CEFERESO No.16 “CPS Femenil Morelos”; así como de sus hijos adolescentes que están bajo el cuidado de terceros; el registro de reportes de maltrato a niñas, niños y adolescentes; y la creación de un sistema que almacena y administra información de niñas, niños y adolescentes en contexto de migración</w:t>
      </w:r>
      <w:r w:rsidR="00CB1C61" w:rsidRPr="004E3E07">
        <w:rPr>
          <w:rStyle w:val="FootnoteReference"/>
          <w:rFonts w:ascii="Cambria" w:eastAsia="Cambria" w:hAnsi="Cambria" w:cs="Cambria"/>
          <w:sz w:val="20"/>
          <w:szCs w:val="20"/>
          <w:lang w:val="es-MX"/>
        </w:rPr>
        <w:footnoteReference w:id="44"/>
      </w:r>
      <w:r w:rsidR="00406551">
        <w:rPr>
          <w:rFonts w:ascii="Cambria" w:eastAsia="Cambria" w:hAnsi="Cambria" w:cs="Cambria"/>
          <w:sz w:val="20"/>
          <w:szCs w:val="20"/>
          <w:lang w:val="es-MX"/>
        </w:rPr>
        <w:t>.</w:t>
      </w:r>
    </w:p>
    <w:p w14:paraId="3B296843" w14:textId="0F9A7BE0" w:rsidR="003460E7" w:rsidRPr="004E3E07" w:rsidRDefault="001859E4" w:rsidP="004E3E07">
      <w:pPr>
        <w:numPr>
          <w:ilvl w:val="0"/>
          <w:numId w:val="5"/>
        </w:numPr>
        <w:shd w:val="clear" w:color="auto" w:fill="FFFFFF"/>
        <w:spacing w:after="240" w:line="240" w:lineRule="auto"/>
        <w:ind w:left="0" w:firstLine="720"/>
        <w:jc w:val="both"/>
        <w:rPr>
          <w:rFonts w:ascii="Cambria" w:eastAsia="Cambria" w:hAnsi="Cambria" w:cs="Cambria"/>
          <w:sz w:val="20"/>
          <w:szCs w:val="20"/>
          <w:lang w:val="es-MX"/>
        </w:rPr>
      </w:pPr>
      <w:r w:rsidRPr="004E3E07">
        <w:rPr>
          <w:rFonts w:ascii="Cambria" w:eastAsia="Cambria" w:hAnsi="Cambria" w:cs="Cambria"/>
          <w:sz w:val="20"/>
          <w:szCs w:val="20"/>
          <w:lang w:val="es-MX"/>
        </w:rPr>
        <w:t>El</w:t>
      </w:r>
      <w:r w:rsidR="008F4FF7" w:rsidRPr="004E3E07">
        <w:rPr>
          <w:rFonts w:ascii="Cambria" w:hAnsi="Cambria"/>
          <w:lang w:val="es-MX"/>
        </w:rPr>
        <w:t xml:space="preserve"> </w:t>
      </w:r>
      <w:r w:rsidRPr="004E3E07">
        <w:rPr>
          <w:rFonts w:ascii="Cambria" w:eastAsia="Cambria" w:hAnsi="Cambria" w:cs="Cambria"/>
          <w:sz w:val="20"/>
          <w:szCs w:val="20"/>
          <w:lang w:val="es-MX"/>
        </w:rPr>
        <w:t xml:space="preserve">Estado también informó </w:t>
      </w:r>
      <w:r w:rsidR="00645933" w:rsidRPr="004E3E07">
        <w:rPr>
          <w:rFonts w:ascii="Cambria" w:eastAsia="Cambria" w:hAnsi="Cambria" w:cs="Cambria"/>
          <w:sz w:val="20"/>
          <w:szCs w:val="20"/>
          <w:lang w:val="es-MX"/>
        </w:rPr>
        <w:t>que durante el 2021 se retomó</w:t>
      </w:r>
      <w:r w:rsidRPr="004E3E07">
        <w:rPr>
          <w:rFonts w:ascii="Cambria" w:eastAsia="Cambria" w:hAnsi="Cambria" w:cs="Cambria"/>
          <w:sz w:val="20"/>
          <w:szCs w:val="20"/>
          <w:lang w:val="es-MX"/>
        </w:rPr>
        <w:t xml:space="preserve"> </w:t>
      </w:r>
      <w:r w:rsidR="00645933" w:rsidRPr="004E3E07">
        <w:rPr>
          <w:rFonts w:ascii="Cambria" w:eastAsia="Cambria" w:hAnsi="Cambria" w:cs="Cambria"/>
          <w:sz w:val="20"/>
          <w:szCs w:val="20"/>
          <w:lang w:val="es-MX"/>
        </w:rPr>
        <w:t>el seguimiento para la construcción del “</w:t>
      </w:r>
      <w:r w:rsidRPr="004E3E07">
        <w:rPr>
          <w:rFonts w:ascii="Cambria" w:eastAsia="Cambria" w:hAnsi="Cambria" w:cs="Cambria"/>
          <w:sz w:val="20"/>
          <w:szCs w:val="20"/>
          <w:lang w:val="es-MX"/>
        </w:rPr>
        <w:t xml:space="preserve">Sistema Nacional de Información de Niñas, Niños y Adolescentes” </w:t>
      </w:r>
      <w:r w:rsidR="0044494C" w:rsidRPr="004E3E07">
        <w:rPr>
          <w:rFonts w:ascii="Cambria" w:eastAsia="Cambria" w:hAnsi="Cambria" w:cs="Cambria"/>
          <w:sz w:val="20"/>
          <w:szCs w:val="20"/>
          <w:lang w:val="es-MX"/>
        </w:rPr>
        <w:t xml:space="preserve">en cumplimiento </w:t>
      </w:r>
      <w:r w:rsidR="00B55D2B" w:rsidRPr="004E3E07">
        <w:rPr>
          <w:rFonts w:ascii="Cambria" w:eastAsia="Cambria" w:hAnsi="Cambria" w:cs="Cambria"/>
          <w:sz w:val="20"/>
          <w:szCs w:val="20"/>
          <w:lang w:val="es-MX"/>
        </w:rPr>
        <w:t xml:space="preserve">de lo dispuesto </w:t>
      </w:r>
      <w:r w:rsidR="00CF642C" w:rsidRPr="004E3E07">
        <w:rPr>
          <w:rFonts w:ascii="Cambria" w:eastAsia="Cambria" w:hAnsi="Cambria" w:cs="Cambria"/>
          <w:sz w:val="20"/>
          <w:szCs w:val="20"/>
          <w:lang w:val="es-MX"/>
        </w:rPr>
        <w:t>en la</w:t>
      </w:r>
      <w:r w:rsidR="00B55D2B" w:rsidRPr="004E3E07">
        <w:rPr>
          <w:rFonts w:ascii="Cambria" w:eastAsia="Cambria" w:hAnsi="Cambria" w:cs="Cambria"/>
          <w:sz w:val="20"/>
          <w:szCs w:val="20"/>
          <w:lang w:val="es-MX"/>
        </w:rPr>
        <w:t xml:space="preserve"> Ley General de los Derechos de Niñas, Niños y Adolescentes</w:t>
      </w:r>
      <w:r w:rsidR="00CF642C" w:rsidRPr="004E3E07">
        <w:rPr>
          <w:rStyle w:val="FootnoteReference"/>
          <w:rFonts w:ascii="Cambria" w:eastAsia="Cambria" w:hAnsi="Cambria" w:cs="Cambria"/>
          <w:sz w:val="20"/>
          <w:szCs w:val="20"/>
          <w:lang w:val="es-MX"/>
        </w:rPr>
        <w:footnoteReference w:id="45"/>
      </w:r>
      <w:r w:rsidR="00CF642C" w:rsidRPr="004E3E07">
        <w:rPr>
          <w:rFonts w:ascii="Cambria" w:eastAsia="Cambria" w:hAnsi="Cambria" w:cs="Cambria"/>
          <w:sz w:val="20"/>
          <w:szCs w:val="20"/>
          <w:lang w:val="es-MX"/>
        </w:rPr>
        <w:t>.</w:t>
      </w:r>
      <w:r w:rsidR="003460E7" w:rsidRPr="004E3E07">
        <w:rPr>
          <w:rFonts w:ascii="Cambria" w:eastAsia="Cambria" w:hAnsi="Cambria" w:cs="Cambria"/>
          <w:sz w:val="20"/>
          <w:szCs w:val="20"/>
          <w:lang w:val="es-MX"/>
        </w:rPr>
        <w:t xml:space="preserve"> </w:t>
      </w:r>
    </w:p>
    <w:p w14:paraId="4006C635" w14:textId="28036D2A" w:rsidR="00E05903" w:rsidRPr="004E3E07" w:rsidRDefault="003460E7" w:rsidP="004E3E07">
      <w:pPr>
        <w:numPr>
          <w:ilvl w:val="0"/>
          <w:numId w:val="5"/>
        </w:numPr>
        <w:shd w:val="clear" w:color="auto" w:fill="FFFFFF" w:themeFill="background1"/>
        <w:spacing w:after="240" w:line="240" w:lineRule="auto"/>
        <w:ind w:left="0" w:firstLine="720"/>
        <w:jc w:val="both"/>
        <w:rPr>
          <w:rFonts w:ascii="Cambria" w:eastAsia="Cambria" w:hAnsi="Cambria" w:cs="Cambria"/>
          <w:sz w:val="20"/>
          <w:szCs w:val="20"/>
          <w:lang w:val="es-MX"/>
        </w:rPr>
      </w:pPr>
      <w:r w:rsidRPr="004E3E07">
        <w:rPr>
          <w:rFonts w:ascii="Cambria" w:eastAsia="Cambria" w:hAnsi="Cambria" w:cs="Cambria"/>
          <w:sz w:val="20"/>
          <w:szCs w:val="20"/>
          <w:lang w:val="es-MX"/>
        </w:rPr>
        <w:t xml:space="preserve">Sobre la </w:t>
      </w:r>
      <w:r w:rsidR="00C54AC9" w:rsidRPr="004E3E07">
        <w:rPr>
          <w:rFonts w:ascii="Cambria" w:eastAsia="Cambria" w:hAnsi="Cambria" w:cs="Cambria"/>
          <w:sz w:val="20"/>
          <w:szCs w:val="20"/>
          <w:lang w:val="es-MX"/>
        </w:rPr>
        <w:t xml:space="preserve">información </w:t>
      </w:r>
      <w:r w:rsidR="785DE87E" w:rsidRPr="004E3E07">
        <w:rPr>
          <w:rFonts w:ascii="Cambria" w:eastAsia="Cambria" w:hAnsi="Cambria" w:cs="Cambria"/>
          <w:sz w:val="20"/>
          <w:szCs w:val="20"/>
          <w:lang w:val="es-MX"/>
        </w:rPr>
        <w:t>de</w:t>
      </w:r>
      <w:r w:rsidR="00C54AC9" w:rsidRPr="004E3E07">
        <w:rPr>
          <w:rFonts w:ascii="Cambria" w:eastAsia="Cambria" w:hAnsi="Cambria" w:cs="Cambria"/>
          <w:sz w:val="20"/>
          <w:szCs w:val="20"/>
          <w:lang w:val="es-MX"/>
        </w:rPr>
        <w:t xml:space="preserve"> violencia que afecta a</w:t>
      </w:r>
      <w:r w:rsidRPr="004E3E07">
        <w:rPr>
          <w:rFonts w:ascii="Cambria" w:eastAsia="Cambria" w:hAnsi="Cambria" w:cs="Cambria"/>
          <w:sz w:val="20"/>
          <w:szCs w:val="20"/>
          <w:lang w:val="es-MX"/>
        </w:rPr>
        <w:t xml:space="preserve"> </w:t>
      </w:r>
      <w:r w:rsidRPr="004E3E07">
        <w:rPr>
          <w:rFonts w:ascii="Cambria" w:eastAsia="Cambria" w:hAnsi="Cambria" w:cs="Cambria"/>
          <w:b/>
          <w:bCs/>
          <w:sz w:val="20"/>
          <w:szCs w:val="20"/>
          <w:lang w:val="es-MX"/>
        </w:rPr>
        <w:t xml:space="preserve">personas defensoras, </w:t>
      </w:r>
      <w:r w:rsidRPr="004E3E07">
        <w:rPr>
          <w:rFonts w:ascii="Cambria" w:eastAsia="Cambria" w:hAnsi="Cambria" w:cs="Cambria"/>
          <w:sz w:val="20"/>
          <w:szCs w:val="20"/>
          <w:lang w:val="es-MX"/>
        </w:rPr>
        <w:t xml:space="preserve">sin perjuicio del desarrollo específico en la recomendación </w:t>
      </w:r>
      <w:r w:rsidR="00C54AC9" w:rsidRPr="004E3E07">
        <w:rPr>
          <w:rFonts w:ascii="Cambria" w:eastAsia="Cambria" w:hAnsi="Cambria" w:cs="Cambria"/>
          <w:sz w:val="20"/>
          <w:szCs w:val="20"/>
          <w:lang w:val="es-MX"/>
        </w:rPr>
        <w:t>sobre</w:t>
      </w:r>
      <w:r w:rsidRPr="004E3E07">
        <w:rPr>
          <w:rFonts w:ascii="Cambria" w:eastAsia="Cambria" w:hAnsi="Cambria" w:cs="Cambria"/>
          <w:sz w:val="20"/>
          <w:szCs w:val="20"/>
          <w:lang w:val="es-MX"/>
        </w:rPr>
        <w:t xml:space="preserve"> la materia, el Estado informó que hasta</w:t>
      </w:r>
      <w:r w:rsidR="00F87CBA">
        <w:rPr>
          <w:rFonts w:ascii="Cambria" w:eastAsia="Cambria" w:hAnsi="Cambria" w:cs="Cambria"/>
          <w:sz w:val="20"/>
          <w:szCs w:val="20"/>
          <w:lang w:val="es-MX"/>
        </w:rPr>
        <w:t xml:space="preserve"> abril de 2021 el Mecanismo de P</w:t>
      </w:r>
      <w:r w:rsidRPr="004E3E07">
        <w:rPr>
          <w:rFonts w:ascii="Cambria" w:eastAsia="Cambria" w:hAnsi="Cambria" w:cs="Cambria"/>
          <w:sz w:val="20"/>
          <w:szCs w:val="20"/>
          <w:lang w:val="es-MX"/>
        </w:rPr>
        <w:t xml:space="preserve">rotección para personas defensoras y periodistas contaba con </w:t>
      </w:r>
      <w:r w:rsidR="002C4FF2">
        <w:rPr>
          <w:rFonts w:ascii="Cambria" w:eastAsia="Cambria" w:hAnsi="Cambria" w:cs="Cambria"/>
          <w:sz w:val="20"/>
          <w:szCs w:val="20"/>
          <w:lang w:val="es-MX"/>
        </w:rPr>
        <w:t>1.848</w:t>
      </w:r>
      <w:r w:rsidR="00601A9D" w:rsidRPr="008707E1">
        <w:rPr>
          <w:rStyle w:val="FootnoteReference"/>
          <w:rFonts w:ascii="Cambria" w:eastAsia="Cambria" w:hAnsi="Cambria" w:cs="Cambria"/>
          <w:sz w:val="20"/>
          <w:szCs w:val="20"/>
          <w:lang w:val="es-MX"/>
        </w:rPr>
        <w:footnoteReference w:id="46"/>
      </w:r>
      <w:r w:rsidRPr="004E3E07">
        <w:rPr>
          <w:rFonts w:ascii="Cambria" w:eastAsia="Cambria" w:hAnsi="Cambria" w:cs="Cambria"/>
          <w:sz w:val="20"/>
          <w:szCs w:val="20"/>
          <w:lang w:val="es-MX"/>
        </w:rPr>
        <w:t xml:space="preserve"> personas beneficiarias</w:t>
      </w:r>
      <w:r w:rsidR="00EE0C8C" w:rsidRPr="004E3E07">
        <w:rPr>
          <w:rFonts w:ascii="Cambria" w:eastAsia="Cambria" w:hAnsi="Cambria" w:cs="Cambria"/>
          <w:sz w:val="20"/>
          <w:szCs w:val="20"/>
          <w:lang w:val="es-MX"/>
        </w:rPr>
        <w:t xml:space="preserve">, habiendo detectado </w:t>
      </w:r>
      <w:r w:rsidR="008F4769" w:rsidRPr="004E3E07">
        <w:rPr>
          <w:rFonts w:ascii="Cambria" w:eastAsia="Cambria" w:hAnsi="Cambria" w:cs="Cambria"/>
          <w:sz w:val="20"/>
          <w:szCs w:val="20"/>
          <w:lang w:val="es-MX"/>
        </w:rPr>
        <w:t>la especial vulnerabilidad a la que están expuestas las personas defensoras ambientales</w:t>
      </w:r>
      <w:r w:rsidR="008F4769" w:rsidRPr="004E3E07">
        <w:rPr>
          <w:rStyle w:val="FootnoteReference"/>
          <w:rFonts w:ascii="Cambria" w:eastAsia="Cambria" w:hAnsi="Cambria" w:cs="Cambria"/>
          <w:sz w:val="20"/>
          <w:szCs w:val="20"/>
          <w:lang w:val="es-MX"/>
        </w:rPr>
        <w:footnoteReference w:id="47"/>
      </w:r>
      <w:r w:rsidR="008F4769" w:rsidRPr="004E3E07">
        <w:rPr>
          <w:rFonts w:ascii="Cambria" w:eastAsia="Cambria" w:hAnsi="Cambria" w:cs="Cambria"/>
          <w:sz w:val="20"/>
          <w:szCs w:val="20"/>
          <w:lang w:val="es-MX"/>
        </w:rPr>
        <w:t xml:space="preserve">. </w:t>
      </w:r>
    </w:p>
    <w:p w14:paraId="5E398A4C" w14:textId="5370C9E2" w:rsidR="006D26B7" w:rsidRPr="004E3E07" w:rsidRDefault="00E05903" w:rsidP="004E3E07">
      <w:pPr>
        <w:numPr>
          <w:ilvl w:val="0"/>
          <w:numId w:val="5"/>
        </w:numPr>
        <w:shd w:val="clear" w:color="auto" w:fill="FFFFFF"/>
        <w:spacing w:after="240" w:line="240" w:lineRule="auto"/>
        <w:ind w:left="0" w:firstLine="720"/>
        <w:jc w:val="both"/>
        <w:rPr>
          <w:rFonts w:ascii="Cambria" w:hAnsi="Cambria"/>
          <w:lang w:val="es-MX"/>
        </w:rPr>
      </w:pPr>
      <w:r w:rsidRPr="004E3E07">
        <w:rPr>
          <w:rFonts w:ascii="Cambria" w:eastAsia="Cambria" w:hAnsi="Cambria" w:cs="Cambria"/>
          <w:sz w:val="20"/>
          <w:szCs w:val="20"/>
          <w:lang w:val="es-MX"/>
        </w:rPr>
        <w:t xml:space="preserve">La CIDH también da cuenta de que el Estado informó sobre el sistema de información de la Comisión Ejecutiva de Atención a Víctimas (CEAV) </w:t>
      </w:r>
      <w:r w:rsidR="000E71EC" w:rsidRPr="004E3E07">
        <w:rPr>
          <w:rFonts w:ascii="Cambria" w:eastAsia="Cambria" w:hAnsi="Cambria" w:cs="Cambria"/>
          <w:sz w:val="20"/>
          <w:szCs w:val="20"/>
          <w:lang w:val="es-MX"/>
        </w:rPr>
        <w:t>cuya</w:t>
      </w:r>
      <w:r w:rsidRPr="004E3E07">
        <w:rPr>
          <w:rFonts w:ascii="Cambria" w:eastAsia="Cambria" w:hAnsi="Cambria" w:cs="Cambria"/>
          <w:sz w:val="20"/>
          <w:szCs w:val="20"/>
          <w:lang w:val="es-MX"/>
        </w:rPr>
        <w:t xml:space="preserve"> base de datos </w:t>
      </w:r>
      <w:r w:rsidR="000E71EC" w:rsidRPr="004E3E07">
        <w:rPr>
          <w:rFonts w:ascii="Cambria" w:eastAsia="Cambria" w:hAnsi="Cambria" w:cs="Cambria"/>
          <w:sz w:val="20"/>
          <w:szCs w:val="20"/>
          <w:lang w:val="es-MX"/>
        </w:rPr>
        <w:t>de víctimas permite identificar</w:t>
      </w:r>
      <w:r w:rsidRPr="004E3E07">
        <w:rPr>
          <w:rFonts w:ascii="Cambria" w:eastAsia="Cambria" w:hAnsi="Cambria" w:cs="Cambria"/>
          <w:sz w:val="20"/>
          <w:szCs w:val="20"/>
          <w:lang w:val="es-MX"/>
        </w:rPr>
        <w:t xml:space="preserve"> la edad, </w:t>
      </w:r>
      <w:r w:rsidRPr="004E3E07">
        <w:rPr>
          <w:rFonts w:ascii="Cambria" w:eastAsia="Cambria" w:hAnsi="Cambria" w:cs="Cambria"/>
          <w:b/>
          <w:sz w:val="20"/>
          <w:szCs w:val="20"/>
          <w:lang w:val="es-MX"/>
        </w:rPr>
        <w:t xml:space="preserve">sexo, </w:t>
      </w:r>
      <w:r w:rsidR="002541F4" w:rsidRPr="004E3E07">
        <w:rPr>
          <w:rFonts w:ascii="Cambria" w:eastAsia="Cambria" w:hAnsi="Cambria" w:cs="Cambria"/>
          <w:b/>
          <w:sz w:val="20"/>
          <w:szCs w:val="20"/>
          <w:lang w:val="es-MX"/>
        </w:rPr>
        <w:t>condición migratoria</w:t>
      </w:r>
      <w:r w:rsidRPr="004E3E07">
        <w:rPr>
          <w:rFonts w:ascii="Cambria" w:eastAsia="Cambria" w:hAnsi="Cambria" w:cs="Cambria"/>
          <w:b/>
          <w:sz w:val="20"/>
          <w:szCs w:val="20"/>
          <w:lang w:val="es-MX"/>
        </w:rPr>
        <w:t xml:space="preserve">, si es periodista o </w:t>
      </w:r>
      <w:r w:rsidR="002541F4" w:rsidRPr="004E3E07">
        <w:rPr>
          <w:rFonts w:ascii="Cambria" w:eastAsia="Cambria" w:hAnsi="Cambria" w:cs="Cambria"/>
          <w:b/>
          <w:sz w:val="20"/>
          <w:szCs w:val="20"/>
          <w:lang w:val="es-MX"/>
        </w:rPr>
        <w:t xml:space="preserve">persona </w:t>
      </w:r>
      <w:r w:rsidRPr="004E3E07">
        <w:rPr>
          <w:rFonts w:ascii="Cambria" w:eastAsia="Cambria" w:hAnsi="Cambria" w:cs="Cambria"/>
          <w:b/>
          <w:sz w:val="20"/>
          <w:szCs w:val="20"/>
          <w:lang w:val="es-MX"/>
        </w:rPr>
        <w:t xml:space="preserve">defensora de derechos humanos, </w:t>
      </w:r>
      <w:r w:rsidR="007D7D74" w:rsidRPr="004E3E07">
        <w:rPr>
          <w:rFonts w:ascii="Cambria" w:eastAsia="Cambria" w:hAnsi="Cambria" w:cs="Cambria"/>
          <w:b/>
          <w:sz w:val="20"/>
          <w:szCs w:val="20"/>
          <w:lang w:val="es-MX"/>
        </w:rPr>
        <w:t>pertenencia a</w:t>
      </w:r>
      <w:r w:rsidRPr="004E3E07">
        <w:rPr>
          <w:rFonts w:ascii="Cambria" w:eastAsia="Cambria" w:hAnsi="Cambria" w:cs="Cambria"/>
          <w:b/>
          <w:sz w:val="20"/>
          <w:szCs w:val="20"/>
          <w:lang w:val="es-MX"/>
        </w:rPr>
        <w:t xml:space="preserve"> comunidad indígena</w:t>
      </w:r>
      <w:r w:rsidRPr="004E3E07">
        <w:rPr>
          <w:rFonts w:ascii="Cambria" w:eastAsia="Cambria" w:hAnsi="Cambria" w:cs="Cambria"/>
          <w:sz w:val="20"/>
          <w:szCs w:val="20"/>
          <w:lang w:val="es-MX"/>
        </w:rPr>
        <w:t>, entre otras. Agregó que, durante el 2021, se han realizado acciones de mejora en las bases de datos que recopilan los datos generales de las resoluciones que se emiten en favor de las personas en su calidad de víctimas. Señalo que la CEAV tomó en cuenta la situación de la emergencia sanitaria por la COVID-19 ante las complicaciones que pueden encontrar las víctimas en la realización de trámites, debida diligencia, entre otros con la finalidad de evitar dilaciones innecesarias en el acceso a la información.</w:t>
      </w:r>
      <w:r w:rsidR="003460E7" w:rsidRPr="004E3E07">
        <w:rPr>
          <w:rFonts w:ascii="Cambria" w:eastAsia="Cambria" w:hAnsi="Cambria" w:cs="Cambria"/>
          <w:sz w:val="20"/>
          <w:szCs w:val="20"/>
          <w:lang w:val="es-MX"/>
        </w:rPr>
        <w:t xml:space="preserve"> Asimismo, el Estado también informó que el DIF, a través de la Unidad de Asistencia e Inclusión Social (UAIS), durante el 2021, ha recopilado trimestralmente información estadística, incluyendo temas de violencia, sobre </w:t>
      </w:r>
      <w:r w:rsidR="003460E7" w:rsidRPr="004E3E07">
        <w:rPr>
          <w:rFonts w:ascii="Cambria" w:eastAsia="Cambria" w:hAnsi="Cambria" w:cs="Cambria"/>
          <w:b/>
          <w:bCs/>
          <w:sz w:val="20"/>
          <w:szCs w:val="20"/>
          <w:lang w:val="es-MX"/>
        </w:rPr>
        <w:t>niñas, niños, adolescentes, mujeres, personas adultas mayores, personas migrantes y personas con discapacidad</w:t>
      </w:r>
      <w:r w:rsidR="003460E7" w:rsidRPr="004E3E07">
        <w:rPr>
          <w:rFonts w:ascii="Cambria" w:eastAsia="Cambria" w:hAnsi="Cambria" w:cs="Cambria"/>
          <w:sz w:val="20"/>
          <w:szCs w:val="20"/>
          <w:lang w:val="es-MX"/>
        </w:rPr>
        <w:t>, aunque no detalló los resultados de esta información</w:t>
      </w:r>
      <w:r w:rsidR="003460E7" w:rsidRPr="004E3E07">
        <w:rPr>
          <w:rStyle w:val="FootnoteReference"/>
          <w:rFonts w:ascii="Cambria" w:eastAsia="Cambria" w:hAnsi="Cambria" w:cs="Cambria"/>
          <w:sz w:val="20"/>
          <w:szCs w:val="20"/>
          <w:lang w:val="es-MX"/>
        </w:rPr>
        <w:footnoteReference w:id="48"/>
      </w:r>
      <w:r w:rsidR="003460E7" w:rsidRPr="004E3E07">
        <w:rPr>
          <w:rFonts w:ascii="Cambria" w:eastAsia="Cambria" w:hAnsi="Cambria" w:cs="Cambria"/>
          <w:sz w:val="20"/>
          <w:szCs w:val="20"/>
          <w:lang w:val="es-MX"/>
        </w:rPr>
        <w:t xml:space="preserve">. </w:t>
      </w:r>
    </w:p>
    <w:p w14:paraId="7ED2E99F" w14:textId="77777777" w:rsidR="007B69C1" w:rsidRPr="00CA506A" w:rsidRDefault="007F7B75" w:rsidP="007B69C1">
      <w:pPr>
        <w:numPr>
          <w:ilvl w:val="0"/>
          <w:numId w:val="5"/>
        </w:numPr>
        <w:shd w:val="clear" w:color="auto" w:fill="FFFFFF" w:themeFill="background1"/>
        <w:spacing w:after="240" w:line="240" w:lineRule="auto"/>
        <w:ind w:left="0" w:firstLine="720"/>
        <w:jc w:val="both"/>
        <w:rPr>
          <w:rFonts w:ascii="Cambria" w:eastAsia="Cambria" w:hAnsi="Cambria" w:cs="Cambria"/>
          <w:sz w:val="20"/>
          <w:szCs w:val="20"/>
          <w:lang w:val="es-MX"/>
        </w:rPr>
      </w:pPr>
      <w:r w:rsidRPr="004E3E07">
        <w:rPr>
          <w:rFonts w:ascii="Cambria" w:eastAsia="Cambria" w:hAnsi="Cambria" w:cs="Cambria"/>
          <w:sz w:val="20"/>
          <w:szCs w:val="20"/>
          <w:lang w:val="es-MX"/>
        </w:rPr>
        <w:t>La CIDH saluda que el Estado se encuentre conduciendo la Encuesta Nacional sobre Diversidad Sexual y de Género (INDESEG) 2021 cuya recolección de datos concluirá en 2022</w:t>
      </w:r>
      <w:r w:rsidR="00BE39AA" w:rsidRPr="004E3E07">
        <w:rPr>
          <w:rFonts w:ascii="Cambria" w:eastAsia="Cambria" w:hAnsi="Cambria" w:cs="Cambria"/>
          <w:sz w:val="20"/>
          <w:szCs w:val="20"/>
          <w:lang w:val="es-MX"/>
        </w:rPr>
        <w:t xml:space="preserve"> y cuyo objetivo busca identificar patrones de discriminación y violencia a los que esta población se ve expuesta </w:t>
      </w:r>
      <w:r w:rsidR="001A74CE" w:rsidRPr="004E3E07">
        <w:rPr>
          <w:rFonts w:ascii="Cambria" w:eastAsia="Cambria" w:hAnsi="Cambria" w:cs="Cambria"/>
          <w:sz w:val="20"/>
          <w:szCs w:val="20"/>
          <w:lang w:val="es-MX"/>
        </w:rPr>
        <w:t>cotidianamente</w:t>
      </w:r>
      <w:r w:rsidR="00BE39AA" w:rsidRPr="004E3E07">
        <w:rPr>
          <w:rStyle w:val="FootnoteReference"/>
          <w:rFonts w:ascii="Cambria" w:eastAsia="Cambria" w:hAnsi="Cambria" w:cs="Cambria"/>
          <w:sz w:val="20"/>
          <w:szCs w:val="20"/>
          <w:lang w:val="es-MX"/>
        </w:rPr>
        <w:footnoteReference w:id="49"/>
      </w:r>
      <w:r w:rsidRPr="004E3E07">
        <w:rPr>
          <w:rFonts w:ascii="Cambria" w:eastAsia="Cambria" w:hAnsi="Cambria" w:cs="Cambria"/>
          <w:sz w:val="20"/>
          <w:szCs w:val="20"/>
          <w:lang w:val="es-MX"/>
        </w:rPr>
        <w:t xml:space="preserve">. </w:t>
      </w:r>
      <w:r w:rsidR="005B4509" w:rsidRPr="004E3E07">
        <w:rPr>
          <w:rFonts w:ascii="Cambria" w:eastAsia="Cambria" w:hAnsi="Cambria" w:cs="Cambria"/>
          <w:sz w:val="20"/>
          <w:szCs w:val="20"/>
          <w:lang w:val="es-MX"/>
        </w:rPr>
        <w:t xml:space="preserve">Respecto de las </w:t>
      </w:r>
      <w:r w:rsidR="005B4509" w:rsidRPr="004E3E07">
        <w:rPr>
          <w:rFonts w:ascii="Cambria" w:eastAsia="Cambria" w:hAnsi="Cambria" w:cs="Cambria"/>
          <w:b/>
          <w:sz w:val="20"/>
          <w:szCs w:val="20"/>
          <w:lang w:val="es-MX"/>
        </w:rPr>
        <w:t>personas LGBTIQ</w:t>
      </w:r>
      <w:r w:rsidR="005B4509" w:rsidRPr="004E3E07">
        <w:rPr>
          <w:rFonts w:ascii="Cambria" w:eastAsia="Cambria" w:hAnsi="Cambria" w:cs="Cambria"/>
          <w:sz w:val="20"/>
          <w:szCs w:val="20"/>
          <w:lang w:val="es-MX"/>
        </w:rPr>
        <w:t xml:space="preserve">, la CIDH observa que la última encuesta </w:t>
      </w:r>
      <w:r w:rsidR="00285883" w:rsidRPr="004E3E07">
        <w:rPr>
          <w:rFonts w:ascii="Cambria" w:eastAsia="Cambria" w:hAnsi="Cambria" w:cs="Cambria"/>
          <w:sz w:val="20"/>
          <w:szCs w:val="20"/>
          <w:lang w:val="es-MX"/>
        </w:rPr>
        <w:t xml:space="preserve">aplicada por el </w:t>
      </w:r>
      <w:r w:rsidR="00285883" w:rsidRPr="00CA506A">
        <w:rPr>
          <w:rFonts w:ascii="Cambria" w:eastAsia="Cambria" w:hAnsi="Cambria" w:cs="Cambria"/>
          <w:sz w:val="20"/>
          <w:szCs w:val="20"/>
          <w:lang w:val="es-MX"/>
        </w:rPr>
        <w:t xml:space="preserve">Estado </w:t>
      </w:r>
      <w:r w:rsidR="005B4509" w:rsidRPr="00CA506A">
        <w:rPr>
          <w:rFonts w:ascii="Cambria" w:eastAsia="Cambria" w:hAnsi="Cambria" w:cs="Cambria"/>
          <w:sz w:val="20"/>
          <w:szCs w:val="20"/>
          <w:lang w:val="es-MX"/>
        </w:rPr>
        <w:t xml:space="preserve">sobre discriminación por motivos </w:t>
      </w:r>
      <w:r w:rsidR="001A74CE" w:rsidRPr="00CA506A">
        <w:rPr>
          <w:rFonts w:ascii="Cambria" w:eastAsia="Cambria" w:hAnsi="Cambria" w:cs="Cambria"/>
          <w:sz w:val="20"/>
          <w:szCs w:val="20"/>
          <w:lang w:val="es-MX"/>
        </w:rPr>
        <w:t>de</w:t>
      </w:r>
      <w:r w:rsidR="005B4509" w:rsidRPr="00CA506A">
        <w:rPr>
          <w:rFonts w:ascii="Cambria" w:eastAsia="Cambria" w:hAnsi="Cambria" w:cs="Cambria"/>
          <w:sz w:val="20"/>
          <w:szCs w:val="20"/>
          <w:lang w:val="es-MX"/>
        </w:rPr>
        <w:t xml:space="preserve"> orientación sexual e identidad de género data de 2018</w:t>
      </w:r>
      <w:r w:rsidR="005B4509" w:rsidRPr="00CA506A">
        <w:rPr>
          <w:rStyle w:val="FootnoteReference"/>
          <w:rFonts w:ascii="Cambria" w:eastAsia="Cambria" w:hAnsi="Cambria" w:cs="Cambria"/>
          <w:sz w:val="20"/>
          <w:szCs w:val="20"/>
          <w:lang w:val="es-MX"/>
        </w:rPr>
        <w:footnoteReference w:id="50"/>
      </w:r>
      <w:r w:rsidR="005B4509" w:rsidRPr="00CA506A">
        <w:rPr>
          <w:rFonts w:ascii="Cambria" w:eastAsia="Cambria" w:hAnsi="Cambria" w:cs="Cambria"/>
          <w:sz w:val="20"/>
          <w:szCs w:val="20"/>
          <w:lang w:val="es-MX"/>
        </w:rPr>
        <w:t>.</w:t>
      </w:r>
      <w:r w:rsidR="008D081D" w:rsidRPr="00CA506A">
        <w:rPr>
          <w:rFonts w:ascii="Cambria" w:eastAsia="Cambria" w:hAnsi="Cambria" w:cs="Cambria"/>
          <w:sz w:val="20"/>
          <w:szCs w:val="20"/>
          <w:lang w:val="es-MX"/>
        </w:rPr>
        <w:t xml:space="preserve"> </w:t>
      </w:r>
    </w:p>
    <w:p w14:paraId="4E91E767" w14:textId="5E3A54C5" w:rsidR="007B69C1" w:rsidRPr="00CA506A" w:rsidRDefault="007B69C1" w:rsidP="007B69C1">
      <w:pPr>
        <w:numPr>
          <w:ilvl w:val="0"/>
          <w:numId w:val="5"/>
        </w:numPr>
        <w:shd w:val="clear" w:color="auto" w:fill="FFFFFF" w:themeFill="background1"/>
        <w:spacing w:after="240" w:line="240" w:lineRule="auto"/>
        <w:ind w:left="0" w:firstLine="720"/>
        <w:jc w:val="both"/>
        <w:rPr>
          <w:rFonts w:ascii="Cambria" w:eastAsia="Cambria" w:hAnsi="Cambria" w:cs="Cambria"/>
          <w:sz w:val="20"/>
          <w:szCs w:val="20"/>
          <w:lang w:val="es-MX"/>
        </w:rPr>
      </w:pPr>
      <w:r w:rsidRPr="00CA506A">
        <w:rPr>
          <w:rFonts w:ascii="Cambria" w:eastAsia="Cambria" w:hAnsi="Cambria" w:cs="Cambria"/>
          <w:sz w:val="20"/>
          <w:szCs w:val="20"/>
          <w:lang w:val="es-MX"/>
        </w:rPr>
        <w:t>En sus observaciones al proyecto del presente informe, el Estado señaló que la periodicidad en el levantamiento de la ENDOSIG como cualquier otro instrumento estadístico responde tanto a su estructura metodológica como a la complejidad para la recopilación y análisis de los datos. El Estado indicó que el aporte de la ENDOSIG 2018 es vigente, toda vez que es un ejercicio construido con base en el respeto a los criterios de libre reconocimiento de la identidad y con enfoque antidiscriminatorio. Asimismo, el Estado informó que desde agosto de 2021 al 21 de enero de 2022 se realizó en hogares de la República Mexicana el levantamiento de información de la Encuesta Nacional sobre Diversidad Sexual y de Género (ENDISEG 2021). La Secretaría de Gobernación (SEGOB), a través del Consejo Nacional para Prevenir la Discriminación (CONAPRED), trabaja de manera conjunta con el Instituto Nacional de Estadística y Geografía (INEGI) para realizar la ENDISEG 2021. Dicha encuesta, tiene como objetivo identificar de la población de 15 años o más la población con orientaciones sexuales e identidades de género no convencionales (o no normativas), sus principales datos sociodemográficos, antecedentes sobre la infancia y la adolescencia, y conocer los patrones de discriminación y violencia a los que se han visto expuestos a lo largo de su vida</w:t>
      </w:r>
      <w:r w:rsidRPr="00CA506A">
        <w:rPr>
          <w:rStyle w:val="FootnoteReference"/>
          <w:rFonts w:ascii="Cambria" w:eastAsia="Cambria" w:hAnsi="Cambria" w:cs="Cambria"/>
          <w:sz w:val="20"/>
          <w:szCs w:val="20"/>
          <w:lang w:val="es-MX"/>
        </w:rPr>
        <w:footnoteReference w:id="51"/>
      </w:r>
      <w:r w:rsidRPr="00CA506A">
        <w:rPr>
          <w:rFonts w:ascii="Cambria" w:eastAsia="Cambria" w:hAnsi="Cambria" w:cs="Cambria"/>
          <w:sz w:val="20"/>
          <w:szCs w:val="20"/>
          <w:lang w:val="es-MX"/>
        </w:rPr>
        <w:t>.</w:t>
      </w:r>
    </w:p>
    <w:p w14:paraId="247E491D" w14:textId="46F59215" w:rsidR="008D081D" w:rsidRPr="004E3E07" w:rsidRDefault="008D081D" w:rsidP="004E3E07">
      <w:pPr>
        <w:numPr>
          <w:ilvl w:val="0"/>
          <w:numId w:val="5"/>
        </w:numPr>
        <w:shd w:val="clear" w:color="auto" w:fill="FFFFFF" w:themeFill="background1"/>
        <w:spacing w:after="240" w:line="240" w:lineRule="auto"/>
        <w:ind w:left="0" w:firstLine="720"/>
        <w:jc w:val="both"/>
        <w:rPr>
          <w:rFonts w:ascii="Cambria" w:eastAsia="Cambria" w:hAnsi="Cambria" w:cs="Cambria"/>
          <w:sz w:val="20"/>
          <w:szCs w:val="20"/>
          <w:lang w:val="es-MX"/>
        </w:rPr>
      </w:pPr>
      <w:r w:rsidRPr="00CA506A">
        <w:rPr>
          <w:rFonts w:ascii="Cambria" w:eastAsia="Cambria" w:hAnsi="Cambria" w:cs="Cambria"/>
          <w:sz w:val="20"/>
          <w:szCs w:val="20"/>
          <w:lang w:val="es-MX"/>
        </w:rPr>
        <w:t xml:space="preserve">Ahora bien, la CIDH saluda </w:t>
      </w:r>
      <w:r w:rsidR="008141CE" w:rsidRPr="00CA506A">
        <w:rPr>
          <w:rFonts w:ascii="Cambria" w:eastAsia="Cambria" w:hAnsi="Cambria" w:cs="Cambria"/>
          <w:sz w:val="20"/>
          <w:szCs w:val="20"/>
          <w:lang w:val="es-MX"/>
        </w:rPr>
        <w:t>también</w:t>
      </w:r>
      <w:r w:rsidRPr="00CA506A">
        <w:rPr>
          <w:rFonts w:ascii="Cambria" w:eastAsia="Cambria" w:hAnsi="Cambria" w:cs="Cambria"/>
          <w:sz w:val="20"/>
          <w:szCs w:val="20"/>
          <w:lang w:val="es-MX"/>
        </w:rPr>
        <w:t xml:space="preserve"> que, después de casi cinco años, el Estado haya aplicado</w:t>
      </w:r>
      <w:r w:rsidRPr="004E3E07">
        <w:rPr>
          <w:rFonts w:ascii="Cambria" w:eastAsia="Cambria" w:hAnsi="Cambria" w:cs="Cambria"/>
          <w:sz w:val="20"/>
          <w:szCs w:val="20"/>
          <w:lang w:val="es-MX"/>
        </w:rPr>
        <w:t xml:space="preserve"> la Encuesta Nacional de </w:t>
      </w:r>
      <w:r w:rsidRPr="004E3E07">
        <w:rPr>
          <w:rFonts w:ascii="Cambria" w:eastAsia="Cambria" w:hAnsi="Cambria" w:cs="Cambria"/>
          <w:b/>
          <w:bCs/>
          <w:sz w:val="20"/>
          <w:szCs w:val="20"/>
          <w:lang w:val="es-MX"/>
        </w:rPr>
        <w:t>Población Privada de Libertad</w:t>
      </w:r>
      <w:r w:rsidRPr="004E3E07">
        <w:rPr>
          <w:rFonts w:ascii="Cambria" w:eastAsia="Cambria" w:hAnsi="Cambria" w:cs="Cambria"/>
          <w:sz w:val="20"/>
          <w:szCs w:val="20"/>
          <w:lang w:val="es-MX"/>
        </w:rPr>
        <w:t xml:space="preserve"> (ENPOL 2021). Para la ENPOL 2021, el Estado recogió información de 203 centros penitenciarios de los ámbitos federales y estatales, concluyendo que en México existen alrededor de 220 mil personas privadas de la libertad (94.3</w:t>
      </w:r>
      <w:r w:rsidR="00D23FC0">
        <w:rPr>
          <w:rFonts w:ascii="Cambria" w:eastAsia="Cambria" w:hAnsi="Cambria" w:cs="Cambria"/>
          <w:sz w:val="20"/>
          <w:szCs w:val="20"/>
          <w:lang w:val="es-MX"/>
        </w:rPr>
        <w:t xml:space="preserve"> </w:t>
      </w:r>
      <w:r w:rsidRPr="004E3E07">
        <w:rPr>
          <w:rFonts w:ascii="Cambria" w:eastAsia="Cambria" w:hAnsi="Cambria" w:cs="Cambria"/>
          <w:sz w:val="20"/>
          <w:szCs w:val="20"/>
          <w:lang w:val="es-MX"/>
        </w:rPr>
        <w:t>% hombre y 5.7</w:t>
      </w:r>
      <w:r w:rsidR="00D23FC0">
        <w:rPr>
          <w:rFonts w:ascii="Cambria" w:eastAsia="Cambria" w:hAnsi="Cambria" w:cs="Cambria"/>
          <w:sz w:val="20"/>
          <w:szCs w:val="20"/>
          <w:lang w:val="es-MX"/>
        </w:rPr>
        <w:t xml:space="preserve"> </w:t>
      </w:r>
      <w:r w:rsidRPr="004E3E07">
        <w:rPr>
          <w:rFonts w:ascii="Cambria" w:eastAsia="Cambria" w:hAnsi="Cambria" w:cs="Cambria"/>
          <w:sz w:val="20"/>
          <w:szCs w:val="20"/>
          <w:lang w:val="es-MX"/>
        </w:rPr>
        <w:t>% mujeres) siendo que la Ciudad de México, el estado de México y Jalisco concentran el 74</w:t>
      </w:r>
      <w:r w:rsidR="00D23FC0">
        <w:rPr>
          <w:rFonts w:ascii="Cambria" w:eastAsia="Cambria" w:hAnsi="Cambria" w:cs="Cambria"/>
          <w:sz w:val="20"/>
          <w:szCs w:val="20"/>
          <w:lang w:val="es-MX"/>
        </w:rPr>
        <w:t xml:space="preserve"> </w:t>
      </w:r>
      <w:r w:rsidRPr="004E3E07">
        <w:rPr>
          <w:rFonts w:ascii="Cambria" w:eastAsia="Cambria" w:hAnsi="Cambria" w:cs="Cambria"/>
          <w:sz w:val="20"/>
          <w:szCs w:val="20"/>
          <w:lang w:val="es-MX"/>
        </w:rPr>
        <w:t>% de dicha población. Asimismo, respecto de las variables de vulnerabilidad y exposición a la violencia, la CIDH toma nota que el 0.5</w:t>
      </w:r>
      <w:r w:rsidR="00D23FC0">
        <w:rPr>
          <w:rFonts w:ascii="Cambria" w:eastAsia="Cambria" w:hAnsi="Cambria" w:cs="Cambria"/>
          <w:sz w:val="20"/>
          <w:szCs w:val="20"/>
          <w:lang w:val="es-MX"/>
        </w:rPr>
        <w:t xml:space="preserve"> </w:t>
      </w:r>
      <w:r w:rsidRPr="004E3E07">
        <w:rPr>
          <w:rFonts w:ascii="Cambria" w:eastAsia="Cambria" w:hAnsi="Cambria" w:cs="Cambria"/>
          <w:sz w:val="20"/>
          <w:szCs w:val="20"/>
          <w:lang w:val="es-MX"/>
        </w:rPr>
        <w:t>% de las personas encuestadas se identificó como transgénero y 3.9% como bisexual, homosexual o de otro tipo de orientación sexual</w:t>
      </w:r>
      <w:r w:rsidR="00F86995" w:rsidRPr="004E3E07">
        <w:rPr>
          <w:rStyle w:val="FootnoteReference"/>
          <w:rFonts w:ascii="Cambria" w:eastAsia="Cambria" w:hAnsi="Cambria" w:cs="Cambria"/>
          <w:sz w:val="20"/>
          <w:szCs w:val="20"/>
          <w:lang w:val="es-MX"/>
        </w:rPr>
        <w:footnoteReference w:id="52"/>
      </w:r>
      <w:r w:rsidRPr="004E3E07">
        <w:rPr>
          <w:rFonts w:ascii="Cambria" w:eastAsia="Cambria" w:hAnsi="Cambria" w:cs="Cambria"/>
          <w:sz w:val="20"/>
          <w:szCs w:val="20"/>
          <w:lang w:val="es-MX"/>
        </w:rPr>
        <w:t xml:space="preserve">. </w:t>
      </w:r>
    </w:p>
    <w:p w14:paraId="4AD9D7D8" w14:textId="77777777" w:rsidR="00147D7D" w:rsidRDefault="482F4B45" w:rsidP="00147D7D">
      <w:pPr>
        <w:numPr>
          <w:ilvl w:val="0"/>
          <w:numId w:val="5"/>
        </w:numPr>
        <w:shd w:val="clear" w:color="auto" w:fill="FFFFFF" w:themeFill="background1"/>
        <w:spacing w:after="240" w:line="240" w:lineRule="auto"/>
        <w:ind w:left="0" w:firstLine="720"/>
        <w:jc w:val="both"/>
        <w:rPr>
          <w:rFonts w:ascii="Cambria" w:eastAsia="Cambria" w:hAnsi="Cambria" w:cs="Cambria"/>
          <w:sz w:val="20"/>
          <w:szCs w:val="20"/>
          <w:lang w:val="es-MX"/>
        </w:rPr>
      </w:pPr>
      <w:r w:rsidRPr="004B6023">
        <w:rPr>
          <w:rFonts w:ascii="Cambria" w:eastAsia="Cambria" w:hAnsi="Cambria" w:cs="Cambria"/>
          <w:sz w:val="20"/>
          <w:szCs w:val="20"/>
          <w:lang w:val="es-MX"/>
        </w:rPr>
        <w:t>Al respecto,</w:t>
      </w:r>
      <w:r w:rsidRPr="00BA6325">
        <w:rPr>
          <w:rFonts w:ascii="Cambria" w:eastAsia="Cambria" w:hAnsi="Cambria" w:cs="Cambria"/>
          <w:sz w:val="20"/>
          <w:szCs w:val="20"/>
          <w:lang w:val="es-MX"/>
        </w:rPr>
        <w:t xml:space="preserve"> l</w:t>
      </w:r>
      <w:r w:rsidR="008D081D" w:rsidRPr="00BA6325">
        <w:rPr>
          <w:rFonts w:ascii="Cambria" w:eastAsia="Cambria" w:hAnsi="Cambria" w:cs="Cambria"/>
          <w:sz w:val="20"/>
          <w:szCs w:val="20"/>
          <w:lang w:val="es-MX"/>
        </w:rPr>
        <w:t>a</w:t>
      </w:r>
      <w:r w:rsidR="008D081D" w:rsidRPr="004E3E07">
        <w:rPr>
          <w:rFonts w:ascii="Cambria" w:eastAsia="Cambria" w:hAnsi="Cambria" w:cs="Cambria"/>
          <w:sz w:val="20"/>
          <w:szCs w:val="20"/>
          <w:lang w:val="es-MX"/>
        </w:rPr>
        <w:t xml:space="preserve"> CIDH nota con preocupación que el 49.1</w:t>
      </w:r>
      <w:r w:rsidR="00D23FC0">
        <w:rPr>
          <w:rFonts w:ascii="Cambria" w:eastAsia="Cambria" w:hAnsi="Cambria" w:cs="Cambria"/>
          <w:sz w:val="20"/>
          <w:szCs w:val="20"/>
          <w:lang w:val="es-MX"/>
        </w:rPr>
        <w:t xml:space="preserve"> </w:t>
      </w:r>
      <w:r w:rsidR="008D081D" w:rsidRPr="004E3E07">
        <w:rPr>
          <w:rFonts w:ascii="Cambria" w:eastAsia="Cambria" w:hAnsi="Cambria" w:cs="Cambria"/>
          <w:sz w:val="20"/>
          <w:szCs w:val="20"/>
          <w:lang w:val="es-MX"/>
        </w:rPr>
        <w:t>% de los hombres y el 39.8</w:t>
      </w:r>
      <w:r w:rsidR="00736E75">
        <w:rPr>
          <w:rFonts w:ascii="Cambria" w:eastAsia="Cambria" w:hAnsi="Cambria" w:cs="Cambria"/>
          <w:sz w:val="20"/>
          <w:szCs w:val="20"/>
          <w:lang w:val="es-MX"/>
        </w:rPr>
        <w:t xml:space="preserve"> </w:t>
      </w:r>
      <w:r w:rsidR="008D081D" w:rsidRPr="004E3E07">
        <w:rPr>
          <w:rFonts w:ascii="Cambria" w:eastAsia="Cambria" w:hAnsi="Cambria" w:cs="Cambria"/>
          <w:sz w:val="20"/>
          <w:szCs w:val="20"/>
          <w:lang w:val="es-MX"/>
        </w:rPr>
        <w:t>% de las mujeres declararon que sufrieron algún tipo de agresión</w:t>
      </w:r>
      <w:r w:rsidR="00D23FC0">
        <w:rPr>
          <w:rFonts w:ascii="Cambria" w:eastAsia="Cambria" w:hAnsi="Cambria" w:cs="Cambria"/>
          <w:sz w:val="20"/>
          <w:szCs w:val="20"/>
          <w:lang w:val="es-MX"/>
        </w:rPr>
        <w:t xml:space="preserve"> física después de la detención; </w:t>
      </w:r>
      <w:r w:rsidR="008D081D" w:rsidRPr="004E3E07">
        <w:rPr>
          <w:rFonts w:ascii="Cambria" w:eastAsia="Cambria" w:hAnsi="Cambria" w:cs="Cambria"/>
          <w:sz w:val="20"/>
          <w:szCs w:val="20"/>
          <w:lang w:val="es-MX"/>
        </w:rPr>
        <w:t>el 42</w:t>
      </w:r>
      <w:r w:rsidR="003F7735">
        <w:rPr>
          <w:rFonts w:ascii="Cambria" w:eastAsia="Cambria" w:hAnsi="Cambria" w:cs="Cambria"/>
          <w:sz w:val="20"/>
          <w:szCs w:val="20"/>
          <w:lang w:val="es-MX"/>
        </w:rPr>
        <w:t xml:space="preserve"> </w:t>
      </w:r>
      <w:r w:rsidR="008D081D" w:rsidRPr="004E3E07">
        <w:rPr>
          <w:rFonts w:ascii="Cambria" w:eastAsia="Cambria" w:hAnsi="Cambria" w:cs="Cambria"/>
          <w:sz w:val="20"/>
          <w:szCs w:val="20"/>
          <w:lang w:val="es-MX"/>
        </w:rPr>
        <w:t>% de la población penitenciaria fue golpeada o maltratada para autoinculparse o aceptar los hechos imputados y el 51.8</w:t>
      </w:r>
      <w:r w:rsidR="00D23FC0">
        <w:rPr>
          <w:rFonts w:ascii="Cambria" w:eastAsia="Cambria" w:hAnsi="Cambria" w:cs="Cambria"/>
          <w:sz w:val="20"/>
          <w:szCs w:val="20"/>
          <w:lang w:val="es-MX"/>
        </w:rPr>
        <w:t xml:space="preserve"> </w:t>
      </w:r>
      <w:r w:rsidR="008D081D" w:rsidRPr="004E3E07">
        <w:rPr>
          <w:rFonts w:ascii="Cambria" w:eastAsia="Cambria" w:hAnsi="Cambria" w:cs="Cambria"/>
          <w:sz w:val="20"/>
          <w:szCs w:val="20"/>
          <w:lang w:val="es-MX"/>
        </w:rPr>
        <w:t xml:space="preserve">% señaló haber sido incomunicada o aislada en agencias del Ministerio Público. </w:t>
      </w:r>
      <w:r w:rsidR="00D23FC0">
        <w:rPr>
          <w:rFonts w:ascii="Cambria" w:eastAsia="Cambria" w:hAnsi="Cambria" w:cs="Cambria"/>
          <w:sz w:val="20"/>
          <w:szCs w:val="20"/>
          <w:lang w:val="es-MX"/>
        </w:rPr>
        <w:t xml:space="preserve">Además, </w:t>
      </w:r>
      <w:r w:rsidR="008D081D" w:rsidRPr="004E3E07">
        <w:rPr>
          <w:rFonts w:ascii="Cambria" w:eastAsia="Cambria" w:hAnsi="Cambria" w:cs="Cambria"/>
          <w:sz w:val="20"/>
          <w:szCs w:val="20"/>
          <w:lang w:val="es-MX"/>
        </w:rPr>
        <w:t>11</w:t>
      </w:r>
      <w:r w:rsidR="00D23FC0">
        <w:rPr>
          <w:rFonts w:ascii="Cambria" w:eastAsia="Cambria" w:hAnsi="Cambria" w:cs="Cambria"/>
          <w:sz w:val="20"/>
          <w:szCs w:val="20"/>
          <w:lang w:val="es-MX"/>
        </w:rPr>
        <w:t xml:space="preserve"> </w:t>
      </w:r>
      <w:r w:rsidR="008D081D" w:rsidRPr="004E3E07">
        <w:rPr>
          <w:rFonts w:ascii="Cambria" w:eastAsia="Cambria" w:hAnsi="Cambria" w:cs="Cambria"/>
          <w:sz w:val="20"/>
          <w:szCs w:val="20"/>
          <w:lang w:val="es-MX"/>
        </w:rPr>
        <w:t>% de las mujeres declaró haber recibido agresiones sexuales durante su estancia en agencias del Ministerio Público</w:t>
      </w:r>
      <w:r w:rsidR="008F76F1" w:rsidRPr="004E3E07">
        <w:rPr>
          <w:rStyle w:val="FootnoteReference"/>
          <w:rFonts w:ascii="Cambria" w:eastAsia="Cambria" w:hAnsi="Cambria" w:cs="Cambria"/>
          <w:sz w:val="20"/>
          <w:szCs w:val="20"/>
          <w:lang w:val="es-MX"/>
        </w:rPr>
        <w:footnoteReference w:id="53"/>
      </w:r>
      <w:r w:rsidR="008D081D" w:rsidRPr="004E3E07">
        <w:rPr>
          <w:rFonts w:ascii="Cambria" w:eastAsia="Cambria" w:hAnsi="Cambria" w:cs="Cambria"/>
          <w:sz w:val="20"/>
          <w:szCs w:val="20"/>
          <w:lang w:val="es-MX"/>
        </w:rPr>
        <w:t>.</w:t>
      </w:r>
    </w:p>
    <w:p w14:paraId="6F8FF582" w14:textId="7F282257" w:rsidR="00B43245" w:rsidRDefault="00C4417D" w:rsidP="00B43245">
      <w:pPr>
        <w:numPr>
          <w:ilvl w:val="0"/>
          <w:numId w:val="5"/>
        </w:numPr>
        <w:shd w:val="clear" w:color="auto" w:fill="FFFFFF" w:themeFill="background1"/>
        <w:spacing w:after="240" w:line="240" w:lineRule="auto"/>
        <w:ind w:left="0" w:firstLine="720"/>
        <w:jc w:val="both"/>
        <w:rPr>
          <w:rFonts w:ascii="Cambria" w:eastAsia="Cambria" w:hAnsi="Cambria" w:cs="Cambria"/>
          <w:sz w:val="20"/>
          <w:szCs w:val="20"/>
          <w:lang w:val="es-MX"/>
        </w:rPr>
      </w:pPr>
      <w:r w:rsidRPr="00A94116">
        <w:rPr>
          <w:rFonts w:ascii="Cambria" w:eastAsia="Cambria" w:hAnsi="Cambria" w:cs="Cambria"/>
          <w:sz w:val="20"/>
          <w:szCs w:val="20"/>
          <w:lang w:val="es-MX"/>
        </w:rPr>
        <w:t>Re</w:t>
      </w:r>
      <w:r w:rsidR="007B69C1" w:rsidRPr="00A94116">
        <w:rPr>
          <w:rFonts w:ascii="Cambria" w:eastAsia="Cambria" w:hAnsi="Cambria" w:cs="Cambria"/>
          <w:sz w:val="20"/>
          <w:szCs w:val="20"/>
          <w:lang w:val="es-MX"/>
        </w:rPr>
        <w:t>specto a información sobre sistemas de información, recopilación y análisis de datos respecto a mujeres, las personas migrantes, personas defensoras de derechos humanos, operadores de justicia, y pueblos indígenas, el Estado indicó que a iniciativa de la SEGOB en octubre de 2021 se creó el Grupo  Interinstitucional de Estrategias contra las Violencias hacia las mujeres, niñas y adolescentes (GIEV), el cual tiene como objetivo fortalecer y mejorar las acciones contra la impunidad y la violencia contra las mujeres y las niñas en todo el territorio nacional. En el marco de esta iniciativa, se formó el Grupo de Trabajo de Estadísticas C-19, con el propósito de coadyuvar en el análisis de la información sobre violencia contra las mujeres, feminicidios y llamadas al 9-1-1, así como para atender los requerimientos de información urgentes derivados de la emergencia sanitaria generada por el COVID-19. Asimismo indicó que el 16 de noviembre el Consejo de la Judicatura Federal (CJF) y la agencia de cooperación alemana Deutsche Gesellschaft Für Internationale Zusammenarbeit en México (GIZ México) suscribieron un convenio de colaboración para ejecutar el proyecto “Fortalecimiento de la Justicia Federal para los Derechos Humanos (FORTAJUS-DH)”, cuyo objetivo es mejorar las condiciones del Poder Judicial de la Federación (PJF) para el cumplimiento de las obligaciones en derechos humanos.  Uno de los tres ejes principales del citado convenio contemplada la creación de un sistema de indicadores en materia de derechos humanos con el propósito de contar con información estadística confiable que se requiera en estos temas, y apoye a la toma de decisiones institucionales para la promoción, difusión y garantía de los derechos humanos dentro del PJF</w:t>
      </w:r>
      <w:r w:rsidR="007B69C1" w:rsidRPr="00A94116">
        <w:rPr>
          <w:rStyle w:val="FootnoteReference"/>
          <w:rFonts w:ascii="Cambria" w:eastAsia="Cambria" w:hAnsi="Cambria" w:cs="Cambria"/>
          <w:sz w:val="20"/>
          <w:szCs w:val="20"/>
          <w:lang w:val="es-MX"/>
        </w:rPr>
        <w:footnoteReference w:id="54"/>
      </w:r>
      <w:r w:rsidR="007B69C1" w:rsidRPr="00A94116">
        <w:rPr>
          <w:rFonts w:ascii="Cambria" w:eastAsia="Cambria" w:hAnsi="Cambria" w:cs="Cambria"/>
          <w:sz w:val="20"/>
          <w:szCs w:val="20"/>
          <w:lang w:val="es-MX"/>
        </w:rPr>
        <w:t xml:space="preserve">.  </w:t>
      </w:r>
    </w:p>
    <w:p w14:paraId="39557BE8" w14:textId="77777777" w:rsidR="00BD0C91" w:rsidRPr="00BD0C91" w:rsidRDefault="007B69C1" w:rsidP="00BD0C91">
      <w:pPr>
        <w:numPr>
          <w:ilvl w:val="0"/>
          <w:numId w:val="5"/>
        </w:numPr>
        <w:shd w:val="clear" w:color="auto" w:fill="FFFFFF" w:themeFill="background1"/>
        <w:spacing w:after="240" w:line="240" w:lineRule="auto"/>
        <w:ind w:left="0" w:firstLine="720"/>
        <w:jc w:val="both"/>
        <w:rPr>
          <w:rFonts w:ascii="Cambria" w:eastAsia="Cambria" w:hAnsi="Cambria" w:cs="Cambria"/>
          <w:sz w:val="20"/>
          <w:szCs w:val="20"/>
          <w:lang w:val="es-MX"/>
        </w:rPr>
      </w:pPr>
      <w:r w:rsidRPr="00BD0C91">
        <w:rPr>
          <w:rFonts w:ascii="Cambria" w:eastAsia="Cambria" w:hAnsi="Cambria" w:cs="Cambria"/>
          <w:sz w:val="20"/>
          <w:szCs w:val="20"/>
          <w:lang w:val="es-MX"/>
        </w:rPr>
        <w:t>Asimismo informó que el Programa Institucional del Instituto Nacional de los Pueblos Indígenas (INPI)  2020-2024 como el Programa Especial de los Pueblos Indígenas y Afromexicano (PEPIA) 2021-2024, definieron para su Objetivo 1 la meta “Número de hechos presuntamente violatorios a los derechos de personas y pueblos indígenas”  y el Parámetro “Porcentaje de mujeres que recibieron atención integral en materia de violencia de género en las Casas de la Mujer Indígena y Afromexicana”, con frecuencia de medición anual y su nivel de  desagregación es nacional. Asimismo se</w:t>
      </w:r>
      <w:r w:rsidRPr="00BD0C91">
        <w:rPr>
          <w:rFonts w:ascii="Cambria" w:eastAsia="Cambria" w:hAnsi="Cambria" w:cs="Cambria"/>
          <w:sz w:val="20"/>
          <w:szCs w:val="20"/>
        </w:rPr>
        <w:t xml:space="preserve"> trabaja en la construcción de un Sistema Nacional de Información y Estadística sobre los Pueblos y Comunidades Indígenas y  Afromexicanas que contenga un Catálogo Nacional de Pueblos y Comunidades indígenas y Afromexicanas, con el objetivo de  identificar estas comunidades y sus principales instituciones políticas, jurídicas, económicas, sociales y culturales, sus tierras, territorios y recursos. Por otra parte indicó que el Banco Nacional de Datos e Información sobre Casos de Violencia contra las Mujeres (BANAVIM), es una fuente de información que permite la elaboración de estadísticas y diagnósticos de violencia que contribuye a conocer sistemáticamente las características y patrones de este fenómeno, con la finalidad de detectar áreas geográficas y ámbitos de la sociedad que impliquen riesgo para las mujeres, así como las necesidades de servicios para su atención</w:t>
      </w:r>
      <w:r w:rsidRPr="00BD0C91">
        <w:rPr>
          <w:rStyle w:val="FootnoteReference"/>
          <w:rFonts w:ascii="Cambria" w:eastAsia="Cambria" w:hAnsi="Cambria" w:cs="Cambria"/>
          <w:sz w:val="20"/>
          <w:szCs w:val="20"/>
        </w:rPr>
        <w:footnoteReference w:id="55"/>
      </w:r>
      <w:r w:rsidRPr="00BD0C91">
        <w:rPr>
          <w:rFonts w:ascii="Cambria" w:eastAsia="Cambria" w:hAnsi="Cambria" w:cs="Cambria"/>
          <w:sz w:val="20"/>
          <w:szCs w:val="20"/>
        </w:rPr>
        <w:t xml:space="preserve">. </w:t>
      </w:r>
    </w:p>
    <w:p w14:paraId="1460695F" w14:textId="31E7DBD6" w:rsidR="002277F5" w:rsidRPr="00BD0C91" w:rsidRDefault="007B69C1" w:rsidP="00BD0C91">
      <w:pPr>
        <w:numPr>
          <w:ilvl w:val="0"/>
          <w:numId w:val="5"/>
        </w:numPr>
        <w:shd w:val="clear" w:color="auto" w:fill="FFFFFF" w:themeFill="background1"/>
        <w:spacing w:after="240" w:line="240" w:lineRule="auto"/>
        <w:ind w:left="0" w:firstLine="720"/>
        <w:jc w:val="both"/>
        <w:rPr>
          <w:rFonts w:ascii="Cambria" w:eastAsia="Cambria" w:hAnsi="Cambria" w:cs="Cambria"/>
          <w:sz w:val="20"/>
          <w:szCs w:val="20"/>
          <w:lang w:val="es-MX"/>
        </w:rPr>
      </w:pPr>
      <w:r w:rsidRPr="00BD0C91">
        <w:rPr>
          <w:rFonts w:ascii="Cambria" w:eastAsia="Cambria" w:hAnsi="Cambria" w:cs="Cambria"/>
          <w:sz w:val="20"/>
          <w:szCs w:val="20"/>
          <w:lang w:val="es-MX"/>
        </w:rPr>
        <w:t xml:space="preserve">El </w:t>
      </w:r>
      <w:r w:rsidR="007E25FF" w:rsidRPr="00BD0C91">
        <w:rPr>
          <w:rFonts w:ascii="Cambria" w:eastAsia="Cambria" w:hAnsi="Cambria" w:cs="Cambria"/>
          <w:sz w:val="20"/>
          <w:szCs w:val="20"/>
          <w:lang w:val="es-MX"/>
        </w:rPr>
        <w:t xml:space="preserve">Estado </w:t>
      </w:r>
      <w:r w:rsidR="008432F4" w:rsidRPr="00BD0C91">
        <w:rPr>
          <w:rFonts w:ascii="Cambria" w:eastAsia="Cambria" w:hAnsi="Cambria" w:cs="Cambria"/>
          <w:sz w:val="20"/>
          <w:szCs w:val="20"/>
          <w:lang w:val="es-MX"/>
        </w:rPr>
        <w:t>reportó</w:t>
      </w:r>
      <w:r w:rsidR="0062314A" w:rsidRPr="00BD0C91">
        <w:rPr>
          <w:rFonts w:ascii="Cambria" w:eastAsia="Cambria" w:hAnsi="Cambria" w:cs="Cambria"/>
          <w:sz w:val="20"/>
          <w:szCs w:val="20"/>
          <w:lang w:val="es-MX"/>
        </w:rPr>
        <w:t xml:space="preserve"> información específica sobre </w:t>
      </w:r>
      <w:r w:rsidR="007E6160" w:rsidRPr="00BD0C91">
        <w:rPr>
          <w:rFonts w:ascii="Cambria" w:eastAsia="Cambria" w:hAnsi="Cambria" w:cs="Cambria"/>
          <w:sz w:val="20"/>
          <w:szCs w:val="20"/>
          <w:lang w:val="es-MX"/>
        </w:rPr>
        <w:t>sus pr</w:t>
      </w:r>
      <w:r w:rsidR="007E25FF" w:rsidRPr="00BD0C91">
        <w:rPr>
          <w:rFonts w:ascii="Cambria" w:eastAsia="Cambria" w:hAnsi="Cambria" w:cs="Cambria"/>
          <w:sz w:val="20"/>
          <w:szCs w:val="20"/>
          <w:lang w:val="es-MX"/>
        </w:rPr>
        <w:t>ogramas de recopilación de información con indicadores y estadísticas sobre violencia respecto</w:t>
      </w:r>
      <w:r w:rsidR="006A051B" w:rsidRPr="00BD0C91">
        <w:rPr>
          <w:rFonts w:ascii="Cambria" w:eastAsia="Cambria" w:hAnsi="Cambria" w:cs="Cambria"/>
          <w:sz w:val="20"/>
          <w:szCs w:val="20"/>
          <w:lang w:val="es-MX"/>
        </w:rPr>
        <w:t xml:space="preserve"> </w:t>
      </w:r>
      <w:r w:rsidR="007E6160" w:rsidRPr="00BD0C91">
        <w:rPr>
          <w:rFonts w:ascii="Cambria" w:eastAsia="Cambria" w:hAnsi="Cambria" w:cs="Cambria"/>
          <w:sz w:val="20"/>
          <w:szCs w:val="20"/>
          <w:lang w:val="es-MX"/>
        </w:rPr>
        <w:t xml:space="preserve">niños, niñas </w:t>
      </w:r>
      <w:r w:rsidR="007E25FF" w:rsidRPr="00BD0C91" w:rsidDel="007E25FF">
        <w:rPr>
          <w:rFonts w:ascii="Cambria" w:eastAsia="Cambria" w:hAnsi="Cambria" w:cs="Cambria"/>
          <w:sz w:val="20"/>
          <w:szCs w:val="20"/>
          <w:lang w:val="es-MX"/>
        </w:rPr>
        <w:t xml:space="preserve">y </w:t>
      </w:r>
      <w:r w:rsidR="007E6160" w:rsidRPr="00BD0C91">
        <w:rPr>
          <w:rFonts w:ascii="Cambria" w:eastAsia="Cambria" w:hAnsi="Cambria" w:cs="Cambria"/>
          <w:sz w:val="20"/>
          <w:szCs w:val="20"/>
          <w:lang w:val="es-MX"/>
        </w:rPr>
        <w:t xml:space="preserve">adolescentes. De modo declarativo, </w:t>
      </w:r>
      <w:r w:rsidR="007E6160" w:rsidRPr="002854B6">
        <w:rPr>
          <w:rFonts w:ascii="Cambria" w:eastAsia="Cambria" w:hAnsi="Cambria" w:cs="Cambria"/>
          <w:sz w:val="20"/>
          <w:szCs w:val="20"/>
          <w:lang w:val="es-MX"/>
        </w:rPr>
        <w:t xml:space="preserve">aunque sin reportar información </w:t>
      </w:r>
      <w:r w:rsidR="00736E75" w:rsidRPr="002854B6">
        <w:rPr>
          <w:rFonts w:ascii="Cambria" w:eastAsia="Cambria" w:hAnsi="Cambria" w:cs="Cambria"/>
          <w:sz w:val="20"/>
          <w:szCs w:val="20"/>
          <w:lang w:val="es-MX"/>
        </w:rPr>
        <w:t>relevante</w:t>
      </w:r>
      <w:r w:rsidR="007E6160" w:rsidRPr="002854B6">
        <w:rPr>
          <w:rFonts w:ascii="Cambria" w:eastAsia="Cambria" w:hAnsi="Cambria" w:cs="Cambria"/>
          <w:sz w:val="20"/>
          <w:szCs w:val="20"/>
          <w:lang w:val="es-MX"/>
        </w:rPr>
        <w:t xml:space="preserve">, el Estado </w:t>
      </w:r>
      <w:r w:rsidR="003F6875" w:rsidRPr="002854B6">
        <w:rPr>
          <w:rFonts w:ascii="Cambria" w:eastAsia="Cambria" w:hAnsi="Cambria" w:cs="Cambria"/>
          <w:sz w:val="20"/>
          <w:szCs w:val="20"/>
          <w:lang w:val="es-MX"/>
        </w:rPr>
        <w:t>indicó</w:t>
      </w:r>
      <w:r w:rsidR="007E6160" w:rsidRPr="002854B6">
        <w:rPr>
          <w:rFonts w:ascii="Cambria" w:eastAsia="Cambria" w:hAnsi="Cambria" w:cs="Cambria"/>
          <w:sz w:val="20"/>
          <w:szCs w:val="20"/>
          <w:lang w:val="es-MX"/>
        </w:rPr>
        <w:t xml:space="preserve"> que recoge información sobre </w:t>
      </w:r>
      <w:r w:rsidR="007E25FF" w:rsidRPr="002854B6">
        <w:rPr>
          <w:rFonts w:ascii="Cambria" w:eastAsia="Cambria" w:hAnsi="Cambria" w:cs="Cambria"/>
          <w:sz w:val="20"/>
          <w:szCs w:val="20"/>
          <w:lang w:val="es-MX"/>
        </w:rPr>
        <w:t xml:space="preserve">personas </w:t>
      </w:r>
      <w:r w:rsidR="008E7CB2" w:rsidRPr="002854B6">
        <w:rPr>
          <w:rFonts w:ascii="Cambria" w:eastAsia="Cambria" w:hAnsi="Cambria" w:cs="Cambria"/>
          <w:sz w:val="20"/>
          <w:szCs w:val="20"/>
          <w:lang w:val="es-MX"/>
        </w:rPr>
        <w:t>defensoras</w:t>
      </w:r>
      <w:r w:rsidR="00687031" w:rsidRPr="002854B6">
        <w:rPr>
          <w:rFonts w:ascii="Cambria" w:eastAsia="Cambria" w:hAnsi="Cambria" w:cs="Cambria"/>
          <w:sz w:val="20"/>
          <w:szCs w:val="20"/>
          <w:lang w:val="es-MX"/>
        </w:rPr>
        <w:t>, indígenas y con discapacidad. Por su lado, la CIDH accedió a información sobre ejercicios de sistematización</w:t>
      </w:r>
      <w:r w:rsidR="007E25FF" w:rsidRPr="002854B6">
        <w:rPr>
          <w:rFonts w:ascii="Cambria" w:eastAsia="Cambria" w:hAnsi="Cambria" w:cs="Cambria"/>
          <w:sz w:val="20"/>
          <w:szCs w:val="20"/>
          <w:lang w:val="es-MX"/>
        </w:rPr>
        <w:t xml:space="preserve"> de violencia</w:t>
      </w:r>
      <w:r w:rsidR="00687031" w:rsidRPr="002854B6">
        <w:rPr>
          <w:rFonts w:ascii="Cambria" w:eastAsia="Cambria" w:hAnsi="Cambria" w:cs="Cambria"/>
          <w:sz w:val="20"/>
          <w:szCs w:val="20"/>
          <w:lang w:val="es-MX"/>
        </w:rPr>
        <w:t xml:space="preserve"> en contra de mujeres</w:t>
      </w:r>
      <w:r w:rsidR="00754357" w:rsidRPr="002854B6">
        <w:rPr>
          <w:rFonts w:ascii="Cambria" w:eastAsia="Cambria" w:hAnsi="Cambria" w:cs="Cambria"/>
          <w:sz w:val="20"/>
          <w:szCs w:val="20"/>
          <w:lang w:val="es-MX"/>
        </w:rPr>
        <w:t>,</w:t>
      </w:r>
      <w:r w:rsidR="00687031" w:rsidRPr="002854B6">
        <w:rPr>
          <w:rFonts w:ascii="Cambria" w:eastAsia="Cambria" w:hAnsi="Cambria" w:cs="Cambria"/>
          <w:sz w:val="20"/>
          <w:szCs w:val="20"/>
          <w:lang w:val="es-MX"/>
        </w:rPr>
        <w:t xml:space="preserve"> personas LGBTIQ </w:t>
      </w:r>
      <w:r w:rsidR="00754357" w:rsidRPr="002854B6">
        <w:rPr>
          <w:rFonts w:ascii="Cambria" w:eastAsia="Cambria" w:hAnsi="Cambria" w:cs="Cambria"/>
          <w:sz w:val="20"/>
          <w:szCs w:val="20"/>
          <w:lang w:val="es-MX"/>
        </w:rPr>
        <w:t xml:space="preserve">y personas privadas de </w:t>
      </w:r>
      <w:r w:rsidR="007E25FF" w:rsidRPr="002854B6">
        <w:rPr>
          <w:rFonts w:ascii="Cambria" w:eastAsia="Cambria" w:hAnsi="Cambria" w:cs="Cambria"/>
          <w:sz w:val="20"/>
          <w:szCs w:val="20"/>
          <w:lang w:val="es-MX"/>
        </w:rPr>
        <w:t xml:space="preserve">la </w:t>
      </w:r>
      <w:r w:rsidR="00754357" w:rsidRPr="002854B6">
        <w:rPr>
          <w:rFonts w:ascii="Cambria" w:eastAsia="Cambria" w:hAnsi="Cambria" w:cs="Cambria"/>
          <w:sz w:val="20"/>
          <w:szCs w:val="20"/>
          <w:lang w:val="es-MX"/>
        </w:rPr>
        <w:t>libertad</w:t>
      </w:r>
      <w:r w:rsidR="00C650C5" w:rsidRPr="002854B6">
        <w:rPr>
          <w:rFonts w:ascii="Cambria" w:eastAsia="Cambria" w:hAnsi="Cambria" w:cs="Cambria"/>
          <w:sz w:val="20"/>
          <w:szCs w:val="20"/>
          <w:lang w:val="es-MX"/>
        </w:rPr>
        <w:t xml:space="preserve">. </w:t>
      </w:r>
      <w:r w:rsidRPr="002854B6">
        <w:rPr>
          <w:rFonts w:ascii="Cambria" w:eastAsia="Cambria" w:hAnsi="Cambria" w:cs="Cambria"/>
          <w:sz w:val="20"/>
          <w:szCs w:val="20"/>
          <w:lang w:val="es-MX"/>
        </w:rPr>
        <w:t>L</w:t>
      </w:r>
      <w:r w:rsidR="003F6875" w:rsidRPr="002854B6">
        <w:rPr>
          <w:rFonts w:ascii="Cambria" w:eastAsia="Cambria" w:hAnsi="Cambria" w:cs="Cambria"/>
          <w:sz w:val="20"/>
          <w:szCs w:val="20"/>
          <w:lang w:val="es-MX"/>
        </w:rPr>
        <w:t xml:space="preserve">a CIDH insta al Estado en </w:t>
      </w:r>
      <w:r w:rsidR="00422E92" w:rsidRPr="002854B6">
        <w:rPr>
          <w:rFonts w:ascii="Cambria" w:eastAsia="Cambria" w:hAnsi="Cambria" w:cs="Cambria"/>
          <w:sz w:val="20"/>
          <w:szCs w:val="20"/>
          <w:lang w:val="es-MX"/>
        </w:rPr>
        <w:t>remitir</w:t>
      </w:r>
      <w:r w:rsidR="007E25FF" w:rsidRPr="002854B6" w:rsidDel="007E25FF">
        <w:rPr>
          <w:rFonts w:ascii="Cambria" w:eastAsia="Cambria" w:hAnsi="Cambria" w:cs="Cambria"/>
          <w:sz w:val="20"/>
          <w:szCs w:val="20"/>
          <w:lang w:val="es-MX"/>
        </w:rPr>
        <w:t xml:space="preserve"> información </w:t>
      </w:r>
      <w:r w:rsidR="00422E92" w:rsidRPr="002854B6">
        <w:rPr>
          <w:rFonts w:ascii="Cambria" w:eastAsia="Cambria" w:hAnsi="Cambria" w:cs="Cambria"/>
          <w:sz w:val="20"/>
          <w:szCs w:val="20"/>
          <w:lang w:val="es-MX"/>
        </w:rPr>
        <w:t xml:space="preserve">en la </w:t>
      </w:r>
      <w:r w:rsidR="007E25FF" w:rsidRPr="002854B6" w:rsidDel="007E25FF">
        <w:rPr>
          <w:rFonts w:ascii="Cambria" w:eastAsia="Cambria" w:hAnsi="Cambria" w:cs="Cambria"/>
          <w:sz w:val="20"/>
          <w:szCs w:val="20"/>
          <w:lang w:val="es-MX"/>
        </w:rPr>
        <w:t>materia</w:t>
      </w:r>
      <w:r w:rsidRPr="002854B6">
        <w:rPr>
          <w:rFonts w:ascii="Cambria" w:eastAsia="Cambria" w:hAnsi="Cambria" w:cs="Cambria"/>
          <w:sz w:val="20"/>
          <w:szCs w:val="20"/>
          <w:lang w:val="es-MX"/>
        </w:rPr>
        <w:t xml:space="preserve"> que permita evaluar de manera comprehensiva los avances en la creación de sistemas información</w:t>
      </w:r>
      <w:r w:rsidR="007E25FF" w:rsidRPr="002854B6" w:rsidDel="007E25FF">
        <w:rPr>
          <w:rFonts w:ascii="Cambria" w:eastAsia="Cambria" w:hAnsi="Cambria" w:cs="Cambria"/>
          <w:sz w:val="20"/>
          <w:szCs w:val="20"/>
          <w:lang w:val="es-MX"/>
        </w:rPr>
        <w:t xml:space="preserve"> </w:t>
      </w:r>
      <w:r w:rsidR="00422E92" w:rsidRPr="002854B6">
        <w:rPr>
          <w:rFonts w:ascii="Cambria" w:eastAsia="Cambria" w:hAnsi="Cambria" w:cs="Cambria"/>
          <w:sz w:val="20"/>
          <w:szCs w:val="20"/>
          <w:lang w:val="es-MX"/>
        </w:rPr>
        <w:t>en sus próximos reportes.</w:t>
      </w:r>
      <w:r w:rsidR="007E25FF" w:rsidRPr="002854B6">
        <w:rPr>
          <w:rFonts w:ascii="Cambria" w:eastAsia="Cambria" w:hAnsi="Cambria" w:cs="Cambria"/>
          <w:sz w:val="20"/>
          <w:szCs w:val="20"/>
          <w:lang w:val="es-MX"/>
        </w:rPr>
        <w:t xml:space="preserve"> En razón de lo anterior, la Comisión considera</w:t>
      </w:r>
      <w:r w:rsidR="007E25FF" w:rsidRPr="00BD0C91">
        <w:rPr>
          <w:rFonts w:ascii="Cambria" w:eastAsia="Cambria" w:hAnsi="Cambria" w:cs="Cambria"/>
          <w:sz w:val="20"/>
          <w:szCs w:val="20"/>
          <w:lang w:val="es-MX"/>
        </w:rPr>
        <w:t xml:space="preserve"> que la recomendación se encuentra en cumplimiento parcial</w:t>
      </w:r>
      <w:r w:rsidR="00422E92" w:rsidRPr="00BD0C91">
        <w:rPr>
          <w:rFonts w:ascii="Cambria" w:hAnsi="Cambria"/>
          <w:lang w:val="es-MX"/>
        </w:rPr>
        <w:t xml:space="preserve">. </w:t>
      </w:r>
    </w:p>
    <w:p w14:paraId="3384397A" w14:textId="661299A2" w:rsidR="009E4409" w:rsidRPr="00EE6378" w:rsidRDefault="00422E92" w:rsidP="004E3E07">
      <w:pPr>
        <w:numPr>
          <w:ilvl w:val="0"/>
          <w:numId w:val="5"/>
        </w:numPr>
        <w:shd w:val="clear" w:color="auto" w:fill="FFFFFF"/>
        <w:spacing w:after="240" w:line="240" w:lineRule="auto"/>
        <w:ind w:left="0" w:firstLine="720"/>
        <w:jc w:val="both"/>
        <w:rPr>
          <w:rFonts w:ascii="Cambria" w:eastAsia="Cambria" w:hAnsi="Cambria" w:cs="Cambria"/>
          <w:sz w:val="20"/>
          <w:szCs w:val="20"/>
          <w:lang w:val="es-MX"/>
        </w:rPr>
      </w:pPr>
      <w:r w:rsidRPr="004E3E07">
        <w:rPr>
          <w:rFonts w:ascii="Cambria" w:eastAsia="Cambria" w:hAnsi="Cambria" w:cs="Cambria"/>
          <w:sz w:val="20"/>
          <w:szCs w:val="20"/>
          <w:lang w:val="es-MX"/>
        </w:rPr>
        <w:t xml:space="preserve">En relación con la recomendación sobre </w:t>
      </w:r>
      <w:r w:rsidRPr="004E3E07">
        <w:rPr>
          <w:rFonts w:ascii="Cambria" w:eastAsia="Cambria" w:hAnsi="Cambria" w:cs="Cambria"/>
          <w:b/>
          <w:bCs/>
          <w:sz w:val="20"/>
          <w:szCs w:val="20"/>
          <w:lang w:val="es-MX"/>
        </w:rPr>
        <w:t>reorientar el abordaje del tema de drogas,</w:t>
      </w:r>
      <w:r w:rsidRPr="004E3E07">
        <w:rPr>
          <w:rFonts w:ascii="Cambria" w:eastAsia="Cambria" w:hAnsi="Cambria" w:cs="Cambria"/>
          <w:sz w:val="20"/>
          <w:szCs w:val="20"/>
          <w:lang w:val="es-MX"/>
        </w:rPr>
        <w:t xml:space="preserve"> el Estado presentó la Estrategia Nacional de prevención de Adicciones “Juntos por la paz” (ENPA) que impulsa un cambio de enfoque respecto al problema de adicciones, y con una perspectiva que trate a las personas afectadas por las adicciones como una población digna de derechos de protección, apoyo, inclusión y vinculación. El Estado </w:t>
      </w:r>
      <w:r w:rsidR="008E3AC7" w:rsidRPr="004E3E07">
        <w:rPr>
          <w:rFonts w:ascii="Cambria" w:eastAsia="Cambria" w:hAnsi="Cambria" w:cs="Cambria"/>
          <w:sz w:val="20"/>
          <w:szCs w:val="20"/>
          <w:lang w:val="es-MX"/>
        </w:rPr>
        <w:t>también indicó que</w:t>
      </w:r>
      <w:r w:rsidRPr="004E3E07">
        <w:rPr>
          <w:rFonts w:ascii="Cambria" w:eastAsia="Cambria" w:hAnsi="Cambria" w:cs="Cambria"/>
          <w:sz w:val="20"/>
          <w:szCs w:val="20"/>
          <w:lang w:val="es-MX"/>
        </w:rPr>
        <w:t xml:space="preserve"> la Dirección General de Prevención del Delito y Servicios de la FGR, en coadyuvancia </w:t>
      </w:r>
      <w:r w:rsidR="000D0D06" w:rsidRPr="004E3E07">
        <w:rPr>
          <w:rFonts w:ascii="Cambria" w:eastAsia="Cambria" w:hAnsi="Cambria" w:cs="Cambria"/>
          <w:sz w:val="20"/>
          <w:szCs w:val="20"/>
          <w:lang w:val="es-MX"/>
        </w:rPr>
        <w:t>en</w:t>
      </w:r>
      <w:r w:rsidRPr="004E3E07">
        <w:rPr>
          <w:rFonts w:ascii="Cambria" w:eastAsia="Cambria" w:hAnsi="Cambria" w:cs="Cambria"/>
          <w:sz w:val="20"/>
          <w:szCs w:val="20"/>
          <w:lang w:val="es-MX"/>
        </w:rPr>
        <w:t xml:space="preserve"> la implementación de la ENPA, ha impartido un total de 277 pláticas relacionadas con diversas temáticas referentes a la prevención del delito</w:t>
      </w:r>
      <w:r w:rsidR="006B51DA" w:rsidRPr="004E3E07">
        <w:rPr>
          <w:rFonts w:ascii="Cambria" w:eastAsia="Cambria" w:hAnsi="Cambria" w:cs="Cambria"/>
          <w:sz w:val="20"/>
          <w:szCs w:val="20"/>
          <w:lang w:val="es-MX"/>
        </w:rPr>
        <w:t xml:space="preserve">, </w:t>
      </w:r>
      <w:r w:rsidR="00E9211C" w:rsidRPr="004E3E07">
        <w:rPr>
          <w:rFonts w:ascii="Cambria" w:eastAsia="Cambria" w:hAnsi="Cambria" w:cs="Cambria"/>
          <w:sz w:val="20"/>
          <w:szCs w:val="20"/>
          <w:lang w:val="es-MX"/>
        </w:rPr>
        <w:t xml:space="preserve">incluyendo </w:t>
      </w:r>
      <w:r w:rsidR="009E4409" w:rsidRPr="004E3E07">
        <w:rPr>
          <w:rFonts w:ascii="Cambria" w:eastAsia="Cambria" w:hAnsi="Cambria" w:cs="Cambria"/>
          <w:sz w:val="20"/>
          <w:szCs w:val="20"/>
          <w:lang w:val="es-MX"/>
        </w:rPr>
        <w:t>el</w:t>
      </w:r>
      <w:r w:rsidR="000D0D06" w:rsidRPr="004E3E07">
        <w:rPr>
          <w:rFonts w:ascii="Cambria" w:eastAsia="Cambria" w:hAnsi="Cambria" w:cs="Cambria"/>
          <w:sz w:val="20"/>
          <w:szCs w:val="20"/>
          <w:lang w:val="es-MX"/>
        </w:rPr>
        <w:t xml:space="preserve"> consumo de drogas</w:t>
      </w:r>
      <w:r w:rsidRPr="004E3E07">
        <w:rPr>
          <w:rFonts w:ascii="Cambria" w:eastAsia="Cambria" w:hAnsi="Cambria" w:cs="Cambria"/>
          <w:sz w:val="20"/>
          <w:szCs w:val="20"/>
          <w:lang w:val="es-MX"/>
        </w:rPr>
        <w:t xml:space="preserve"> a diferentes actores de la población en </w:t>
      </w:r>
      <w:r w:rsidRPr="00EE6378">
        <w:rPr>
          <w:rFonts w:ascii="Cambria" w:eastAsia="Cambria" w:hAnsi="Cambria" w:cs="Cambria"/>
          <w:sz w:val="20"/>
          <w:szCs w:val="20"/>
          <w:lang w:val="es-MX"/>
        </w:rPr>
        <w:t xml:space="preserve">distintas localidades, </w:t>
      </w:r>
      <w:r w:rsidR="00C379FF" w:rsidRPr="00EE6378">
        <w:rPr>
          <w:rFonts w:ascii="Cambria" w:eastAsia="Cambria" w:hAnsi="Cambria" w:cs="Cambria"/>
          <w:sz w:val="20"/>
          <w:szCs w:val="20"/>
          <w:lang w:val="es-MX"/>
        </w:rPr>
        <w:t>entre</w:t>
      </w:r>
      <w:r w:rsidRPr="00EE6378">
        <w:rPr>
          <w:rFonts w:ascii="Cambria" w:eastAsia="Cambria" w:hAnsi="Cambria" w:cs="Cambria"/>
          <w:sz w:val="20"/>
          <w:szCs w:val="20"/>
          <w:lang w:val="es-MX"/>
        </w:rPr>
        <w:t xml:space="preserve"> enero </w:t>
      </w:r>
      <w:r w:rsidR="00C379FF" w:rsidRPr="00EE6378">
        <w:rPr>
          <w:rFonts w:ascii="Cambria" w:eastAsia="Cambria" w:hAnsi="Cambria" w:cs="Cambria"/>
          <w:sz w:val="20"/>
          <w:szCs w:val="20"/>
          <w:lang w:val="es-MX"/>
        </w:rPr>
        <w:t>y</w:t>
      </w:r>
      <w:r w:rsidRPr="00EE6378">
        <w:rPr>
          <w:rFonts w:ascii="Cambria" w:eastAsia="Cambria" w:hAnsi="Cambria" w:cs="Cambria"/>
          <w:sz w:val="20"/>
          <w:szCs w:val="20"/>
          <w:lang w:val="es-MX"/>
        </w:rPr>
        <w:t xml:space="preserve"> septiembr</w:t>
      </w:r>
      <w:r w:rsidR="00D36C0D" w:rsidRPr="00EE6378">
        <w:rPr>
          <w:rFonts w:ascii="Cambria" w:eastAsia="Cambria" w:hAnsi="Cambria" w:cs="Cambria"/>
          <w:sz w:val="20"/>
          <w:szCs w:val="20"/>
          <w:lang w:val="es-MX"/>
        </w:rPr>
        <w:t>e de 2021</w:t>
      </w:r>
      <w:r w:rsidR="00AE42B6" w:rsidRPr="00EE6378">
        <w:rPr>
          <w:rStyle w:val="FootnoteReference"/>
          <w:rFonts w:ascii="Cambria" w:eastAsia="Cambria" w:hAnsi="Cambria" w:cs="Cambria"/>
          <w:sz w:val="20"/>
          <w:szCs w:val="20"/>
          <w:lang w:val="es-MX"/>
        </w:rPr>
        <w:footnoteReference w:id="56"/>
      </w:r>
      <w:r w:rsidRPr="00EE6378">
        <w:rPr>
          <w:rFonts w:ascii="Cambria" w:eastAsia="Cambria" w:hAnsi="Cambria" w:cs="Cambria"/>
          <w:sz w:val="20"/>
          <w:szCs w:val="20"/>
          <w:lang w:val="es-MX"/>
        </w:rPr>
        <w:t xml:space="preserve">. </w:t>
      </w:r>
    </w:p>
    <w:p w14:paraId="13C92161" w14:textId="525EBC9C" w:rsidR="00222F22" w:rsidRPr="004E3E07" w:rsidRDefault="00C379FF" w:rsidP="004E3E07">
      <w:pPr>
        <w:numPr>
          <w:ilvl w:val="0"/>
          <w:numId w:val="5"/>
        </w:numPr>
        <w:shd w:val="clear" w:color="auto" w:fill="FFFFFF"/>
        <w:spacing w:after="240" w:line="240" w:lineRule="auto"/>
        <w:ind w:left="0" w:firstLine="720"/>
        <w:jc w:val="both"/>
        <w:rPr>
          <w:rFonts w:ascii="Cambria" w:eastAsia="Cambria" w:hAnsi="Cambria" w:cs="Cambria"/>
          <w:sz w:val="20"/>
          <w:szCs w:val="20"/>
          <w:lang w:val="es-MX"/>
        </w:rPr>
      </w:pPr>
      <w:r w:rsidRPr="00EE6378">
        <w:rPr>
          <w:rFonts w:ascii="Cambria" w:eastAsia="Cambria" w:hAnsi="Cambria" w:cs="Cambria"/>
          <w:sz w:val="20"/>
          <w:szCs w:val="20"/>
          <w:lang w:val="es-MX"/>
        </w:rPr>
        <w:t>Asimismo, l</w:t>
      </w:r>
      <w:r w:rsidR="00AE42B6" w:rsidRPr="00EE6378">
        <w:rPr>
          <w:rFonts w:ascii="Cambria" w:eastAsia="Cambria" w:hAnsi="Cambria" w:cs="Cambria"/>
          <w:sz w:val="20"/>
          <w:szCs w:val="20"/>
          <w:lang w:val="es-MX"/>
        </w:rPr>
        <w:t xml:space="preserve">a CIDH </w:t>
      </w:r>
      <w:r w:rsidRPr="00EE6378">
        <w:rPr>
          <w:rFonts w:ascii="Cambria" w:eastAsia="Cambria" w:hAnsi="Cambria" w:cs="Cambria"/>
          <w:sz w:val="20"/>
          <w:szCs w:val="20"/>
          <w:lang w:val="es-MX"/>
        </w:rPr>
        <w:t xml:space="preserve">tomó </w:t>
      </w:r>
      <w:r w:rsidR="00AE42B6" w:rsidRPr="00EE6378">
        <w:rPr>
          <w:rFonts w:ascii="Cambria" w:eastAsia="Cambria" w:hAnsi="Cambria" w:cs="Cambria"/>
          <w:sz w:val="20"/>
          <w:szCs w:val="20"/>
          <w:lang w:val="es-MX"/>
        </w:rPr>
        <w:t>conocimiento de que la Cámara de Diputados el Senado mexicano aprobó el 10 de marzo de 2021 un proyecto de ley para</w:t>
      </w:r>
      <w:r w:rsidR="007B69C1" w:rsidRPr="00EE6378">
        <w:rPr>
          <w:rFonts w:ascii="Cambria" w:eastAsia="Cambria" w:hAnsi="Cambria" w:cs="Cambria"/>
          <w:sz w:val="20"/>
          <w:szCs w:val="20"/>
          <w:lang w:val="es-MX"/>
        </w:rPr>
        <w:t xml:space="preserve"> regular el uso personal del </w:t>
      </w:r>
      <w:r w:rsidR="00FA5517" w:rsidRPr="00EE6378">
        <w:rPr>
          <w:rFonts w:ascii="Cambria" w:eastAsia="Cambria" w:hAnsi="Cambria" w:cs="Cambria"/>
          <w:sz w:val="20"/>
          <w:szCs w:val="20"/>
          <w:lang w:val="es-MX"/>
        </w:rPr>
        <w:t xml:space="preserve">cannabis, </w:t>
      </w:r>
      <w:r w:rsidR="00AE42B6" w:rsidRPr="00EE6378">
        <w:rPr>
          <w:rFonts w:ascii="Cambria" w:eastAsia="Cambria" w:hAnsi="Cambria" w:cs="Cambria"/>
          <w:sz w:val="20"/>
          <w:szCs w:val="20"/>
          <w:lang w:val="es-MX"/>
        </w:rPr>
        <w:t xml:space="preserve">esta iniciativa fue enviada al Senado, donde </w:t>
      </w:r>
      <w:r w:rsidR="007B69C1" w:rsidRPr="00EE6378">
        <w:rPr>
          <w:rFonts w:ascii="Cambria" w:eastAsia="Cambria" w:hAnsi="Cambria" w:cs="Cambria"/>
          <w:sz w:val="20"/>
          <w:szCs w:val="20"/>
          <w:lang w:val="es-MX"/>
        </w:rPr>
        <w:t xml:space="preserve">según el Estado se encuentra en revisión. </w:t>
      </w:r>
      <w:r w:rsidR="00AE42B6" w:rsidRPr="00EE6378">
        <w:rPr>
          <w:rFonts w:ascii="Cambria" w:eastAsia="Cambria" w:hAnsi="Cambria" w:cs="Cambria"/>
          <w:sz w:val="20"/>
          <w:szCs w:val="20"/>
          <w:lang w:val="es-MX"/>
        </w:rPr>
        <w:t>A través de este dictamen se expidió la Ley General para la Regulación de la Cannabis que regula el cultivo, la producción, distribución, venta y consumo, de la marihuana y que cumplimenta la sentencia de la SCJN que ordenó legislar en la materia</w:t>
      </w:r>
      <w:r w:rsidR="00D202F6" w:rsidRPr="00EE6378">
        <w:rPr>
          <w:rFonts w:ascii="Cambria" w:eastAsia="Cambria" w:hAnsi="Cambria" w:cs="Cambria"/>
          <w:sz w:val="20"/>
          <w:szCs w:val="20"/>
          <w:vertAlign w:val="superscript"/>
          <w:lang w:val="es-MX"/>
        </w:rPr>
        <w:footnoteReference w:id="57"/>
      </w:r>
      <w:r w:rsidR="00AE42B6" w:rsidRPr="00EE6378">
        <w:rPr>
          <w:rFonts w:ascii="Cambria" w:eastAsia="Cambria" w:hAnsi="Cambria" w:cs="Cambria"/>
          <w:sz w:val="20"/>
          <w:szCs w:val="20"/>
          <w:lang w:val="es-MX"/>
        </w:rPr>
        <w:t xml:space="preserve">. </w:t>
      </w:r>
      <w:r w:rsidR="00D202F6" w:rsidRPr="00EE6378">
        <w:rPr>
          <w:rFonts w:ascii="Cambria" w:eastAsia="Cambria" w:hAnsi="Cambria" w:cs="Cambria"/>
          <w:sz w:val="20"/>
          <w:szCs w:val="20"/>
          <w:lang w:val="es-MX"/>
        </w:rPr>
        <w:t>Si bien la</w:t>
      </w:r>
      <w:r w:rsidR="00D202F6" w:rsidRPr="004E3E07">
        <w:rPr>
          <w:rFonts w:ascii="Cambria" w:eastAsia="Cambria" w:hAnsi="Cambria" w:cs="Cambria"/>
          <w:sz w:val="20"/>
          <w:szCs w:val="20"/>
          <w:lang w:val="es-MX"/>
        </w:rPr>
        <w:t xml:space="preserve"> inconstitucionalidad de la prohibición del uso recreativo de la marihuana </w:t>
      </w:r>
      <w:r w:rsidR="00A86E93" w:rsidRPr="004E3E07">
        <w:rPr>
          <w:rFonts w:ascii="Cambria" w:eastAsia="Cambria" w:hAnsi="Cambria" w:cs="Cambria"/>
          <w:sz w:val="20"/>
          <w:szCs w:val="20"/>
          <w:lang w:val="es-MX"/>
        </w:rPr>
        <w:t xml:space="preserve">de </w:t>
      </w:r>
      <w:r w:rsidR="00BC39A4" w:rsidRPr="004E3E07">
        <w:rPr>
          <w:rFonts w:ascii="Cambria" w:eastAsia="Cambria" w:hAnsi="Cambria" w:cs="Cambria"/>
          <w:sz w:val="20"/>
          <w:szCs w:val="20"/>
          <w:lang w:val="es-MX"/>
        </w:rPr>
        <w:t>la SCJN</w:t>
      </w:r>
      <w:r w:rsidR="00A86E93" w:rsidRPr="004E3E07">
        <w:rPr>
          <w:rFonts w:ascii="Cambria" w:eastAsia="Cambria" w:hAnsi="Cambria" w:cs="Cambria"/>
          <w:sz w:val="20"/>
          <w:szCs w:val="20"/>
          <w:lang w:val="es-MX"/>
        </w:rPr>
        <w:t xml:space="preserve"> quedó ya expedita</w:t>
      </w:r>
      <w:r w:rsidR="00BC39A4" w:rsidRPr="004E3E07">
        <w:rPr>
          <w:rFonts w:ascii="Cambria" w:eastAsia="Cambria" w:hAnsi="Cambria" w:cs="Cambria"/>
          <w:sz w:val="20"/>
          <w:szCs w:val="20"/>
          <w:lang w:val="es-MX"/>
        </w:rPr>
        <w:t xml:space="preserve">, </w:t>
      </w:r>
      <w:r w:rsidR="0081557E" w:rsidRPr="004E3E07">
        <w:rPr>
          <w:rFonts w:ascii="Cambria" w:eastAsia="Cambria" w:hAnsi="Cambria" w:cs="Cambria"/>
          <w:sz w:val="20"/>
          <w:szCs w:val="20"/>
          <w:lang w:val="es-MX"/>
        </w:rPr>
        <w:t xml:space="preserve">aún </w:t>
      </w:r>
      <w:r w:rsidR="00A86E93" w:rsidRPr="004E3E07">
        <w:rPr>
          <w:rFonts w:ascii="Cambria" w:eastAsia="Cambria" w:hAnsi="Cambria" w:cs="Cambria"/>
          <w:sz w:val="20"/>
          <w:szCs w:val="20"/>
          <w:lang w:val="es-MX"/>
        </w:rPr>
        <w:t>persisten</w:t>
      </w:r>
      <w:r w:rsidR="0081557E" w:rsidRPr="004E3E07">
        <w:rPr>
          <w:rFonts w:ascii="Cambria" w:eastAsia="Cambria" w:hAnsi="Cambria" w:cs="Cambria"/>
          <w:sz w:val="20"/>
          <w:szCs w:val="20"/>
          <w:lang w:val="es-MX"/>
        </w:rPr>
        <w:t xml:space="preserve"> algunos </w:t>
      </w:r>
      <w:r w:rsidR="00A86E93" w:rsidRPr="004E3E07">
        <w:rPr>
          <w:rFonts w:ascii="Cambria" w:eastAsia="Cambria" w:hAnsi="Cambria" w:cs="Cambria"/>
          <w:sz w:val="20"/>
          <w:szCs w:val="20"/>
          <w:lang w:val="es-MX"/>
        </w:rPr>
        <w:t>vacíos</w:t>
      </w:r>
      <w:r w:rsidR="0081557E" w:rsidRPr="004E3E07">
        <w:rPr>
          <w:rFonts w:ascii="Cambria" w:eastAsia="Cambria" w:hAnsi="Cambria" w:cs="Cambria"/>
          <w:sz w:val="20"/>
          <w:szCs w:val="20"/>
          <w:lang w:val="es-MX"/>
        </w:rPr>
        <w:t xml:space="preserve"> relacionados con la comercialización</w:t>
      </w:r>
      <w:r w:rsidR="008A29BB" w:rsidRPr="004E3E07">
        <w:rPr>
          <w:rFonts w:ascii="Cambria" w:eastAsia="Cambria" w:hAnsi="Cambria" w:cs="Cambria"/>
          <w:sz w:val="20"/>
          <w:szCs w:val="20"/>
          <w:lang w:val="es-MX"/>
        </w:rPr>
        <w:t>, autocultivo, consumo y cantidades</w:t>
      </w:r>
      <w:r w:rsidR="00A86E93" w:rsidRPr="004E3E07">
        <w:rPr>
          <w:rFonts w:ascii="Cambria" w:eastAsia="Cambria" w:hAnsi="Cambria" w:cs="Cambria"/>
          <w:sz w:val="20"/>
          <w:szCs w:val="20"/>
          <w:lang w:val="es-MX"/>
        </w:rPr>
        <w:t xml:space="preserve"> de posesión</w:t>
      </w:r>
      <w:r w:rsidR="008A29BB" w:rsidRPr="004E3E07">
        <w:rPr>
          <w:rFonts w:ascii="Cambria" w:eastAsia="Cambria" w:hAnsi="Cambria" w:cs="Cambria"/>
          <w:sz w:val="20"/>
          <w:szCs w:val="20"/>
          <w:lang w:val="es-MX"/>
        </w:rPr>
        <w:t xml:space="preserve"> que deben ser detallados normativamente para evitar </w:t>
      </w:r>
      <w:r w:rsidR="00AF5715" w:rsidRPr="004E3E07">
        <w:rPr>
          <w:rFonts w:ascii="Cambria" w:eastAsia="Cambria" w:hAnsi="Cambria" w:cs="Cambria"/>
          <w:sz w:val="20"/>
          <w:szCs w:val="20"/>
          <w:lang w:val="es-MX"/>
        </w:rPr>
        <w:t>lagunas que pudieran generar incertidumbre jurídica y criminalización</w:t>
      </w:r>
      <w:r w:rsidR="00AF5715" w:rsidRPr="004E3E07">
        <w:rPr>
          <w:rStyle w:val="FootnoteReference"/>
          <w:rFonts w:ascii="Cambria" w:eastAsia="Cambria" w:hAnsi="Cambria" w:cs="Cambria"/>
          <w:sz w:val="20"/>
          <w:szCs w:val="20"/>
          <w:lang w:val="es-MX"/>
        </w:rPr>
        <w:footnoteReference w:id="58"/>
      </w:r>
      <w:r w:rsidR="007E25FF" w:rsidRPr="004E3E07">
        <w:rPr>
          <w:rFonts w:ascii="Cambria" w:eastAsia="Cambria" w:hAnsi="Cambria" w:cs="Cambria"/>
          <w:sz w:val="20"/>
          <w:szCs w:val="20"/>
          <w:lang w:val="es-MX"/>
        </w:rPr>
        <w:t>.</w:t>
      </w:r>
    </w:p>
    <w:p w14:paraId="14606963" w14:textId="2579F87B" w:rsidR="002277F5" w:rsidRPr="007B69C1" w:rsidRDefault="007E25FF" w:rsidP="007B69C1">
      <w:pPr>
        <w:numPr>
          <w:ilvl w:val="0"/>
          <w:numId w:val="5"/>
        </w:numPr>
        <w:shd w:val="clear" w:color="auto" w:fill="FFFFFF" w:themeFill="background1"/>
        <w:spacing w:after="240" w:line="240" w:lineRule="auto"/>
        <w:ind w:left="0" w:firstLine="720"/>
        <w:jc w:val="both"/>
        <w:rPr>
          <w:rFonts w:ascii="Cambria" w:hAnsi="Cambria"/>
          <w:sz w:val="20"/>
          <w:szCs w:val="20"/>
          <w:lang w:val="es-MX"/>
        </w:rPr>
      </w:pPr>
      <w:r w:rsidRPr="004E3E07">
        <w:rPr>
          <w:rFonts w:ascii="Cambria" w:eastAsia="Cambria" w:hAnsi="Cambria" w:cs="Cambria"/>
          <w:sz w:val="20"/>
          <w:szCs w:val="20"/>
          <w:lang w:val="es-MX"/>
        </w:rPr>
        <w:t xml:space="preserve">De la información remitida, la Comisión observa </w:t>
      </w:r>
      <w:r w:rsidR="001B5257" w:rsidRPr="004E3E07">
        <w:rPr>
          <w:rFonts w:ascii="Cambria" w:eastAsia="Cambria" w:hAnsi="Cambria" w:cs="Cambria"/>
          <w:sz w:val="20"/>
          <w:szCs w:val="20"/>
          <w:lang w:val="es-MX"/>
        </w:rPr>
        <w:t xml:space="preserve">que el reporte </w:t>
      </w:r>
      <w:r w:rsidR="00C379FF" w:rsidRPr="004E3E07">
        <w:rPr>
          <w:rFonts w:ascii="Cambria" w:eastAsia="Cambria" w:hAnsi="Cambria" w:cs="Cambria"/>
          <w:sz w:val="20"/>
          <w:szCs w:val="20"/>
          <w:lang w:val="es-MX"/>
        </w:rPr>
        <w:t>de</w:t>
      </w:r>
      <w:r w:rsidR="001B5257" w:rsidRPr="004E3E07">
        <w:rPr>
          <w:rFonts w:ascii="Cambria" w:eastAsia="Cambria" w:hAnsi="Cambria" w:cs="Cambria"/>
          <w:sz w:val="20"/>
          <w:szCs w:val="20"/>
          <w:lang w:val="es-MX"/>
        </w:rPr>
        <w:t xml:space="preserve">l Estado concentra </w:t>
      </w:r>
      <w:r w:rsidR="00736E75">
        <w:rPr>
          <w:rFonts w:ascii="Cambria" w:eastAsia="Cambria" w:hAnsi="Cambria" w:cs="Cambria"/>
          <w:sz w:val="20"/>
          <w:szCs w:val="20"/>
          <w:lang w:val="es-MX"/>
        </w:rPr>
        <w:t>su reporte</w:t>
      </w:r>
      <w:r w:rsidR="001B5257" w:rsidRPr="004E3E07">
        <w:rPr>
          <w:rFonts w:ascii="Cambria" w:eastAsia="Cambria" w:hAnsi="Cambria" w:cs="Cambria"/>
          <w:sz w:val="20"/>
          <w:szCs w:val="20"/>
          <w:lang w:val="es-MX"/>
        </w:rPr>
        <w:t xml:space="preserve"> respecto del desincentivo en el uso de sustancias psicoactivas, </w:t>
      </w:r>
      <w:r w:rsidR="00C379FF" w:rsidRPr="004E3E07">
        <w:rPr>
          <w:rFonts w:ascii="Cambria" w:eastAsia="Cambria" w:hAnsi="Cambria" w:cs="Cambria"/>
          <w:sz w:val="20"/>
          <w:szCs w:val="20"/>
          <w:lang w:val="es-MX"/>
        </w:rPr>
        <w:t xml:space="preserve">con un apoyo importante </w:t>
      </w:r>
      <w:r w:rsidR="00630BCF" w:rsidRPr="004E3E07">
        <w:rPr>
          <w:rFonts w:ascii="Cambria" w:eastAsia="Cambria" w:hAnsi="Cambria" w:cs="Cambria"/>
          <w:sz w:val="20"/>
          <w:szCs w:val="20"/>
          <w:lang w:val="es-MX"/>
        </w:rPr>
        <w:t xml:space="preserve">en dependencias </w:t>
      </w:r>
      <w:r w:rsidR="00A86E93" w:rsidRPr="004E3E07">
        <w:rPr>
          <w:rFonts w:ascii="Cambria" w:eastAsia="Cambria" w:hAnsi="Cambria" w:cs="Cambria"/>
          <w:sz w:val="20"/>
          <w:szCs w:val="20"/>
          <w:lang w:val="es-MX"/>
        </w:rPr>
        <w:t xml:space="preserve">relacionadas con la procuración de justicia. </w:t>
      </w:r>
      <w:r w:rsidR="00ED5565" w:rsidRPr="004E3E07">
        <w:rPr>
          <w:rFonts w:ascii="Cambria" w:eastAsia="Cambria" w:hAnsi="Cambria" w:cs="Cambria"/>
          <w:sz w:val="20"/>
          <w:szCs w:val="20"/>
          <w:lang w:val="es-MX"/>
        </w:rPr>
        <w:t>La información aportada</w:t>
      </w:r>
      <w:r w:rsidR="00200B2D" w:rsidRPr="004E3E07">
        <w:rPr>
          <w:rFonts w:ascii="Cambria" w:eastAsia="Cambria" w:hAnsi="Cambria" w:cs="Cambria"/>
          <w:sz w:val="20"/>
          <w:szCs w:val="20"/>
          <w:lang w:val="es-MX"/>
        </w:rPr>
        <w:t xml:space="preserve"> contrast</w:t>
      </w:r>
      <w:r w:rsidR="00D25C88" w:rsidRPr="004E3E07">
        <w:rPr>
          <w:rFonts w:ascii="Cambria" w:eastAsia="Cambria" w:hAnsi="Cambria" w:cs="Cambria"/>
          <w:sz w:val="20"/>
          <w:szCs w:val="20"/>
          <w:lang w:val="es-MX"/>
        </w:rPr>
        <w:t>a con</w:t>
      </w:r>
      <w:r w:rsidR="00A86E93" w:rsidRPr="004E3E07">
        <w:rPr>
          <w:rFonts w:ascii="Cambria" w:eastAsia="Cambria" w:hAnsi="Cambria" w:cs="Cambria"/>
          <w:sz w:val="20"/>
          <w:szCs w:val="20"/>
          <w:lang w:val="es-MX"/>
        </w:rPr>
        <w:t xml:space="preserve"> </w:t>
      </w:r>
      <w:r w:rsidR="00ED5565" w:rsidRPr="004E3E07">
        <w:rPr>
          <w:rFonts w:ascii="Cambria" w:eastAsia="Cambria" w:hAnsi="Cambria" w:cs="Cambria"/>
          <w:sz w:val="20"/>
          <w:szCs w:val="20"/>
          <w:lang w:val="es-MX"/>
        </w:rPr>
        <w:t>el reporte</w:t>
      </w:r>
      <w:r w:rsidR="00A86E93" w:rsidRPr="004E3E07">
        <w:rPr>
          <w:rFonts w:ascii="Cambria" w:eastAsia="Cambria" w:hAnsi="Cambria" w:cs="Cambria"/>
          <w:sz w:val="20"/>
          <w:szCs w:val="20"/>
          <w:lang w:val="es-MX"/>
        </w:rPr>
        <w:t xml:space="preserve"> re</w:t>
      </w:r>
      <w:r w:rsidR="00ED5565" w:rsidRPr="004E3E07">
        <w:rPr>
          <w:rFonts w:ascii="Cambria" w:eastAsia="Cambria" w:hAnsi="Cambria" w:cs="Cambria"/>
          <w:sz w:val="20"/>
          <w:szCs w:val="20"/>
          <w:lang w:val="es-MX"/>
        </w:rPr>
        <w:t>cibido</w:t>
      </w:r>
      <w:r w:rsidR="00A86E93" w:rsidRPr="004E3E07">
        <w:rPr>
          <w:rFonts w:ascii="Cambria" w:eastAsia="Cambria" w:hAnsi="Cambria" w:cs="Cambria"/>
          <w:sz w:val="20"/>
          <w:szCs w:val="20"/>
          <w:lang w:val="es-MX"/>
        </w:rPr>
        <w:t xml:space="preserve"> el año </w:t>
      </w:r>
      <w:r w:rsidR="005F75C5" w:rsidRPr="004E3E07">
        <w:rPr>
          <w:rFonts w:ascii="Cambria" w:eastAsia="Cambria" w:hAnsi="Cambria" w:cs="Cambria"/>
          <w:sz w:val="20"/>
          <w:szCs w:val="20"/>
          <w:lang w:val="es-MX"/>
        </w:rPr>
        <w:t>2020</w:t>
      </w:r>
      <w:r w:rsidR="00A86E93" w:rsidRPr="004E3E07">
        <w:rPr>
          <w:rFonts w:ascii="Cambria" w:eastAsia="Cambria" w:hAnsi="Cambria" w:cs="Cambria"/>
          <w:sz w:val="20"/>
          <w:szCs w:val="20"/>
          <w:lang w:val="es-MX"/>
        </w:rPr>
        <w:t xml:space="preserve"> sobre la implementación del </w:t>
      </w:r>
      <w:r w:rsidR="00054579" w:rsidRPr="004E3E07">
        <w:rPr>
          <w:rFonts w:ascii="Cambria" w:eastAsia="Cambria" w:hAnsi="Cambria" w:cs="Cambria"/>
          <w:sz w:val="20"/>
          <w:szCs w:val="20"/>
          <w:lang w:val="es-MX"/>
        </w:rPr>
        <w:t>Programa</w:t>
      </w:r>
      <w:r w:rsidR="00222F22" w:rsidRPr="004E3E07">
        <w:rPr>
          <w:rFonts w:ascii="Cambria" w:eastAsia="Cambria" w:hAnsi="Cambria" w:cs="Cambria"/>
          <w:sz w:val="20"/>
          <w:szCs w:val="20"/>
          <w:lang w:val="es-MX"/>
        </w:rPr>
        <w:t xml:space="preserve"> </w:t>
      </w:r>
      <w:r w:rsidR="00054579" w:rsidRPr="004E3E07">
        <w:rPr>
          <w:rFonts w:ascii="Cambria" w:eastAsia="Cambria" w:hAnsi="Cambria" w:cs="Cambria"/>
          <w:sz w:val="20"/>
          <w:szCs w:val="20"/>
          <w:lang w:val="es-MX"/>
        </w:rPr>
        <w:t>Nacional</w:t>
      </w:r>
      <w:r w:rsidR="00222F22" w:rsidRPr="004E3E07">
        <w:rPr>
          <w:rFonts w:ascii="Cambria" w:eastAsia="Cambria" w:hAnsi="Cambria" w:cs="Cambria"/>
          <w:sz w:val="20"/>
          <w:szCs w:val="20"/>
          <w:lang w:val="es-MX"/>
        </w:rPr>
        <w:t xml:space="preserve"> </w:t>
      </w:r>
      <w:r w:rsidR="00054579" w:rsidRPr="004E3E07">
        <w:rPr>
          <w:rFonts w:ascii="Cambria" w:eastAsia="Cambria" w:hAnsi="Cambria" w:cs="Cambria"/>
          <w:sz w:val="20"/>
          <w:szCs w:val="20"/>
          <w:lang w:val="es-MX"/>
        </w:rPr>
        <w:t>de</w:t>
      </w:r>
      <w:r w:rsidR="00222F22" w:rsidRPr="004E3E07">
        <w:rPr>
          <w:rFonts w:ascii="Cambria" w:eastAsia="Cambria" w:hAnsi="Cambria" w:cs="Cambria"/>
          <w:sz w:val="20"/>
          <w:szCs w:val="20"/>
          <w:lang w:val="es-MX"/>
        </w:rPr>
        <w:t xml:space="preserve"> </w:t>
      </w:r>
      <w:r w:rsidR="00054579" w:rsidRPr="004E3E07">
        <w:rPr>
          <w:rFonts w:ascii="Cambria" w:eastAsia="Cambria" w:hAnsi="Cambria" w:cs="Cambria"/>
          <w:sz w:val="20"/>
          <w:szCs w:val="20"/>
          <w:lang w:val="es-MX"/>
        </w:rPr>
        <w:t xml:space="preserve">Políticas Integrales y Diferenciadas de </w:t>
      </w:r>
      <w:r w:rsidR="00222F22" w:rsidRPr="004E3E07">
        <w:rPr>
          <w:rFonts w:ascii="Cambria" w:eastAsia="Cambria" w:hAnsi="Cambria" w:cs="Cambria"/>
          <w:sz w:val="20"/>
          <w:szCs w:val="20"/>
          <w:lang w:val="es-MX"/>
        </w:rPr>
        <w:t>d</w:t>
      </w:r>
      <w:r w:rsidR="00054579" w:rsidRPr="004E3E07">
        <w:rPr>
          <w:rFonts w:ascii="Cambria" w:eastAsia="Cambria" w:hAnsi="Cambria" w:cs="Cambria"/>
          <w:sz w:val="20"/>
          <w:szCs w:val="20"/>
          <w:lang w:val="es-MX"/>
        </w:rPr>
        <w:t xml:space="preserve">rogas (PNPIDD) 2019-2024 que se </w:t>
      </w:r>
      <w:r w:rsidR="00ED5565" w:rsidRPr="004E3E07">
        <w:rPr>
          <w:rFonts w:ascii="Cambria" w:eastAsia="Cambria" w:hAnsi="Cambria" w:cs="Cambria"/>
          <w:sz w:val="20"/>
          <w:szCs w:val="20"/>
          <w:lang w:val="es-MX"/>
        </w:rPr>
        <w:t>centraba</w:t>
      </w:r>
      <w:r w:rsidR="00054579" w:rsidRPr="004E3E07">
        <w:rPr>
          <w:rFonts w:ascii="Cambria" w:eastAsia="Cambria" w:hAnsi="Cambria" w:cs="Cambria"/>
          <w:sz w:val="20"/>
          <w:szCs w:val="20"/>
          <w:lang w:val="es-MX"/>
        </w:rPr>
        <w:t xml:space="preserve"> en la</w:t>
      </w:r>
      <w:r w:rsidR="00222F22" w:rsidRPr="004E3E07">
        <w:rPr>
          <w:rFonts w:ascii="Cambria" w:eastAsia="Cambria" w:hAnsi="Cambria" w:cs="Cambria"/>
          <w:sz w:val="20"/>
          <w:szCs w:val="20"/>
          <w:lang w:val="es-MX"/>
        </w:rPr>
        <w:t xml:space="preserve"> </w:t>
      </w:r>
      <w:r w:rsidR="00054579" w:rsidRPr="004E3E07">
        <w:rPr>
          <w:rFonts w:ascii="Cambria" w:eastAsia="Cambria" w:hAnsi="Cambria" w:cs="Cambria"/>
          <w:sz w:val="20"/>
          <w:szCs w:val="20"/>
          <w:lang w:val="es-MX"/>
        </w:rPr>
        <w:t>prevención</w:t>
      </w:r>
      <w:r w:rsidR="00E12B03" w:rsidRPr="004E3E07">
        <w:rPr>
          <w:rFonts w:ascii="Cambria" w:eastAsia="Cambria" w:hAnsi="Cambria" w:cs="Cambria"/>
          <w:sz w:val="20"/>
          <w:szCs w:val="20"/>
          <w:lang w:val="es-MX"/>
        </w:rPr>
        <w:t xml:space="preserve"> </w:t>
      </w:r>
      <w:r w:rsidR="00054579" w:rsidRPr="004E3E07">
        <w:rPr>
          <w:rFonts w:ascii="Cambria" w:eastAsia="Cambria" w:hAnsi="Cambria" w:cs="Cambria"/>
          <w:sz w:val="20"/>
          <w:szCs w:val="20"/>
          <w:lang w:val="es-MX"/>
        </w:rPr>
        <w:t>del</w:t>
      </w:r>
      <w:r w:rsidR="00E12B03" w:rsidRPr="004E3E07">
        <w:rPr>
          <w:rFonts w:ascii="Cambria" w:eastAsia="Cambria" w:hAnsi="Cambria" w:cs="Cambria"/>
          <w:sz w:val="20"/>
          <w:szCs w:val="20"/>
          <w:lang w:val="es-MX"/>
        </w:rPr>
        <w:t xml:space="preserve"> </w:t>
      </w:r>
      <w:r w:rsidR="00054579" w:rsidRPr="004E3E07">
        <w:rPr>
          <w:rFonts w:ascii="Cambria" w:eastAsia="Cambria" w:hAnsi="Cambria" w:cs="Cambria"/>
          <w:sz w:val="20"/>
          <w:szCs w:val="20"/>
          <w:lang w:val="es-MX"/>
        </w:rPr>
        <w:t>abuso</w:t>
      </w:r>
      <w:r w:rsidR="00E12B03" w:rsidRPr="004E3E07">
        <w:rPr>
          <w:rFonts w:ascii="Cambria" w:eastAsia="Cambria" w:hAnsi="Cambria" w:cs="Cambria"/>
          <w:sz w:val="20"/>
          <w:szCs w:val="20"/>
          <w:lang w:val="es-MX"/>
        </w:rPr>
        <w:t xml:space="preserve"> </w:t>
      </w:r>
      <w:r w:rsidR="00054579" w:rsidRPr="004E3E07">
        <w:rPr>
          <w:rFonts w:ascii="Cambria" w:eastAsia="Cambria" w:hAnsi="Cambria" w:cs="Cambria"/>
          <w:sz w:val="20"/>
          <w:szCs w:val="20"/>
          <w:lang w:val="es-MX"/>
        </w:rPr>
        <w:t>de</w:t>
      </w:r>
      <w:r w:rsidR="00E12B03" w:rsidRPr="004E3E07">
        <w:rPr>
          <w:rFonts w:ascii="Cambria" w:eastAsia="Cambria" w:hAnsi="Cambria" w:cs="Cambria"/>
          <w:sz w:val="20"/>
          <w:szCs w:val="20"/>
          <w:lang w:val="es-MX"/>
        </w:rPr>
        <w:t xml:space="preserve"> </w:t>
      </w:r>
      <w:r w:rsidR="00054579" w:rsidRPr="004E3E07">
        <w:rPr>
          <w:rFonts w:ascii="Cambria" w:eastAsia="Cambria" w:hAnsi="Cambria" w:cs="Cambria"/>
          <w:sz w:val="20"/>
          <w:szCs w:val="20"/>
          <w:lang w:val="es-MX"/>
        </w:rPr>
        <w:t>drogas,</w:t>
      </w:r>
      <w:r w:rsidR="00E12B03" w:rsidRPr="004E3E07">
        <w:rPr>
          <w:rFonts w:ascii="Cambria" w:eastAsia="Cambria" w:hAnsi="Cambria" w:cs="Cambria"/>
          <w:sz w:val="20"/>
          <w:szCs w:val="20"/>
          <w:lang w:val="es-MX"/>
        </w:rPr>
        <w:t xml:space="preserve"> </w:t>
      </w:r>
      <w:r w:rsidR="00054579" w:rsidRPr="004E3E07">
        <w:rPr>
          <w:rFonts w:ascii="Cambria" w:eastAsia="Cambria" w:hAnsi="Cambria" w:cs="Cambria"/>
          <w:sz w:val="20"/>
          <w:szCs w:val="20"/>
          <w:lang w:val="es-MX"/>
        </w:rPr>
        <w:t>de</w:t>
      </w:r>
      <w:r w:rsidR="00E12B03" w:rsidRPr="004E3E07">
        <w:rPr>
          <w:rFonts w:ascii="Cambria" w:eastAsia="Cambria" w:hAnsi="Cambria" w:cs="Cambria"/>
          <w:sz w:val="20"/>
          <w:szCs w:val="20"/>
          <w:lang w:val="es-MX"/>
        </w:rPr>
        <w:t xml:space="preserve"> </w:t>
      </w:r>
      <w:r w:rsidR="00054579" w:rsidRPr="004E3E07">
        <w:rPr>
          <w:rFonts w:ascii="Cambria" w:eastAsia="Cambria" w:hAnsi="Cambria" w:cs="Cambria"/>
          <w:sz w:val="20"/>
          <w:szCs w:val="20"/>
          <w:lang w:val="es-MX"/>
        </w:rPr>
        <w:t>la</w:t>
      </w:r>
      <w:r w:rsidR="00E12B03" w:rsidRPr="004E3E07">
        <w:rPr>
          <w:rFonts w:ascii="Cambria" w:eastAsia="Cambria" w:hAnsi="Cambria" w:cs="Cambria"/>
          <w:sz w:val="20"/>
          <w:szCs w:val="20"/>
          <w:lang w:val="es-MX"/>
        </w:rPr>
        <w:t xml:space="preserve"> </w:t>
      </w:r>
      <w:r w:rsidR="00054579" w:rsidRPr="004E3E07">
        <w:rPr>
          <w:rFonts w:ascii="Cambria" w:eastAsia="Cambria" w:hAnsi="Cambria" w:cs="Cambria"/>
          <w:sz w:val="20"/>
          <w:szCs w:val="20"/>
          <w:lang w:val="es-MX"/>
        </w:rPr>
        <w:t>violencia</w:t>
      </w:r>
      <w:r w:rsidR="00E12B03" w:rsidRPr="004E3E07">
        <w:rPr>
          <w:rFonts w:ascii="Cambria" w:eastAsia="Cambria" w:hAnsi="Cambria" w:cs="Cambria"/>
          <w:sz w:val="20"/>
          <w:szCs w:val="20"/>
          <w:lang w:val="es-MX"/>
        </w:rPr>
        <w:t xml:space="preserve"> </w:t>
      </w:r>
      <w:r w:rsidR="00054579" w:rsidRPr="004E3E07">
        <w:rPr>
          <w:rFonts w:ascii="Cambria" w:eastAsia="Cambria" w:hAnsi="Cambria" w:cs="Cambria"/>
          <w:sz w:val="20"/>
          <w:szCs w:val="20"/>
          <w:lang w:val="es-MX"/>
        </w:rPr>
        <w:t>y</w:t>
      </w:r>
      <w:r w:rsidR="00E12B03" w:rsidRPr="004E3E07">
        <w:rPr>
          <w:rFonts w:ascii="Cambria" w:eastAsia="Cambria" w:hAnsi="Cambria" w:cs="Cambria"/>
          <w:sz w:val="20"/>
          <w:szCs w:val="20"/>
          <w:lang w:val="es-MX"/>
        </w:rPr>
        <w:t xml:space="preserve"> </w:t>
      </w:r>
      <w:r w:rsidR="00054579" w:rsidRPr="004E3E07">
        <w:rPr>
          <w:rFonts w:ascii="Cambria" w:eastAsia="Cambria" w:hAnsi="Cambria" w:cs="Cambria"/>
          <w:sz w:val="20"/>
          <w:szCs w:val="20"/>
          <w:lang w:val="es-MX"/>
        </w:rPr>
        <w:t>otros</w:t>
      </w:r>
      <w:r w:rsidR="00E12B03" w:rsidRPr="004E3E07">
        <w:rPr>
          <w:rFonts w:ascii="Cambria" w:eastAsia="Cambria" w:hAnsi="Cambria" w:cs="Cambria"/>
          <w:sz w:val="20"/>
          <w:szCs w:val="20"/>
          <w:lang w:val="es-MX"/>
        </w:rPr>
        <w:t xml:space="preserve"> </w:t>
      </w:r>
      <w:r w:rsidR="00054579" w:rsidRPr="004E3E07">
        <w:rPr>
          <w:rFonts w:ascii="Cambria" w:eastAsia="Cambria" w:hAnsi="Cambria" w:cs="Cambria"/>
          <w:sz w:val="20"/>
          <w:szCs w:val="20"/>
          <w:lang w:val="es-MX"/>
        </w:rPr>
        <w:t>daños</w:t>
      </w:r>
      <w:r w:rsidR="00222F22" w:rsidRPr="004E3E07">
        <w:rPr>
          <w:rFonts w:ascii="Cambria" w:eastAsia="Cambria" w:hAnsi="Cambria" w:cs="Cambria"/>
          <w:sz w:val="20"/>
          <w:szCs w:val="20"/>
          <w:lang w:val="es-MX"/>
        </w:rPr>
        <w:t xml:space="preserve"> </w:t>
      </w:r>
      <w:r w:rsidR="00054579" w:rsidRPr="004E3E07">
        <w:rPr>
          <w:rFonts w:ascii="Cambria" w:eastAsia="Cambria" w:hAnsi="Cambria" w:cs="Cambria"/>
          <w:sz w:val="20"/>
          <w:szCs w:val="20"/>
          <w:lang w:val="es-MX"/>
        </w:rPr>
        <w:t>asociados</w:t>
      </w:r>
      <w:r w:rsidR="00E12B03" w:rsidRPr="004E3E07">
        <w:rPr>
          <w:rFonts w:ascii="Cambria" w:eastAsia="Cambria" w:hAnsi="Cambria" w:cs="Cambria"/>
          <w:sz w:val="20"/>
          <w:szCs w:val="20"/>
          <w:lang w:val="es-MX"/>
        </w:rPr>
        <w:t xml:space="preserve"> </w:t>
      </w:r>
      <w:r w:rsidR="00054579" w:rsidRPr="004E3E07">
        <w:rPr>
          <w:rFonts w:ascii="Cambria" w:eastAsia="Cambria" w:hAnsi="Cambria" w:cs="Cambria"/>
          <w:sz w:val="20"/>
          <w:szCs w:val="20"/>
          <w:lang w:val="es-MX"/>
        </w:rPr>
        <w:t>por</w:t>
      </w:r>
      <w:r w:rsidR="00E12B03" w:rsidRPr="004E3E07">
        <w:rPr>
          <w:rFonts w:ascii="Cambria" w:eastAsia="Cambria" w:hAnsi="Cambria" w:cs="Cambria"/>
          <w:sz w:val="20"/>
          <w:szCs w:val="20"/>
          <w:lang w:val="es-MX"/>
        </w:rPr>
        <w:t xml:space="preserve"> </w:t>
      </w:r>
      <w:r w:rsidR="00054579" w:rsidRPr="004E3E07">
        <w:rPr>
          <w:rFonts w:ascii="Cambria" w:eastAsia="Cambria" w:hAnsi="Cambria" w:cs="Cambria"/>
          <w:sz w:val="20"/>
          <w:szCs w:val="20"/>
          <w:lang w:val="es-MX"/>
        </w:rPr>
        <w:t>el</w:t>
      </w:r>
      <w:r w:rsidR="00E12B03" w:rsidRPr="004E3E07">
        <w:rPr>
          <w:rFonts w:ascii="Cambria" w:eastAsia="Cambria" w:hAnsi="Cambria" w:cs="Cambria"/>
          <w:sz w:val="20"/>
          <w:szCs w:val="20"/>
          <w:lang w:val="es-MX"/>
        </w:rPr>
        <w:t xml:space="preserve"> </w:t>
      </w:r>
      <w:r w:rsidR="00054579" w:rsidRPr="004E3E07">
        <w:rPr>
          <w:rFonts w:ascii="Cambria" w:eastAsia="Cambria" w:hAnsi="Cambria" w:cs="Cambria"/>
          <w:sz w:val="20"/>
          <w:szCs w:val="20"/>
          <w:lang w:val="es-MX"/>
        </w:rPr>
        <w:t>mercado</w:t>
      </w:r>
      <w:r w:rsidR="00E12B03" w:rsidRPr="004E3E07">
        <w:rPr>
          <w:rFonts w:ascii="Cambria" w:eastAsia="Cambria" w:hAnsi="Cambria" w:cs="Cambria"/>
          <w:sz w:val="20"/>
          <w:szCs w:val="20"/>
          <w:lang w:val="es-MX"/>
        </w:rPr>
        <w:t xml:space="preserve"> </w:t>
      </w:r>
      <w:r w:rsidR="00054579" w:rsidRPr="004E3E07">
        <w:rPr>
          <w:rFonts w:ascii="Cambria" w:eastAsia="Cambria" w:hAnsi="Cambria" w:cs="Cambria"/>
          <w:sz w:val="20"/>
          <w:szCs w:val="20"/>
          <w:lang w:val="es-MX"/>
        </w:rPr>
        <w:t>ilícito,</w:t>
      </w:r>
      <w:r w:rsidR="00E12B03" w:rsidRPr="004E3E07">
        <w:rPr>
          <w:rFonts w:ascii="Cambria" w:eastAsia="Cambria" w:hAnsi="Cambria" w:cs="Cambria"/>
          <w:sz w:val="20"/>
          <w:szCs w:val="20"/>
          <w:lang w:val="es-MX"/>
        </w:rPr>
        <w:t xml:space="preserve"> </w:t>
      </w:r>
      <w:r w:rsidR="00054579" w:rsidRPr="004E3E07">
        <w:rPr>
          <w:rFonts w:ascii="Cambria" w:eastAsia="Cambria" w:hAnsi="Cambria" w:cs="Cambria"/>
          <w:sz w:val="20"/>
          <w:szCs w:val="20"/>
          <w:lang w:val="es-MX"/>
        </w:rPr>
        <w:t>a</w:t>
      </w:r>
      <w:r w:rsidR="00E12B03" w:rsidRPr="004E3E07">
        <w:rPr>
          <w:rFonts w:ascii="Cambria" w:eastAsia="Cambria" w:hAnsi="Cambria" w:cs="Cambria"/>
          <w:sz w:val="20"/>
          <w:szCs w:val="20"/>
          <w:lang w:val="es-MX"/>
        </w:rPr>
        <w:t xml:space="preserve"> </w:t>
      </w:r>
      <w:r w:rsidR="00054579" w:rsidRPr="004E3E07">
        <w:rPr>
          <w:rFonts w:ascii="Cambria" w:eastAsia="Cambria" w:hAnsi="Cambria" w:cs="Cambria"/>
          <w:sz w:val="20"/>
          <w:szCs w:val="20"/>
          <w:lang w:val="es-MX"/>
        </w:rPr>
        <w:t>través de un enfoque calificado por el Estado como sistémico, integral y equilibrado entre</w:t>
      </w:r>
      <w:r w:rsidR="00C04E05" w:rsidRPr="004E3E07">
        <w:rPr>
          <w:rFonts w:ascii="Cambria" w:eastAsia="Cambria" w:hAnsi="Cambria" w:cs="Cambria"/>
          <w:sz w:val="20"/>
          <w:szCs w:val="20"/>
          <w:lang w:val="es-MX"/>
        </w:rPr>
        <w:t xml:space="preserve"> </w:t>
      </w:r>
      <w:r w:rsidR="00054579" w:rsidRPr="004E3E07">
        <w:rPr>
          <w:rFonts w:ascii="Cambria" w:eastAsia="Cambria" w:hAnsi="Cambria" w:cs="Cambria"/>
          <w:sz w:val="20"/>
          <w:szCs w:val="20"/>
          <w:lang w:val="es-MX"/>
        </w:rPr>
        <w:t>intervenciones</w:t>
      </w:r>
      <w:r w:rsidR="00C04E05" w:rsidRPr="004E3E07">
        <w:rPr>
          <w:rFonts w:ascii="Cambria" w:eastAsia="Cambria" w:hAnsi="Cambria" w:cs="Cambria"/>
          <w:sz w:val="20"/>
          <w:szCs w:val="20"/>
          <w:lang w:val="es-MX"/>
        </w:rPr>
        <w:t xml:space="preserve"> </w:t>
      </w:r>
      <w:r w:rsidR="00054579" w:rsidRPr="004E3E07">
        <w:rPr>
          <w:rFonts w:ascii="Cambria" w:eastAsia="Cambria" w:hAnsi="Cambria" w:cs="Cambria"/>
          <w:sz w:val="20"/>
          <w:szCs w:val="20"/>
          <w:lang w:val="es-MX"/>
        </w:rPr>
        <w:t>de</w:t>
      </w:r>
      <w:r w:rsidR="00C04E05" w:rsidRPr="004E3E07">
        <w:rPr>
          <w:rFonts w:ascii="Cambria" w:eastAsia="Cambria" w:hAnsi="Cambria" w:cs="Cambria"/>
          <w:sz w:val="20"/>
          <w:szCs w:val="20"/>
          <w:lang w:val="es-MX"/>
        </w:rPr>
        <w:t xml:space="preserve"> </w:t>
      </w:r>
      <w:r w:rsidR="00054579" w:rsidRPr="004E3E07">
        <w:rPr>
          <w:rFonts w:ascii="Cambria" w:eastAsia="Cambria" w:hAnsi="Cambria" w:cs="Cambria"/>
          <w:sz w:val="20"/>
          <w:szCs w:val="20"/>
          <w:lang w:val="es-MX"/>
        </w:rPr>
        <w:t>salud</w:t>
      </w:r>
      <w:r w:rsidR="295B671E" w:rsidRPr="4395A72F">
        <w:rPr>
          <w:rFonts w:ascii="Cambria" w:eastAsia="Cambria" w:hAnsi="Cambria" w:cs="Cambria"/>
          <w:sz w:val="20"/>
          <w:szCs w:val="20"/>
          <w:lang w:val="es-MX"/>
        </w:rPr>
        <w:t xml:space="preserve"> </w:t>
      </w:r>
      <w:r w:rsidR="00054579" w:rsidRPr="004E3E07">
        <w:rPr>
          <w:rFonts w:ascii="Cambria" w:eastAsia="Cambria" w:hAnsi="Cambria" w:cs="Cambria"/>
          <w:sz w:val="20"/>
          <w:szCs w:val="20"/>
          <w:lang w:val="es-MX"/>
        </w:rPr>
        <w:t>pública,</w:t>
      </w:r>
      <w:r w:rsidR="5EDBCB6D" w:rsidRPr="4395A72F">
        <w:rPr>
          <w:rFonts w:ascii="Cambria" w:eastAsia="Cambria" w:hAnsi="Cambria" w:cs="Cambria"/>
          <w:sz w:val="20"/>
          <w:szCs w:val="20"/>
          <w:lang w:val="es-MX"/>
        </w:rPr>
        <w:t xml:space="preserve"> </w:t>
      </w:r>
      <w:r w:rsidR="00054579" w:rsidRPr="004E3E07">
        <w:rPr>
          <w:rFonts w:ascii="Cambria" w:eastAsia="Cambria" w:hAnsi="Cambria" w:cs="Cambria"/>
          <w:sz w:val="20"/>
          <w:szCs w:val="20"/>
          <w:lang w:val="es-MX"/>
        </w:rPr>
        <w:t>política</w:t>
      </w:r>
      <w:r w:rsidR="00C04E05" w:rsidRPr="004E3E07">
        <w:rPr>
          <w:rFonts w:ascii="Cambria" w:eastAsia="Cambria" w:hAnsi="Cambria" w:cs="Cambria"/>
          <w:sz w:val="20"/>
          <w:szCs w:val="20"/>
          <w:lang w:val="es-MX"/>
        </w:rPr>
        <w:t xml:space="preserve"> </w:t>
      </w:r>
      <w:r w:rsidR="00054579" w:rsidRPr="004E3E07">
        <w:rPr>
          <w:rFonts w:ascii="Cambria" w:eastAsia="Cambria" w:hAnsi="Cambria" w:cs="Cambria"/>
          <w:sz w:val="20"/>
          <w:szCs w:val="20"/>
          <w:lang w:val="es-MX"/>
        </w:rPr>
        <w:t>social</w:t>
      </w:r>
      <w:r w:rsidR="00C04E05" w:rsidRPr="004E3E07">
        <w:rPr>
          <w:rFonts w:ascii="Cambria" w:eastAsia="Cambria" w:hAnsi="Cambria" w:cs="Cambria"/>
          <w:sz w:val="20"/>
          <w:szCs w:val="20"/>
          <w:lang w:val="es-MX"/>
        </w:rPr>
        <w:t xml:space="preserve"> </w:t>
      </w:r>
      <w:r w:rsidR="00054579" w:rsidRPr="004E3E07">
        <w:rPr>
          <w:rFonts w:ascii="Cambria" w:eastAsia="Cambria" w:hAnsi="Cambria" w:cs="Cambria"/>
          <w:sz w:val="20"/>
          <w:szCs w:val="20"/>
          <w:lang w:val="es-MX"/>
        </w:rPr>
        <w:t>e</w:t>
      </w:r>
      <w:r w:rsidR="00C04E05" w:rsidRPr="004E3E07">
        <w:rPr>
          <w:rFonts w:ascii="Cambria" w:eastAsia="Cambria" w:hAnsi="Cambria" w:cs="Cambria"/>
          <w:sz w:val="20"/>
          <w:szCs w:val="20"/>
          <w:lang w:val="es-MX"/>
        </w:rPr>
        <w:t xml:space="preserve"> </w:t>
      </w:r>
      <w:r w:rsidR="00054579" w:rsidRPr="004E3E07">
        <w:rPr>
          <w:rFonts w:ascii="Cambria" w:eastAsia="Cambria" w:hAnsi="Cambria" w:cs="Cambria"/>
          <w:sz w:val="20"/>
          <w:szCs w:val="20"/>
          <w:lang w:val="es-MX"/>
        </w:rPr>
        <w:t>impartición</w:t>
      </w:r>
      <w:r w:rsidR="00C04E05" w:rsidRPr="004E3E07">
        <w:rPr>
          <w:rFonts w:ascii="Cambria" w:eastAsia="Cambria" w:hAnsi="Cambria" w:cs="Cambria"/>
          <w:sz w:val="20"/>
          <w:szCs w:val="20"/>
          <w:lang w:val="es-MX"/>
        </w:rPr>
        <w:t xml:space="preserve"> </w:t>
      </w:r>
      <w:r w:rsidR="00054579" w:rsidRPr="004E3E07">
        <w:rPr>
          <w:rFonts w:ascii="Cambria" w:eastAsia="Cambria" w:hAnsi="Cambria" w:cs="Cambria"/>
          <w:sz w:val="20"/>
          <w:szCs w:val="20"/>
          <w:lang w:val="es-MX"/>
        </w:rPr>
        <w:t>de</w:t>
      </w:r>
      <w:r w:rsidR="00C04E05" w:rsidRPr="004E3E07">
        <w:rPr>
          <w:rFonts w:ascii="Cambria" w:eastAsia="Cambria" w:hAnsi="Cambria" w:cs="Cambria"/>
          <w:sz w:val="20"/>
          <w:szCs w:val="20"/>
          <w:lang w:val="es-MX"/>
        </w:rPr>
        <w:t xml:space="preserve"> </w:t>
      </w:r>
      <w:r w:rsidR="00054579" w:rsidRPr="004E3E07">
        <w:rPr>
          <w:rFonts w:ascii="Cambria" w:eastAsia="Cambria" w:hAnsi="Cambria" w:cs="Cambria"/>
          <w:sz w:val="20"/>
          <w:szCs w:val="20"/>
          <w:lang w:val="es-MX"/>
        </w:rPr>
        <w:t>justicia,</w:t>
      </w:r>
      <w:r w:rsidR="00C04E05" w:rsidRPr="004E3E07">
        <w:rPr>
          <w:rFonts w:ascii="Cambria" w:eastAsia="Cambria" w:hAnsi="Cambria" w:cs="Cambria"/>
          <w:sz w:val="20"/>
          <w:szCs w:val="20"/>
          <w:lang w:val="es-MX"/>
        </w:rPr>
        <w:t xml:space="preserve"> </w:t>
      </w:r>
      <w:r w:rsidR="00054579" w:rsidRPr="004E3E07">
        <w:rPr>
          <w:rFonts w:ascii="Cambria" w:eastAsia="Cambria" w:hAnsi="Cambria" w:cs="Cambria"/>
          <w:sz w:val="20"/>
          <w:szCs w:val="20"/>
          <w:lang w:val="es-MX"/>
        </w:rPr>
        <w:t>considerando</w:t>
      </w:r>
      <w:r w:rsidR="00C04E05" w:rsidRPr="004E3E07">
        <w:rPr>
          <w:rFonts w:ascii="Cambria" w:eastAsia="Cambria" w:hAnsi="Cambria" w:cs="Cambria"/>
          <w:sz w:val="20"/>
          <w:szCs w:val="20"/>
          <w:lang w:val="es-MX"/>
        </w:rPr>
        <w:t xml:space="preserve"> </w:t>
      </w:r>
      <w:r w:rsidR="0077624B">
        <w:rPr>
          <w:rFonts w:ascii="Cambria" w:eastAsia="Cambria" w:hAnsi="Cambria" w:cs="Cambria"/>
          <w:sz w:val="20"/>
          <w:szCs w:val="20"/>
          <w:lang w:val="es-MX"/>
        </w:rPr>
        <w:t>s</w:t>
      </w:r>
      <w:r w:rsidR="00054579" w:rsidRPr="004E3E07">
        <w:rPr>
          <w:rFonts w:ascii="Cambria" w:eastAsia="Cambria" w:hAnsi="Cambria" w:cs="Cambria"/>
          <w:sz w:val="20"/>
          <w:szCs w:val="20"/>
          <w:lang w:val="es-MX"/>
        </w:rPr>
        <w:t>u</w:t>
      </w:r>
      <w:r w:rsidR="00C04E05" w:rsidRPr="004E3E07">
        <w:rPr>
          <w:rFonts w:ascii="Cambria" w:eastAsia="Cambria" w:hAnsi="Cambria" w:cs="Cambria"/>
          <w:sz w:val="20"/>
          <w:szCs w:val="20"/>
          <w:lang w:val="es-MX"/>
        </w:rPr>
        <w:t xml:space="preserve"> </w:t>
      </w:r>
      <w:r w:rsidR="00054579" w:rsidRPr="004E3E07">
        <w:rPr>
          <w:rFonts w:ascii="Cambria" w:eastAsia="Cambria" w:hAnsi="Cambria" w:cs="Cambria"/>
          <w:sz w:val="20"/>
          <w:szCs w:val="20"/>
          <w:lang w:val="es-MX"/>
        </w:rPr>
        <w:t>gradual</w:t>
      </w:r>
      <w:r w:rsidR="00C04E05" w:rsidRPr="004E3E07">
        <w:rPr>
          <w:rFonts w:ascii="Cambria" w:eastAsia="Cambria" w:hAnsi="Cambria" w:cs="Cambria"/>
          <w:sz w:val="20"/>
          <w:szCs w:val="20"/>
          <w:lang w:val="es-MX"/>
        </w:rPr>
        <w:t xml:space="preserve"> </w:t>
      </w:r>
      <w:r w:rsidR="00054579" w:rsidRPr="004E3E07">
        <w:rPr>
          <w:rFonts w:ascii="Cambria" w:eastAsia="Cambria" w:hAnsi="Cambria" w:cs="Cambria"/>
          <w:sz w:val="20"/>
          <w:szCs w:val="20"/>
          <w:lang w:val="es-MX"/>
        </w:rPr>
        <w:t>proceso de regulación de determinadas drogas</w:t>
      </w:r>
      <w:r w:rsidR="00630BCF" w:rsidRPr="004E3E07">
        <w:rPr>
          <w:rFonts w:ascii="Cambria" w:hAnsi="Cambria"/>
          <w:sz w:val="20"/>
          <w:szCs w:val="20"/>
          <w:lang w:val="es-MX"/>
        </w:rPr>
        <w:t xml:space="preserve"> </w:t>
      </w:r>
      <w:r w:rsidR="00ED5565" w:rsidRPr="004E3E07">
        <w:rPr>
          <w:rFonts w:ascii="Cambria" w:hAnsi="Cambria"/>
          <w:sz w:val="20"/>
          <w:szCs w:val="20"/>
          <w:lang w:val="es-MX"/>
        </w:rPr>
        <w:t xml:space="preserve">sobre cuya implementación el Estado no presentó </w:t>
      </w:r>
      <w:r w:rsidR="00ED5565" w:rsidRPr="00C80CFD">
        <w:rPr>
          <w:rFonts w:ascii="Cambria" w:hAnsi="Cambria"/>
          <w:sz w:val="20"/>
          <w:szCs w:val="20"/>
          <w:lang w:val="es-MX"/>
        </w:rPr>
        <w:t>nuev</w:t>
      </w:r>
      <w:r w:rsidR="009A585F" w:rsidRPr="00C80CFD">
        <w:rPr>
          <w:rFonts w:ascii="Cambria" w:hAnsi="Cambria"/>
          <w:sz w:val="20"/>
          <w:szCs w:val="20"/>
          <w:lang w:val="es-MX"/>
        </w:rPr>
        <w:t>a</w:t>
      </w:r>
      <w:r w:rsidR="001B5257" w:rsidRPr="00C80CFD">
        <w:rPr>
          <w:rFonts w:ascii="Cambria" w:hAnsi="Cambria"/>
          <w:sz w:val="20"/>
          <w:szCs w:val="20"/>
          <w:lang w:val="es-MX"/>
        </w:rPr>
        <w:t xml:space="preserve"> información</w:t>
      </w:r>
      <w:r w:rsidR="009A585F" w:rsidRPr="00C80CFD">
        <w:rPr>
          <w:rFonts w:ascii="Cambria" w:hAnsi="Cambria"/>
          <w:sz w:val="20"/>
          <w:szCs w:val="20"/>
          <w:lang w:val="es-MX"/>
        </w:rPr>
        <w:t xml:space="preserve">. </w:t>
      </w:r>
      <w:r w:rsidR="007B69C1" w:rsidRPr="00C80CFD">
        <w:rPr>
          <w:rFonts w:ascii="Cambria" w:hAnsi="Cambria"/>
          <w:sz w:val="20"/>
          <w:szCs w:val="20"/>
          <w:lang w:val="es-MX"/>
        </w:rPr>
        <w:t>En sus observaciones al proyecto del presente informe, el Estado refirió a la Estrategia Nacional para la Prevención de Adicciones (ENPA) “Juntos por la paz” de 2019 como un compromiso colectivo de toda la sociedad, los tres Poderes de la Unión, los tres órdenes de gobierno, los sectores social y privado para cambiar el paradigma tradicional en materia de prevención de consumo de sustancias psicoactivas, hacia una perspectiva que no criminalice a los usuarios, que trate a las personas afectadas por las adicciones como una población digna de derechos de protección, apoyo, inclusión y vinculación, para incorporarse a una vida saludable y productiva en todos los sentidos</w:t>
      </w:r>
      <w:r w:rsidR="007B69C1" w:rsidRPr="00C80CFD">
        <w:rPr>
          <w:rStyle w:val="FootnoteReference"/>
          <w:rFonts w:ascii="Cambria" w:hAnsi="Cambria"/>
          <w:sz w:val="20"/>
          <w:szCs w:val="20"/>
          <w:lang w:val="es-MX"/>
        </w:rPr>
        <w:footnoteReference w:id="59"/>
      </w:r>
      <w:r w:rsidR="007B69C1" w:rsidRPr="00C80CFD">
        <w:rPr>
          <w:rFonts w:ascii="Cambria" w:hAnsi="Cambria"/>
          <w:sz w:val="20"/>
          <w:szCs w:val="20"/>
          <w:lang w:val="es-MX"/>
        </w:rPr>
        <w:t xml:space="preserve">. </w:t>
      </w:r>
      <w:r w:rsidR="009A585F" w:rsidRPr="00C80CFD">
        <w:rPr>
          <w:rFonts w:ascii="Cambria" w:hAnsi="Cambria"/>
          <w:sz w:val="20"/>
          <w:szCs w:val="20"/>
          <w:lang w:val="es-MX"/>
        </w:rPr>
        <w:t xml:space="preserve">En estos términos, </w:t>
      </w:r>
      <w:r w:rsidR="001427E2" w:rsidRPr="00C80CFD">
        <w:rPr>
          <w:rFonts w:ascii="Cambria" w:hAnsi="Cambria"/>
          <w:sz w:val="20"/>
          <w:szCs w:val="20"/>
          <w:lang w:val="es-MX"/>
        </w:rPr>
        <w:t>en función</w:t>
      </w:r>
      <w:r w:rsidR="00323B90" w:rsidRPr="00C80CFD">
        <w:rPr>
          <w:rFonts w:ascii="Cambria" w:hAnsi="Cambria"/>
          <w:sz w:val="20"/>
          <w:szCs w:val="20"/>
          <w:lang w:val="es-MX"/>
        </w:rPr>
        <w:t xml:space="preserve"> de</w:t>
      </w:r>
      <w:r w:rsidRPr="00C80CFD">
        <w:rPr>
          <w:rFonts w:ascii="Cambria" w:hAnsi="Cambria"/>
          <w:sz w:val="20"/>
          <w:szCs w:val="20"/>
          <w:lang w:val="es-MX"/>
        </w:rPr>
        <w:t xml:space="preserve"> la </w:t>
      </w:r>
      <w:r w:rsidR="001427E2" w:rsidRPr="00C80CFD">
        <w:rPr>
          <w:rFonts w:ascii="Cambria" w:hAnsi="Cambria"/>
          <w:sz w:val="20"/>
          <w:szCs w:val="20"/>
          <w:lang w:val="es-MX"/>
        </w:rPr>
        <w:t>recomendación formulada, no resulta clar</w:t>
      </w:r>
      <w:r w:rsidR="000D69A0">
        <w:rPr>
          <w:rFonts w:ascii="Cambria" w:hAnsi="Cambria"/>
          <w:sz w:val="20"/>
          <w:szCs w:val="20"/>
          <w:lang w:val="es-MX"/>
        </w:rPr>
        <w:t>o</w:t>
      </w:r>
      <w:r w:rsidR="001427E2" w:rsidRPr="00C80CFD">
        <w:rPr>
          <w:rFonts w:ascii="Cambria" w:hAnsi="Cambria"/>
          <w:sz w:val="20"/>
          <w:szCs w:val="20"/>
          <w:lang w:val="es-MX"/>
        </w:rPr>
        <w:t xml:space="preserve"> </w:t>
      </w:r>
      <w:r w:rsidRPr="00C80CFD">
        <w:rPr>
          <w:rFonts w:ascii="Cambria" w:hAnsi="Cambria"/>
          <w:sz w:val="20"/>
          <w:szCs w:val="20"/>
          <w:lang w:val="es-MX"/>
        </w:rPr>
        <w:t>el nivel de implementación de estas políticas</w:t>
      </w:r>
      <w:r w:rsidR="007B69C1" w:rsidRPr="00C80CFD">
        <w:rPr>
          <w:rFonts w:ascii="Cambria" w:hAnsi="Cambria"/>
          <w:sz w:val="20"/>
          <w:szCs w:val="20"/>
          <w:lang w:val="es-MX"/>
        </w:rPr>
        <w:t>.</w:t>
      </w:r>
      <w:r w:rsidRPr="00C80CFD">
        <w:rPr>
          <w:rFonts w:ascii="Cambria" w:hAnsi="Cambria"/>
          <w:sz w:val="20"/>
          <w:szCs w:val="20"/>
          <w:lang w:val="es-MX"/>
        </w:rPr>
        <w:t xml:space="preserve"> En virtud de lo anterior, la CIDH en cuenta que la recomendación se</w:t>
      </w:r>
      <w:r w:rsidRPr="007B69C1">
        <w:rPr>
          <w:rFonts w:ascii="Cambria" w:hAnsi="Cambria"/>
          <w:sz w:val="20"/>
          <w:szCs w:val="20"/>
          <w:lang w:val="es-MX"/>
        </w:rPr>
        <w:t xml:space="preserve"> encuentra en cumplimiento parcial. </w:t>
      </w:r>
    </w:p>
    <w:p w14:paraId="14606964" w14:textId="77777777" w:rsidR="002277F5" w:rsidRPr="004E3E07" w:rsidRDefault="007E25FF">
      <w:pPr>
        <w:pStyle w:val="Heading2"/>
        <w:ind w:hanging="810"/>
        <w:rPr>
          <w:sz w:val="20"/>
          <w:lang w:val="es-MX"/>
        </w:rPr>
      </w:pPr>
      <w:r w:rsidRPr="004E3E07">
        <w:rPr>
          <w:sz w:val="20"/>
          <w:lang w:val="es-MX"/>
        </w:rPr>
        <w:t>Desapariciones y desapariciones forzadas</w:t>
      </w:r>
    </w:p>
    <w:p w14:paraId="14606965" w14:textId="77777777" w:rsidR="002277F5" w:rsidRPr="004E3E07" w:rsidRDefault="007E25FF">
      <w:pPr>
        <w:numPr>
          <w:ilvl w:val="0"/>
          <w:numId w:val="13"/>
        </w:numPr>
        <w:pBdr>
          <w:top w:val="nil"/>
          <w:left w:val="nil"/>
          <w:bottom w:val="nil"/>
          <w:right w:val="nil"/>
          <w:between w:val="nil"/>
        </w:pBdr>
        <w:shd w:val="clear" w:color="auto" w:fill="D9D9D9"/>
        <w:spacing w:after="0" w:line="240" w:lineRule="auto"/>
        <w:ind w:hanging="720"/>
        <w:jc w:val="both"/>
        <w:rPr>
          <w:rFonts w:ascii="Cambria" w:hAnsi="Cambria"/>
          <w:lang w:val="es-MX"/>
        </w:rPr>
      </w:pPr>
      <w:r w:rsidRPr="004E3E07">
        <w:rPr>
          <w:rFonts w:ascii="Cambria" w:eastAsia="Cambria" w:hAnsi="Cambria" w:cs="Cambria"/>
          <w:sz w:val="20"/>
          <w:szCs w:val="20"/>
          <w:lang w:val="es-MX"/>
        </w:rPr>
        <w:t>Adoptar una Ley General sobre Desaparición y Desaparición Forzada, y adoptar todas las medidas necesarias para asegurar que, tanto a nivel federal como estatal, la legislación y las prácticas se ajusten a los estándares internacionales en la materia.</w:t>
      </w:r>
    </w:p>
    <w:p w14:paraId="14606966" w14:textId="77777777" w:rsidR="002277F5" w:rsidRPr="004E3E07" w:rsidRDefault="007E25FF">
      <w:pPr>
        <w:numPr>
          <w:ilvl w:val="0"/>
          <w:numId w:val="13"/>
        </w:numPr>
        <w:pBdr>
          <w:top w:val="nil"/>
          <w:left w:val="nil"/>
          <w:bottom w:val="nil"/>
          <w:right w:val="nil"/>
          <w:between w:val="nil"/>
        </w:pBdr>
        <w:shd w:val="clear" w:color="auto" w:fill="D9D9D9"/>
        <w:spacing w:after="0" w:line="240" w:lineRule="auto"/>
        <w:ind w:hanging="720"/>
        <w:jc w:val="both"/>
        <w:rPr>
          <w:rFonts w:ascii="Cambria" w:hAnsi="Cambria"/>
          <w:lang w:val="es-MX"/>
        </w:rPr>
      </w:pPr>
      <w:r w:rsidRPr="004E3E07">
        <w:rPr>
          <w:rFonts w:ascii="Cambria" w:eastAsia="Cambria" w:hAnsi="Cambria" w:cs="Cambria"/>
          <w:sz w:val="20"/>
          <w:szCs w:val="20"/>
          <w:lang w:val="es-MX"/>
        </w:rPr>
        <w:t xml:space="preserve">Establecer mecanismos de búsqueda inmediata de personas desaparecidas en todo el territorio nacional. </w:t>
      </w:r>
    </w:p>
    <w:p w14:paraId="14606967" w14:textId="77777777" w:rsidR="002277F5" w:rsidRPr="004E3E07" w:rsidRDefault="007E25FF">
      <w:pPr>
        <w:numPr>
          <w:ilvl w:val="0"/>
          <w:numId w:val="13"/>
        </w:numPr>
        <w:pBdr>
          <w:top w:val="nil"/>
          <w:left w:val="nil"/>
          <w:bottom w:val="nil"/>
          <w:right w:val="nil"/>
          <w:between w:val="nil"/>
        </w:pBdr>
        <w:shd w:val="clear" w:color="auto" w:fill="D9D9D9"/>
        <w:spacing w:after="0" w:line="240" w:lineRule="auto"/>
        <w:ind w:hanging="720"/>
        <w:jc w:val="both"/>
        <w:rPr>
          <w:rFonts w:ascii="Cambria" w:hAnsi="Cambria"/>
          <w:lang w:val="es-MX"/>
        </w:rPr>
      </w:pPr>
      <w:r w:rsidRPr="004E3E07">
        <w:rPr>
          <w:rFonts w:ascii="Cambria" w:eastAsia="Cambria" w:hAnsi="Cambria" w:cs="Cambria"/>
          <w:sz w:val="20"/>
          <w:szCs w:val="20"/>
          <w:lang w:val="es-MX"/>
        </w:rPr>
        <w:t>Mejorar el Registro Nacional de Personas Desaparecidas como un registro único de desapariciones y que además permita registrar a una persona como víctima de desaparición forzada. Una base de datos debe contar con información personal de las personas desaparecidas, la información personal que sea necesaria, principalmente genética y muestras celulares, de los familiares de las personas desaparecidas con su consentimiento, y la información genética y muestras celulares provenientes de los cuerpos de cualquier persona no identificada que fuera privada de la vida. Dicha información personal deberá ser protegida en el portal del Registro de acuerdo a estándares internacionales sobre acceso a la información.</w:t>
      </w:r>
    </w:p>
    <w:p w14:paraId="14606968" w14:textId="77777777" w:rsidR="002277F5" w:rsidRPr="004E3E07" w:rsidRDefault="007E25FF">
      <w:pPr>
        <w:numPr>
          <w:ilvl w:val="0"/>
          <w:numId w:val="13"/>
        </w:numPr>
        <w:pBdr>
          <w:top w:val="nil"/>
          <w:left w:val="nil"/>
          <w:bottom w:val="nil"/>
          <w:right w:val="nil"/>
          <w:between w:val="nil"/>
        </w:pBdr>
        <w:shd w:val="clear" w:color="auto" w:fill="D9D9D9"/>
        <w:spacing w:after="0" w:line="240" w:lineRule="auto"/>
        <w:ind w:hanging="720"/>
        <w:jc w:val="both"/>
        <w:rPr>
          <w:rFonts w:ascii="Cambria" w:hAnsi="Cambria"/>
          <w:lang w:val="es-MX"/>
        </w:rPr>
      </w:pPr>
      <w:r w:rsidRPr="004E3E07">
        <w:rPr>
          <w:rFonts w:ascii="Cambria" w:eastAsia="Cambria" w:hAnsi="Cambria" w:cs="Cambria"/>
          <w:sz w:val="20"/>
          <w:szCs w:val="20"/>
          <w:lang w:val="es-MX"/>
        </w:rPr>
        <w:t>Fortalecer los mecanismos existentes en materia de alerta temprana y búsqueda urgente en casos de desaparición de mujeres y niñas para asegurar su aplicación efectiva a nivel federal, estatal y municipal. Asimismo, fortalecer el Registro Nacional de Datos de Personas Extraviadas o Desaparecidas para que éste proporcione información precisa y confiable sobre las mujeres y niñas desaparecidas y desaparecidas forzadamente.</w:t>
      </w:r>
    </w:p>
    <w:p w14:paraId="14606969" w14:textId="77777777" w:rsidR="002277F5" w:rsidRPr="004E3E07" w:rsidRDefault="007E25FF">
      <w:pPr>
        <w:numPr>
          <w:ilvl w:val="0"/>
          <w:numId w:val="13"/>
        </w:numPr>
        <w:pBdr>
          <w:top w:val="nil"/>
          <w:left w:val="nil"/>
          <w:bottom w:val="nil"/>
          <w:right w:val="nil"/>
          <w:between w:val="nil"/>
        </w:pBdr>
        <w:shd w:val="clear" w:color="auto" w:fill="D9D9D9"/>
        <w:spacing w:after="0" w:line="240" w:lineRule="auto"/>
        <w:ind w:hanging="720"/>
        <w:jc w:val="both"/>
        <w:rPr>
          <w:rFonts w:ascii="Cambria" w:hAnsi="Cambria"/>
          <w:lang w:val="es-MX"/>
        </w:rPr>
      </w:pPr>
      <w:r w:rsidRPr="004E3E07">
        <w:rPr>
          <w:rFonts w:ascii="Cambria" w:eastAsia="Cambria" w:hAnsi="Cambria" w:cs="Cambria"/>
          <w:sz w:val="20"/>
          <w:szCs w:val="20"/>
          <w:lang w:val="es-MX"/>
        </w:rPr>
        <w:t>Atender las recomendaciones del GIEI conforme las atribuciones conferidas en su mandato, específicamente su solicitud reiterada de entrevistarse con los integrantes del Ejército, así como para visitar el Batallón 27 y continuar con las investigaciones en el caso. Considerar la utilización de mecanismos similares para otros casos de graves violaciones a los derechos humanos.</w:t>
      </w:r>
    </w:p>
    <w:p w14:paraId="1460696A" w14:textId="77777777" w:rsidR="002277F5" w:rsidRPr="004E3E07" w:rsidRDefault="002277F5" w:rsidP="00064A28">
      <w:pPr>
        <w:shd w:val="clear" w:color="auto" w:fill="FFFFFF"/>
        <w:spacing w:after="0" w:line="240" w:lineRule="auto"/>
        <w:jc w:val="both"/>
        <w:rPr>
          <w:rFonts w:ascii="Cambria" w:eastAsia="Cambria" w:hAnsi="Cambria" w:cs="Cambria"/>
          <w:sz w:val="20"/>
          <w:szCs w:val="20"/>
          <w:lang w:val="es-MX"/>
        </w:rPr>
      </w:pPr>
    </w:p>
    <w:p w14:paraId="25D0A60B" w14:textId="7E4AA5E7" w:rsidR="00A21F72" w:rsidRPr="004E3E07" w:rsidRDefault="00A21F72" w:rsidP="00A21F72">
      <w:pPr>
        <w:numPr>
          <w:ilvl w:val="0"/>
          <w:numId w:val="5"/>
        </w:numPr>
        <w:shd w:val="clear" w:color="auto" w:fill="FFFFFF" w:themeFill="background1"/>
        <w:spacing w:after="240" w:line="240" w:lineRule="auto"/>
        <w:ind w:left="0" w:firstLine="720"/>
        <w:jc w:val="both"/>
        <w:rPr>
          <w:rFonts w:ascii="Cambria" w:eastAsia="Cambria" w:hAnsi="Cambria" w:cs="Cambria"/>
          <w:sz w:val="20"/>
          <w:szCs w:val="20"/>
          <w:lang w:val="es-MX"/>
        </w:rPr>
      </w:pPr>
      <w:bookmarkStart w:id="0" w:name="_heading=h.30j0zll" w:colFirst="0" w:colLast="0"/>
      <w:bookmarkEnd w:id="0"/>
      <w:r w:rsidRPr="004E3E07">
        <w:rPr>
          <w:rFonts w:ascii="Cambria" w:eastAsia="Cambria" w:hAnsi="Cambria" w:cs="Cambria"/>
          <w:sz w:val="20"/>
          <w:szCs w:val="20"/>
          <w:lang w:val="es-MX"/>
        </w:rPr>
        <w:t xml:space="preserve">En cuanto a la recomendación relativa a </w:t>
      </w:r>
      <w:r w:rsidRPr="004E3E07">
        <w:rPr>
          <w:rFonts w:ascii="Cambria" w:eastAsia="Cambria" w:hAnsi="Cambria" w:cs="Cambria"/>
          <w:b/>
          <w:bCs/>
          <w:sz w:val="20"/>
          <w:szCs w:val="20"/>
          <w:lang w:val="es-MX"/>
        </w:rPr>
        <w:t>adoptar una Ley General sobre Desaparición y Desaparición Forzada, y adoptar todas las medidas necesarias para asegurar que, tanto a nivel federal como estatal, la legislación y las prácticas se ajusten a los estándares internacionales en la materia</w:t>
      </w:r>
      <w:r w:rsidRPr="004E3E07">
        <w:rPr>
          <w:rFonts w:ascii="Cambria" w:eastAsia="Cambria" w:hAnsi="Cambria" w:cs="Cambria"/>
          <w:sz w:val="20"/>
          <w:szCs w:val="20"/>
          <w:lang w:val="es-MX"/>
        </w:rPr>
        <w:t>, como ya ha sido informado por la Comisión, el Estado mexicano adoptó la Ley General en materia de Desaparición Forzada, Desaparición cometida por Particulares y del Sistema Nacional de Búsqueda de Personas (en adelante la “Ley General”) el 17 de noviembre de 2017, la cual entró en vigor el 16 de enero de 2018</w:t>
      </w:r>
      <w:r w:rsidRPr="004E3E07">
        <w:rPr>
          <w:rFonts w:ascii="Cambria" w:eastAsia="Cambria" w:hAnsi="Cambria" w:cs="Cambria"/>
          <w:sz w:val="20"/>
          <w:szCs w:val="20"/>
          <w:vertAlign w:val="superscript"/>
          <w:lang w:val="es-MX"/>
        </w:rPr>
        <w:footnoteReference w:id="60"/>
      </w:r>
      <w:r w:rsidRPr="004E3E07">
        <w:rPr>
          <w:rFonts w:ascii="Cambria" w:eastAsia="Cambria" w:hAnsi="Cambria" w:cs="Cambria"/>
          <w:sz w:val="20"/>
          <w:szCs w:val="20"/>
          <w:lang w:val="es-MX"/>
        </w:rPr>
        <w:t>. Además, el Estado recordó que en diciembre de 2018 reconoció a nivel nacional e internacional la existencia de una crisis humanitaria de desaparición de personas y una crisis en materia forense en México</w:t>
      </w:r>
      <w:r w:rsidRPr="004E3E07">
        <w:rPr>
          <w:rStyle w:val="FootnoteReference"/>
          <w:rFonts w:ascii="Cambria" w:eastAsia="Cambria" w:hAnsi="Cambria" w:cs="Cambria"/>
          <w:sz w:val="20"/>
          <w:szCs w:val="20"/>
          <w:lang w:val="es-MX"/>
        </w:rPr>
        <w:footnoteReference w:id="61"/>
      </w:r>
      <w:r w:rsidRPr="004E3E07">
        <w:rPr>
          <w:rFonts w:ascii="Cambria" w:eastAsia="Cambria" w:hAnsi="Cambria" w:cs="Cambria"/>
          <w:sz w:val="20"/>
          <w:szCs w:val="20"/>
          <w:lang w:val="es-MX"/>
        </w:rPr>
        <w:t>. En vista de lo anterior, el Estado cumplió la primera parte de la recomendación.</w:t>
      </w:r>
      <w:r w:rsidR="0094035E">
        <w:rPr>
          <w:rFonts w:ascii="Cambria" w:eastAsia="Cambria" w:hAnsi="Cambria" w:cs="Cambria"/>
          <w:sz w:val="20"/>
          <w:szCs w:val="20"/>
          <w:lang w:val="es-MX"/>
        </w:rPr>
        <w:t xml:space="preserve"> La CNDH informó a la CIDH que el Reglamento de esta Ley no ha sido aún adoptado</w:t>
      </w:r>
      <w:r w:rsidR="0094035E">
        <w:rPr>
          <w:rStyle w:val="FootnoteReference"/>
          <w:rFonts w:ascii="Cambria" w:eastAsia="Cambria" w:hAnsi="Cambria" w:cs="Cambria"/>
          <w:sz w:val="20"/>
          <w:szCs w:val="20"/>
          <w:lang w:val="es-MX"/>
        </w:rPr>
        <w:footnoteReference w:id="62"/>
      </w:r>
      <w:r w:rsidR="0094035E">
        <w:rPr>
          <w:rFonts w:ascii="Cambria" w:eastAsia="Cambria" w:hAnsi="Cambria" w:cs="Cambria"/>
          <w:sz w:val="20"/>
          <w:szCs w:val="20"/>
          <w:lang w:val="es-MX"/>
        </w:rPr>
        <w:t>.</w:t>
      </w:r>
    </w:p>
    <w:p w14:paraId="507EC48B" w14:textId="69BDF6EC" w:rsidR="00A21F72" w:rsidRPr="004E3E07" w:rsidRDefault="00A21F72" w:rsidP="00A21F72">
      <w:pPr>
        <w:numPr>
          <w:ilvl w:val="0"/>
          <w:numId w:val="5"/>
        </w:numPr>
        <w:shd w:val="clear" w:color="auto" w:fill="FFFFFF" w:themeFill="background1"/>
        <w:spacing w:after="240" w:line="240" w:lineRule="auto"/>
        <w:ind w:left="0" w:firstLine="720"/>
        <w:jc w:val="both"/>
        <w:rPr>
          <w:rFonts w:ascii="Cambria" w:eastAsia="Cambria" w:hAnsi="Cambria" w:cs="Cambria"/>
          <w:sz w:val="20"/>
          <w:szCs w:val="20"/>
          <w:lang w:val="es-MX"/>
        </w:rPr>
      </w:pPr>
      <w:r w:rsidRPr="004E3E07">
        <w:rPr>
          <w:rFonts w:ascii="Cambria" w:eastAsia="Cambria" w:hAnsi="Cambria" w:cs="Cambria"/>
          <w:sz w:val="20"/>
          <w:szCs w:val="20"/>
          <w:lang w:val="es-MX"/>
        </w:rPr>
        <w:t>Por lo que refiere a las demás medidas para asegurar que las prácticas se ajusten a los estándares internacionales en la materia, el Estado reiteró información sobre la publicación del Protocolo Homologado de Búsqueda de Personas Desaparecidas y No Localizadas (PHB) en octubre de 2020, e indicó que su construcción se desarrolló en el marco de un amplio proceso participativo</w:t>
      </w:r>
      <w:r w:rsidRPr="004E3E07">
        <w:rPr>
          <w:rStyle w:val="FootnoteReference"/>
          <w:rFonts w:ascii="Cambria" w:eastAsia="Cambria" w:hAnsi="Cambria" w:cs="Cambria"/>
          <w:sz w:val="20"/>
          <w:szCs w:val="20"/>
          <w:lang w:val="es-MX"/>
        </w:rPr>
        <w:footnoteReference w:id="63"/>
      </w:r>
      <w:r w:rsidRPr="004E3E07">
        <w:rPr>
          <w:rFonts w:ascii="Cambria" w:eastAsia="Cambria" w:hAnsi="Cambria" w:cs="Cambria"/>
          <w:sz w:val="20"/>
          <w:szCs w:val="20"/>
          <w:lang w:val="es-MX"/>
        </w:rPr>
        <w:t xml:space="preserve">. </w:t>
      </w:r>
      <w:r w:rsidR="00D7287B">
        <w:rPr>
          <w:rFonts w:ascii="Cambria" w:eastAsia="Cambria" w:hAnsi="Cambria" w:cs="Cambria"/>
          <w:sz w:val="20"/>
          <w:szCs w:val="20"/>
          <w:lang w:val="es-MX"/>
        </w:rPr>
        <w:t>E</w:t>
      </w:r>
      <w:r w:rsidRPr="004E3E07">
        <w:rPr>
          <w:rFonts w:ascii="Cambria" w:eastAsia="Cambria" w:hAnsi="Cambria" w:cs="Cambria"/>
          <w:sz w:val="20"/>
          <w:szCs w:val="20"/>
          <w:lang w:val="es-MX"/>
        </w:rPr>
        <w:t>l Estado agregó que el Protocolo Adicional de Búsqueda de Niñas, Niños y Adolescentes Desaparecidos (PABNNA) fue aprobado por el Sistema Nacional de Búsqueda (SNB) en abril de 2021, y publicado en el Diario Oficial de la Federación el 15 de julio de 2021</w:t>
      </w:r>
      <w:r w:rsidRPr="004E3E07">
        <w:rPr>
          <w:rStyle w:val="FootnoteReference"/>
          <w:rFonts w:ascii="Cambria" w:eastAsia="Cambria" w:hAnsi="Cambria" w:cs="Cambria"/>
          <w:sz w:val="20"/>
          <w:szCs w:val="20"/>
          <w:lang w:val="es-MX"/>
        </w:rPr>
        <w:footnoteReference w:id="64"/>
      </w:r>
      <w:r w:rsidRPr="004E3E07">
        <w:rPr>
          <w:rFonts w:ascii="Cambria" w:eastAsia="Cambria" w:hAnsi="Cambria" w:cs="Cambria"/>
          <w:sz w:val="20"/>
          <w:szCs w:val="20"/>
          <w:lang w:val="es-MX"/>
        </w:rPr>
        <w:t>. La CIDH observa que esta herramienta establece metodologías diferenciadas y homologadas normativamente a nivel nacional a fin de hacer más eficiente la búsqueda de niñas, niños y adolescentes desaparecidos en México</w:t>
      </w:r>
      <w:r w:rsidRPr="004E3E07">
        <w:rPr>
          <w:rStyle w:val="FootnoteReference"/>
          <w:rFonts w:ascii="Cambria" w:eastAsia="Cambria" w:hAnsi="Cambria" w:cs="Cambria"/>
          <w:sz w:val="20"/>
          <w:szCs w:val="20"/>
          <w:lang w:val="es-MX"/>
        </w:rPr>
        <w:footnoteReference w:id="65"/>
      </w:r>
      <w:r w:rsidRPr="004E3E07">
        <w:rPr>
          <w:rFonts w:ascii="Cambria" w:eastAsia="Cambria" w:hAnsi="Cambria" w:cs="Cambria"/>
          <w:sz w:val="20"/>
          <w:szCs w:val="20"/>
          <w:lang w:val="es-MX"/>
        </w:rPr>
        <w:t xml:space="preserve">. En particular, destaca que el diseño y elaboración del PABNNA buscó garantizar el derecho de familiares y organizaciones de sociedad civil a participar en la construcción de políticas públicas en materia de búsqueda, además de que contó con observaciones de personas expertas y organizaciones internacionales. Sin perjuicio de lo anterior, la Comisión observa que la aprobación del PABNNA no contó con la anuencia de la </w:t>
      </w:r>
      <w:r w:rsidR="00D7287B">
        <w:rPr>
          <w:rFonts w:ascii="Cambria" w:eastAsia="Cambria" w:hAnsi="Cambria" w:cs="Cambria"/>
          <w:sz w:val="20"/>
          <w:szCs w:val="20"/>
          <w:lang w:val="es-MX"/>
        </w:rPr>
        <w:t>FGR ni</w:t>
      </w:r>
      <w:r w:rsidRPr="004E3E07">
        <w:rPr>
          <w:rFonts w:ascii="Cambria" w:eastAsia="Cambria" w:hAnsi="Cambria" w:cs="Cambria"/>
          <w:sz w:val="20"/>
          <w:szCs w:val="20"/>
          <w:lang w:val="es-MX"/>
        </w:rPr>
        <w:t xml:space="preserve"> la Conferencia Nacional de Procuración de Justicia (CNPJ), autoridades fundamentales para la búsqueda y localización de niñas, niños y adolescentes</w:t>
      </w:r>
      <w:r w:rsidRPr="004E3E07">
        <w:rPr>
          <w:rStyle w:val="FootnoteReference"/>
          <w:rFonts w:ascii="Cambria" w:eastAsia="Cambria" w:hAnsi="Cambria" w:cs="Cambria"/>
          <w:sz w:val="20"/>
          <w:szCs w:val="20"/>
          <w:lang w:val="es-MX"/>
        </w:rPr>
        <w:footnoteReference w:id="66"/>
      </w:r>
      <w:r w:rsidRPr="004E3E07">
        <w:rPr>
          <w:rFonts w:ascii="Cambria" w:eastAsia="Cambria" w:hAnsi="Cambria" w:cs="Cambria"/>
          <w:sz w:val="20"/>
          <w:szCs w:val="20"/>
          <w:lang w:val="es-MX"/>
        </w:rPr>
        <w:t>.</w:t>
      </w:r>
    </w:p>
    <w:p w14:paraId="1E6CA549" w14:textId="652891BE" w:rsidR="00D84241" w:rsidRPr="004E3E07" w:rsidRDefault="00A111F3" w:rsidP="5258151B">
      <w:pPr>
        <w:numPr>
          <w:ilvl w:val="0"/>
          <w:numId w:val="5"/>
        </w:numPr>
        <w:shd w:val="clear" w:color="auto" w:fill="FFFFFF" w:themeFill="background1"/>
        <w:spacing w:after="240" w:line="240" w:lineRule="auto"/>
        <w:ind w:left="0" w:firstLine="720"/>
        <w:jc w:val="both"/>
        <w:rPr>
          <w:rFonts w:ascii="Cambria" w:eastAsia="Cambria" w:hAnsi="Cambria" w:cs="Cambria"/>
          <w:sz w:val="20"/>
          <w:szCs w:val="20"/>
          <w:lang w:val="es-MX"/>
        </w:rPr>
      </w:pPr>
      <w:r w:rsidRPr="004E3E07">
        <w:rPr>
          <w:rFonts w:ascii="Cambria" w:eastAsia="Cambria" w:hAnsi="Cambria" w:cs="Cambria"/>
          <w:sz w:val="20"/>
          <w:szCs w:val="20"/>
          <w:lang w:val="es-MX"/>
        </w:rPr>
        <w:t>En la misma línea</w:t>
      </w:r>
      <w:r w:rsidR="007E467E" w:rsidRPr="004E3E07">
        <w:rPr>
          <w:rFonts w:ascii="Cambria" w:eastAsia="Cambria" w:hAnsi="Cambria" w:cs="Cambria"/>
          <w:sz w:val="20"/>
          <w:szCs w:val="20"/>
          <w:lang w:val="es-MX"/>
        </w:rPr>
        <w:t>,</w:t>
      </w:r>
      <w:r w:rsidR="009645F5" w:rsidRPr="004E3E07">
        <w:rPr>
          <w:rFonts w:ascii="Cambria" w:eastAsia="Cambria" w:hAnsi="Cambria" w:cs="Cambria"/>
          <w:sz w:val="20"/>
          <w:szCs w:val="20"/>
          <w:lang w:val="es-MX"/>
        </w:rPr>
        <w:t xml:space="preserve"> la C</w:t>
      </w:r>
      <w:r w:rsidR="006668A9" w:rsidRPr="004E3E07">
        <w:rPr>
          <w:rFonts w:ascii="Cambria" w:eastAsia="Cambria" w:hAnsi="Cambria" w:cs="Cambria"/>
          <w:sz w:val="20"/>
          <w:szCs w:val="20"/>
          <w:lang w:val="es-MX"/>
        </w:rPr>
        <w:t>IDH</w:t>
      </w:r>
      <w:r w:rsidR="009645F5" w:rsidRPr="004E3E07">
        <w:rPr>
          <w:rFonts w:ascii="Cambria" w:eastAsia="Cambria" w:hAnsi="Cambria" w:cs="Cambria"/>
          <w:sz w:val="20"/>
          <w:szCs w:val="20"/>
          <w:lang w:val="es-MX"/>
        </w:rPr>
        <w:t xml:space="preserve"> </w:t>
      </w:r>
      <w:r w:rsidRPr="004E3E07">
        <w:rPr>
          <w:rFonts w:ascii="Cambria" w:eastAsia="Cambria" w:hAnsi="Cambria" w:cs="Cambria"/>
          <w:sz w:val="20"/>
          <w:szCs w:val="20"/>
          <w:lang w:val="es-MX"/>
        </w:rPr>
        <w:t>valora positivamente</w:t>
      </w:r>
      <w:r w:rsidR="000166EE" w:rsidRPr="004E3E07">
        <w:rPr>
          <w:rFonts w:ascii="Cambria" w:eastAsia="Cambria" w:hAnsi="Cambria" w:cs="Cambria"/>
          <w:sz w:val="20"/>
          <w:szCs w:val="20"/>
          <w:lang w:val="es-MX"/>
        </w:rPr>
        <w:t xml:space="preserve"> </w:t>
      </w:r>
      <w:r w:rsidR="007E467E" w:rsidRPr="004E3E07">
        <w:rPr>
          <w:rFonts w:ascii="Cambria" w:eastAsia="Cambria" w:hAnsi="Cambria" w:cs="Cambria"/>
          <w:sz w:val="20"/>
          <w:szCs w:val="20"/>
          <w:lang w:val="es-MX"/>
        </w:rPr>
        <w:t>la creación de</w:t>
      </w:r>
      <w:r w:rsidR="009645F5" w:rsidRPr="004E3E07">
        <w:rPr>
          <w:rFonts w:ascii="Cambria" w:eastAsia="Cambria" w:hAnsi="Cambria" w:cs="Cambria"/>
          <w:sz w:val="20"/>
          <w:szCs w:val="20"/>
          <w:lang w:val="es-MX"/>
        </w:rPr>
        <w:t xml:space="preserve"> la Mesa Nacional de Búsqueda de Personas Migrantes D</w:t>
      </w:r>
      <w:r w:rsidR="00F91710" w:rsidRPr="004E3E07">
        <w:rPr>
          <w:rFonts w:ascii="Cambria" w:eastAsia="Cambria" w:hAnsi="Cambria" w:cs="Cambria"/>
          <w:sz w:val="20"/>
          <w:szCs w:val="20"/>
          <w:lang w:val="es-MX"/>
        </w:rPr>
        <w:t>esaparecid</w:t>
      </w:r>
      <w:r w:rsidR="000166EE" w:rsidRPr="004E3E07">
        <w:rPr>
          <w:rFonts w:ascii="Cambria" w:eastAsia="Cambria" w:hAnsi="Cambria" w:cs="Cambria"/>
          <w:sz w:val="20"/>
          <w:szCs w:val="20"/>
          <w:lang w:val="es-MX"/>
        </w:rPr>
        <w:t xml:space="preserve">as </w:t>
      </w:r>
      <w:r w:rsidR="007E467E" w:rsidRPr="004E3E07">
        <w:rPr>
          <w:rFonts w:ascii="Cambria" w:eastAsia="Cambria" w:hAnsi="Cambria" w:cs="Cambria"/>
          <w:sz w:val="20"/>
          <w:szCs w:val="20"/>
          <w:lang w:val="es-MX"/>
        </w:rPr>
        <w:t>en noviembre de 2021</w:t>
      </w:r>
      <w:r w:rsidR="009645F5" w:rsidRPr="004E3E07">
        <w:rPr>
          <w:rStyle w:val="FootnoteReference"/>
          <w:rFonts w:ascii="Cambria" w:eastAsia="Cambria" w:hAnsi="Cambria" w:cs="Cambria"/>
          <w:sz w:val="20"/>
          <w:szCs w:val="20"/>
          <w:lang w:val="es-MX"/>
        </w:rPr>
        <w:footnoteReference w:id="67"/>
      </w:r>
      <w:r w:rsidR="007E467E" w:rsidRPr="004E3E07">
        <w:rPr>
          <w:rFonts w:ascii="Cambria" w:eastAsia="Cambria" w:hAnsi="Cambria" w:cs="Cambria"/>
          <w:sz w:val="20"/>
          <w:szCs w:val="20"/>
          <w:lang w:val="es-MX"/>
        </w:rPr>
        <w:t xml:space="preserve">, y observa que </w:t>
      </w:r>
      <w:r w:rsidRPr="004E3E07">
        <w:rPr>
          <w:rFonts w:ascii="Cambria" w:eastAsia="Cambria" w:hAnsi="Cambria" w:cs="Cambria"/>
          <w:sz w:val="20"/>
          <w:szCs w:val="20"/>
          <w:lang w:val="es-MX"/>
        </w:rPr>
        <w:t xml:space="preserve">las autoridades </w:t>
      </w:r>
      <w:r w:rsidR="007E467E" w:rsidRPr="004E3E07">
        <w:rPr>
          <w:rFonts w:ascii="Cambria" w:hAnsi="Cambria" w:cs="Cambria"/>
          <w:sz w:val="20"/>
          <w:szCs w:val="20"/>
          <w:lang w:val="es-MX"/>
        </w:rPr>
        <w:t xml:space="preserve">del SNB </w:t>
      </w:r>
      <w:r w:rsidR="004A569F" w:rsidRPr="004E3E07">
        <w:rPr>
          <w:rFonts w:ascii="Cambria" w:hAnsi="Cambria" w:cs="Cambria"/>
          <w:sz w:val="20"/>
          <w:szCs w:val="20"/>
          <w:lang w:val="es-MX"/>
        </w:rPr>
        <w:t>se encuentra</w:t>
      </w:r>
      <w:r w:rsidR="007E467E" w:rsidRPr="004E3E07">
        <w:rPr>
          <w:rFonts w:ascii="Cambria" w:hAnsi="Cambria" w:cs="Cambria"/>
          <w:sz w:val="20"/>
          <w:szCs w:val="20"/>
          <w:lang w:val="es-MX"/>
        </w:rPr>
        <w:t>n</w:t>
      </w:r>
      <w:r w:rsidR="004A569F" w:rsidRPr="004E3E07">
        <w:rPr>
          <w:rFonts w:ascii="Cambria" w:hAnsi="Cambria" w:cs="Cambria"/>
          <w:sz w:val="20"/>
          <w:szCs w:val="20"/>
          <w:lang w:val="es-MX"/>
        </w:rPr>
        <w:t xml:space="preserve"> en proceso de redacción de los Lineamientos del Mecanismo de Apoyo Exteri</w:t>
      </w:r>
      <w:r w:rsidRPr="004E3E07">
        <w:rPr>
          <w:rFonts w:ascii="Cambria" w:hAnsi="Cambria" w:cs="Cambria"/>
          <w:sz w:val="20"/>
          <w:szCs w:val="20"/>
          <w:lang w:val="es-MX"/>
        </w:rPr>
        <w:t xml:space="preserve">or de Búsqueda e Investigación con la finalidad de establecer un mecanismo de búsqueda transnacional y de acceso a la justicia a personas migrantes desaparecidas y sus familiares que residen en el extranjero, </w:t>
      </w:r>
      <w:r w:rsidR="007E467E" w:rsidRPr="004E3E07">
        <w:rPr>
          <w:rFonts w:ascii="Cambria" w:hAnsi="Cambria" w:cs="Cambria"/>
          <w:sz w:val="20"/>
          <w:szCs w:val="20"/>
          <w:lang w:val="es-MX"/>
        </w:rPr>
        <w:t>según se detalla más adelante</w:t>
      </w:r>
      <w:r w:rsidR="00625520">
        <w:rPr>
          <w:rFonts w:ascii="Cambria" w:hAnsi="Cambria" w:cs="Cambria"/>
          <w:sz w:val="20"/>
          <w:szCs w:val="20"/>
          <w:lang w:val="es-MX"/>
        </w:rPr>
        <w:t xml:space="preserve">. </w:t>
      </w:r>
      <w:r w:rsidRPr="004E3E07">
        <w:rPr>
          <w:rFonts w:ascii="Cambria" w:eastAsia="Cambria" w:hAnsi="Cambria" w:cs="Cambria"/>
          <w:sz w:val="20"/>
          <w:szCs w:val="20"/>
          <w:lang w:val="es-MX"/>
        </w:rPr>
        <w:t>L</w:t>
      </w:r>
      <w:r w:rsidR="006668A9" w:rsidRPr="004E3E07">
        <w:rPr>
          <w:rFonts w:ascii="Cambria" w:eastAsia="Cambria" w:hAnsi="Cambria" w:cs="Cambria"/>
          <w:sz w:val="20"/>
          <w:szCs w:val="20"/>
          <w:lang w:val="es-MX"/>
        </w:rPr>
        <w:t xml:space="preserve">a </w:t>
      </w:r>
      <w:r w:rsidRPr="004E3E07">
        <w:rPr>
          <w:rFonts w:ascii="Cambria" w:eastAsia="Cambria" w:hAnsi="Cambria" w:cs="Cambria"/>
          <w:sz w:val="20"/>
          <w:szCs w:val="20"/>
          <w:lang w:val="es-MX"/>
        </w:rPr>
        <w:t>Comisión</w:t>
      </w:r>
      <w:r w:rsidR="006668A9" w:rsidRPr="004E3E07">
        <w:rPr>
          <w:rFonts w:ascii="Cambria" w:eastAsia="Cambria" w:hAnsi="Cambria" w:cs="Cambria"/>
          <w:sz w:val="20"/>
          <w:szCs w:val="20"/>
          <w:lang w:val="es-MX"/>
        </w:rPr>
        <w:t xml:space="preserve"> </w:t>
      </w:r>
      <w:r w:rsidRPr="004E3E07">
        <w:rPr>
          <w:rFonts w:ascii="Cambria" w:eastAsia="Cambria" w:hAnsi="Cambria" w:cs="Cambria"/>
          <w:sz w:val="20"/>
          <w:szCs w:val="20"/>
          <w:lang w:val="es-MX"/>
        </w:rPr>
        <w:t xml:space="preserve">también </w:t>
      </w:r>
      <w:r w:rsidR="006668A9" w:rsidRPr="004E3E07">
        <w:rPr>
          <w:rFonts w:ascii="Cambria" w:eastAsia="Cambria" w:hAnsi="Cambria" w:cs="Cambria"/>
          <w:sz w:val="20"/>
          <w:szCs w:val="20"/>
          <w:lang w:val="es-MX"/>
        </w:rPr>
        <w:t>destaca la decisión de la</w:t>
      </w:r>
      <w:r w:rsidR="005D0FDF" w:rsidRPr="004E3E07">
        <w:rPr>
          <w:rFonts w:ascii="Cambria" w:eastAsia="Cambria" w:hAnsi="Cambria" w:cs="Cambria"/>
          <w:sz w:val="20"/>
          <w:szCs w:val="20"/>
          <w:lang w:val="es-MX"/>
        </w:rPr>
        <w:t xml:space="preserve"> primera sala de la</w:t>
      </w:r>
      <w:r w:rsidR="006668A9" w:rsidRPr="004E3E07">
        <w:rPr>
          <w:rFonts w:ascii="Cambria" w:eastAsia="Cambria" w:hAnsi="Cambria" w:cs="Cambria"/>
          <w:sz w:val="20"/>
          <w:szCs w:val="20"/>
          <w:lang w:val="es-MX"/>
        </w:rPr>
        <w:t xml:space="preserve"> </w:t>
      </w:r>
      <w:r w:rsidR="005D0FDF" w:rsidRPr="004E3E07">
        <w:rPr>
          <w:rFonts w:ascii="Cambria" w:eastAsia="Cambria" w:hAnsi="Cambria" w:cs="Cambria"/>
          <w:sz w:val="20"/>
          <w:szCs w:val="20"/>
          <w:lang w:val="es-MX"/>
        </w:rPr>
        <w:t>SCJN</w:t>
      </w:r>
      <w:r w:rsidR="006668A9" w:rsidRPr="004E3E07">
        <w:rPr>
          <w:rFonts w:ascii="Cambria" w:eastAsia="Cambria" w:hAnsi="Cambria" w:cs="Cambria"/>
          <w:sz w:val="20"/>
          <w:szCs w:val="20"/>
          <w:lang w:val="es-MX"/>
        </w:rPr>
        <w:t xml:space="preserve"> </w:t>
      </w:r>
      <w:r w:rsidR="006668A9" w:rsidRPr="004E3E07">
        <w:rPr>
          <w:rFonts w:ascii="Cambria" w:hAnsi="Cambria"/>
          <w:sz w:val="20"/>
          <w:szCs w:val="20"/>
          <w:lang w:val="es-MX"/>
        </w:rPr>
        <w:t xml:space="preserve">de reconocer la obligatoriedad </w:t>
      </w:r>
      <w:r w:rsidR="005D0FDF" w:rsidRPr="004E3E07">
        <w:rPr>
          <w:rFonts w:ascii="Cambria" w:hAnsi="Cambria"/>
          <w:sz w:val="20"/>
          <w:szCs w:val="20"/>
          <w:lang w:val="es-MX"/>
        </w:rPr>
        <w:t>de las acciones urgentes del Comité</w:t>
      </w:r>
      <w:r w:rsidR="00D97D63" w:rsidRPr="004E3E07">
        <w:rPr>
          <w:rFonts w:ascii="Cambria" w:hAnsi="Cambria"/>
          <w:sz w:val="20"/>
          <w:szCs w:val="20"/>
          <w:lang w:val="es-MX"/>
        </w:rPr>
        <w:t xml:space="preserve"> </w:t>
      </w:r>
      <w:r w:rsidR="00A53A4D" w:rsidRPr="004E3E07">
        <w:rPr>
          <w:rFonts w:ascii="Cambria" w:hAnsi="Cambria"/>
          <w:sz w:val="20"/>
          <w:szCs w:val="20"/>
          <w:lang w:val="es-MX"/>
        </w:rPr>
        <w:t xml:space="preserve">de Naciones Unidas </w:t>
      </w:r>
      <w:r w:rsidR="005D0FDF" w:rsidRPr="004E3E07">
        <w:rPr>
          <w:rFonts w:ascii="Cambria" w:hAnsi="Cambria"/>
          <w:sz w:val="20"/>
          <w:szCs w:val="20"/>
          <w:lang w:val="es-MX"/>
        </w:rPr>
        <w:t>contra la Desaparición Forzada (CED) para todas las autoridades mexicanas en el ámbito de sus respectivas competencias</w:t>
      </w:r>
      <w:r w:rsidRPr="004E3E07">
        <w:rPr>
          <w:rFonts w:ascii="Cambria" w:hAnsi="Cambria"/>
          <w:sz w:val="20"/>
          <w:szCs w:val="20"/>
          <w:lang w:val="es-MX"/>
        </w:rPr>
        <w:t xml:space="preserve"> </w:t>
      </w:r>
      <w:r w:rsidR="000166EE" w:rsidRPr="004E3E07">
        <w:rPr>
          <w:rFonts w:ascii="Cambria" w:hAnsi="Cambria"/>
          <w:sz w:val="20"/>
          <w:szCs w:val="20"/>
          <w:lang w:val="es-MX"/>
        </w:rPr>
        <w:t>“al constituir lineamientos precisos de búsqueda e investigación y ser consecuencia del efecto útil que debe darse a las disposiciones de los tratados y de la aplicación del principio pro persona en su interpretación”</w:t>
      </w:r>
      <w:r w:rsidR="006668A9" w:rsidRPr="004E3E07">
        <w:rPr>
          <w:rStyle w:val="FootnoteReference"/>
          <w:rFonts w:ascii="Cambria" w:hAnsi="Cambria"/>
          <w:sz w:val="20"/>
          <w:szCs w:val="20"/>
          <w:lang w:val="es-MX"/>
        </w:rPr>
        <w:footnoteReference w:id="68"/>
      </w:r>
      <w:r w:rsidR="00663E74" w:rsidRPr="004E3E07">
        <w:rPr>
          <w:rFonts w:ascii="Cambria" w:hAnsi="Cambria"/>
          <w:sz w:val="20"/>
          <w:szCs w:val="20"/>
          <w:lang w:val="es-MX"/>
        </w:rPr>
        <w:t xml:space="preserve">. </w:t>
      </w:r>
      <w:r w:rsidR="00097858" w:rsidRPr="004E3E07">
        <w:rPr>
          <w:rFonts w:ascii="Cambria" w:hAnsi="Cambria"/>
          <w:sz w:val="20"/>
          <w:szCs w:val="20"/>
          <w:lang w:val="es-MX"/>
        </w:rPr>
        <w:t>Sumado a lo anterior</w:t>
      </w:r>
      <w:r w:rsidR="00663E74" w:rsidRPr="004E3E07">
        <w:rPr>
          <w:rFonts w:ascii="Cambria" w:hAnsi="Cambria"/>
          <w:sz w:val="20"/>
          <w:szCs w:val="20"/>
          <w:lang w:val="es-MX"/>
        </w:rPr>
        <w:t>, la C</w:t>
      </w:r>
      <w:r w:rsidR="0048526F" w:rsidRPr="004E3E07">
        <w:rPr>
          <w:rFonts w:ascii="Cambria" w:hAnsi="Cambria"/>
          <w:sz w:val="20"/>
          <w:szCs w:val="20"/>
          <w:lang w:val="es-MX"/>
        </w:rPr>
        <w:t>IDH</w:t>
      </w:r>
      <w:r w:rsidR="00663E74" w:rsidRPr="004E3E07">
        <w:rPr>
          <w:rFonts w:ascii="Cambria" w:hAnsi="Cambria"/>
          <w:sz w:val="20"/>
          <w:szCs w:val="20"/>
          <w:lang w:val="es-MX"/>
        </w:rPr>
        <w:t xml:space="preserve"> valora positivamente la invitaci</w:t>
      </w:r>
      <w:r w:rsidR="00097858" w:rsidRPr="004E3E07">
        <w:rPr>
          <w:rFonts w:ascii="Cambria" w:hAnsi="Cambria"/>
          <w:sz w:val="20"/>
          <w:szCs w:val="20"/>
          <w:lang w:val="es-MX"/>
        </w:rPr>
        <w:t xml:space="preserve">ón </w:t>
      </w:r>
      <w:r w:rsidR="003A620B" w:rsidRPr="004E3E07">
        <w:rPr>
          <w:rFonts w:ascii="Cambria" w:hAnsi="Cambria"/>
          <w:sz w:val="20"/>
          <w:szCs w:val="20"/>
          <w:lang w:val="es-MX"/>
        </w:rPr>
        <w:t xml:space="preserve">del Estado mexicano </w:t>
      </w:r>
      <w:r w:rsidR="00097858" w:rsidRPr="004E3E07">
        <w:rPr>
          <w:rFonts w:ascii="Cambria" w:hAnsi="Cambria"/>
          <w:sz w:val="20"/>
          <w:szCs w:val="20"/>
          <w:lang w:val="es-MX"/>
        </w:rPr>
        <w:t xml:space="preserve">al CED a realizar una visita </w:t>
      </w:r>
      <w:r w:rsidR="004F38EC" w:rsidRPr="004E3E07">
        <w:rPr>
          <w:rFonts w:ascii="Cambria" w:hAnsi="Cambria"/>
          <w:sz w:val="20"/>
          <w:szCs w:val="20"/>
          <w:lang w:val="es-MX"/>
        </w:rPr>
        <w:t>en noviembre de 2021</w:t>
      </w:r>
      <w:r w:rsidR="00097858" w:rsidRPr="004E3E07">
        <w:rPr>
          <w:rStyle w:val="FootnoteReference"/>
          <w:rFonts w:ascii="Cambria" w:hAnsi="Cambria"/>
          <w:sz w:val="20"/>
          <w:szCs w:val="20"/>
          <w:lang w:val="es-MX"/>
        </w:rPr>
        <w:footnoteReference w:id="69"/>
      </w:r>
      <w:r w:rsidR="004F38EC" w:rsidRPr="004E3E07">
        <w:rPr>
          <w:rFonts w:ascii="Cambria" w:hAnsi="Cambria"/>
          <w:sz w:val="20"/>
          <w:szCs w:val="20"/>
          <w:lang w:val="es-MX"/>
        </w:rPr>
        <w:t xml:space="preserve">, y espera que </w:t>
      </w:r>
      <w:r w:rsidR="000166EE" w:rsidRPr="004E3E07">
        <w:rPr>
          <w:rFonts w:ascii="Cambria" w:hAnsi="Cambria"/>
          <w:sz w:val="20"/>
          <w:szCs w:val="20"/>
          <w:lang w:val="es-MX"/>
        </w:rPr>
        <w:t>México adopte las medidas necesarias para implementar las</w:t>
      </w:r>
      <w:r w:rsidR="004F38EC" w:rsidRPr="004E3E07">
        <w:rPr>
          <w:rFonts w:ascii="Cambria" w:hAnsi="Cambria"/>
          <w:sz w:val="20"/>
          <w:szCs w:val="20"/>
          <w:lang w:val="es-MX"/>
        </w:rPr>
        <w:t xml:space="preserve"> recomendaciones</w:t>
      </w:r>
      <w:r w:rsidRPr="004E3E07">
        <w:rPr>
          <w:rFonts w:ascii="Cambria" w:hAnsi="Cambria"/>
          <w:sz w:val="20"/>
          <w:szCs w:val="20"/>
          <w:lang w:val="es-MX"/>
        </w:rPr>
        <w:t xml:space="preserve"> que</w:t>
      </w:r>
      <w:r w:rsidR="000166EE" w:rsidRPr="004E3E07">
        <w:rPr>
          <w:rFonts w:ascii="Cambria" w:hAnsi="Cambria"/>
          <w:sz w:val="20"/>
          <w:szCs w:val="20"/>
          <w:lang w:val="es-MX"/>
        </w:rPr>
        <w:t xml:space="preserve"> dicho órgano </w:t>
      </w:r>
      <w:r w:rsidRPr="004E3E07">
        <w:rPr>
          <w:rFonts w:ascii="Cambria" w:hAnsi="Cambria"/>
          <w:sz w:val="20"/>
          <w:szCs w:val="20"/>
          <w:lang w:val="es-MX"/>
        </w:rPr>
        <w:t xml:space="preserve">emita </w:t>
      </w:r>
      <w:r w:rsidR="000166EE" w:rsidRPr="004E3E07">
        <w:rPr>
          <w:rFonts w:ascii="Cambria" w:hAnsi="Cambria"/>
          <w:sz w:val="20"/>
          <w:szCs w:val="20"/>
          <w:lang w:val="es-MX"/>
        </w:rPr>
        <w:t xml:space="preserve">en </w:t>
      </w:r>
      <w:r w:rsidR="007D7EA3" w:rsidRPr="004E3E07">
        <w:rPr>
          <w:rFonts w:ascii="Cambria" w:hAnsi="Cambria"/>
          <w:sz w:val="20"/>
          <w:szCs w:val="20"/>
          <w:lang w:val="es-MX"/>
        </w:rPr>
        <w:t>su momento</w:t>
      </w:r>
      <w:r w:rsidR="00097858" w:rsidRPr="004E3E07">
        <w:rPr>
          <w:rFonts w:ascii="Cambria" w:hAnsi="Cambria"/>
          <w:sz w:val="20"/>
          <w:szCs w:val="20"/>
          <w:lang w:val="es-MX"/>
        </w:rPr>
        <w:t>.</w:t>
      </w:r>
    </w:p>
    <w:p w14:paraId="4FD2CDAA" w14:textId="30345C5C" w:rsidR="00FE4848" w:rsidRPr="004E3E07" w:rsidRDefault="00352E73" w:rsidP="00325EAB">
      <w:pPr>
        <w:numPr>
          <w:ilvl w:val="0"/>
          <w:numId w:val="5"/>
        </w:numPr>
        <w:shd w:val="clear" w:color="auto" w:fill="FFFFFF"/>
        <w:spacing w:after="240" w:line="240" w:lineRule="auto"/>
        <w:ind w:left="0" w:firstLine="720"/>
        <w:jc w:val="both"/>
        <w:rPr>
          <w:rFonts w:ascii="Cambria" w:eastAsia="Cambria" w:hAnsi="Cambria" w:cs="Cambria"/>
          <w:sz w:val="20"/>
          <w:szCs w:val="20"/>
          <w:lang w:val="es-MX"/>
        </w:rPr>
      </w:pPr>
      <w:r w:rsidRPr="004E3E07">
        <w:rPr>
          <w:rFonts w:ascii="Cambria" w:eastAsia="Cambria" w:hAnsi="Cambria" w:cs="Cambria"/>
          <w:sz w:val="20"/>
          <w:szCs w:val="20"/>
          <w:lang w:val="es-MX"/>
        </w:rPr>
        <w:t>Por otro lado</w:t>
      </w:r>
      <w:r w:rsidR="00325EAB" w:rsidRPr="004E3E07">
        <w:rPr>
          <w:rFonts w:ascii="Cambria" w:eastAsia="Cambria" w:hAnsi="Cambria" w:cs="Cambria"/>
          <w:sz w:val="20"/>
          <w:szCs w:val="20"/>
          <w:lang w:val="es-MX"/>
        </w:rPr>
        <w:t xml:space="preserve">, </w:t>
      </w:r>
      <w:r w:rsidRPr="004E3E07">
        <w:rPr>
          <w:rFonts w:ascii="Cambria" w:eastAsia="Cambria" w:hAnsi="Cambria" w:cs="Cambria"/>
          <w:sz w:val="20"/>
          <w:szCs w:val="20"/>
          <w:lang w:val="es-MX"/>
        </w:rPr>
        <w:t xml:space="preserve">y </w:t>
      </w:r>
      <w:r w:rsidR="0062243C" w:rsidRPr="004E3E07">
        <w:rPr>
          <w:rFonts w:ascii="Cambria" w:eastAsia="Cambria" w:hAnsi="Cambria" w:cs="Cambria"/>
          <w:sz w:val="20"/>
          <w:szCs w:val="20"/>
          <w:lang w:val="es-MX"/>
        </w:rPr>
        <w:t xml:space="preserve">tomando en consideración que la identificación forense tiene impactos directos en la búsqueda y localización de las personas desaparecidas, </w:t>
      </w:r>
      <w:r w:rsidR="00A111F3" w:rsidRPr="004E3E07">
        <w:rPr>
          <w:rFonts w:ascii="Cambria" w:eastAsia="Cambria" w:hAnsi="Cambria" w:cs="Cambria"/>
          <w:sz w:val="20"/>
          <w:szCs w:val="20"/>
          <w:lang w:val="es-MX"/>
        </w:rPr>
        <w:t>l</w:t>
      </w:r>
      <w:r w:rsidRPr="004E3E07">
        <w:rPr>
          <w:rFonts w:ascii="Cambria" w:eastAsia="Cambria" w:hAnsi="Cambria" w:cs="Cambria"/>
          <w:sz w:val="20"/>
          <w:szCs w:val="20"/>
          <w:lang w:val="es-MX"/>
        </w:rPr>
        <w:t>a Comisión</w:t>
      </w:r>
      <w:r w:rsidR="007E7E65" w:rsidRPr="004E3E07">
        <w:rPr>
          <w:rFonts w:ascii="Cambria" w:eastAsia="Cambria" w:hAnsi="Cambria" w:cs="Cambria"/>
          <w:sz w:val="20"/>
          <w:szCs w:val="20"/>
          <w:lang w:val="es-MX"/>
        </w:rPr>
        <w:t xml:space="preserve"> </w:t>
      </w:r>
      <w:r w:rsidRPr="004E3E07">
        <w:rPr>
          <w:rFonts w:ascii="Cambria" w:eastAsia="Cambria" w:hAnsi="Cambria" w:cs="Cambria"/>
          <w:sz w:val="20"/>
          <w:szCs w:val="20"/>
          <w:lang w:val="es-MX"/>
        </w:rPr>
        <w:t>destaca</w:t>
      </w:r>
      <w:r w:rsidR="007E7E65" w:rsidRPr="004E3E07">
        <w:rPr>
          <w:rFonts w:ascii="Cambria" w:eastAsia="Cambria" w:hAnsi="Cambria" w:cs="Cambria"/>
          <w:sz w:val="20"/>
          <w:szCs w:val="20"/>
          <w:lang w:val="es-MX"/>
        </w:rPr>
        <w:t xml:space="preserve"> </w:t>
      </w:r>
      <w:r w:rsidR="00FE4848" w:rsidRPr="004E3E07">
        <w:rPr>
          <w:rFonts w:ascii="Cambria" w:eastAsia="Cambria" w:hAnsi="Cambria" w:cs="Cambria"/>
          <w:sz w:val="20"/>
          <w:szCs w:val="20"/>
          <w:lang w:val="es-MX"/>
        </w:rPr>
        <w:t xml:space="preserve">las </w:t>
      </w:r>
      <w:r w:rsidR="007E7E65" w:rsidRPr="004E3E07">
        <w:rPr>
          <w:rFonts w:ascii="Cambria" w:eastAsia="Cambria" w:hAnsi="Cambria" w:cs="Cambria"/>
          <w:sz w:val="20"/>
          <w:szCs w:val="20"/>
          <w:lang w:val="es-MX"/>
        </w:rPr>
        <w:t xml:space="preserve">labores de incidencia </w:t>
      </w:r>
      <w:r w:rsidR="007E25FF" w:rsidRPr="004E3E07">
        <w:rPr>
          <w:rFonts w:ascii="Cambria" w:eastAsia="Cambria" w:hAnsi="Cambria" w:cs="Cambria"/>
          <w:sz w:val="20"/>
          <w:szCs w:val="20"/>
          <w:lang w:val="es-MX"/>
        </w:rPr>
        <w:t>en materia de identificación humana</w:t>
      </w:r>
      <w:r w:rsidR="00FE4848" w:rsidRPr="004E3E07">
        <w:rPr>
          <w:rFonts w:ascii="Cambria" w:eastAsia="Cambria" w:hAnsi="Cambria" w:cs="Cambria"/>
          <w:sz w:val="20"/>
          <w:szCs w:val="20"/>
          <w:lang w:val="es-MX"/>
        </w:rPr>
        <w:t xml:space="preserve"> impulsadas desde la Comisión Nacional de Búsqueda (CNB) a</w:t>
      </w:r>
      <w:r w:rsidR="007E25FF" w:rsidRPr="004E3E07">
        <w:rPr>
          <w:rFonts w:ascii="Cambria" w:eastAsia="Cambria" w:hAnsi="Cambria" w:cs="Cambria"/>
          <w:sz w:val="20"/>
          <w:szCs w:val="20"/>
          <w:lang w:val="es-MX"/>
        </w:rPr>
        <w:t xml:space="preserve"> través del fortalecimiento de las capacidade</w:t>
      </w:r>
      <w:r w:rsidR="00FE4848" w:rsidRPr="004E3E07">
        <w:rPr>
          <w:rFonts w:ascii="Cambria" w:eastAsia="Cambria" w:hAnsi="Cambria" w:cs="Cambria"/>
          <w:sz w:val="20"/>
          <w:szCs w:val="20"/>
          <w:lang w:val="es-MX"/>
        </w:rPr>
        <w:t>s forenses</w:t>
      </w:r>
      <w:r w:rsidRPr="004E3E07">
        <w:rPr>
          <w:rFonts w:ascii="Cambria" w:eastAsia="Cambria" w:hAnsi="Cambria" w:cs="Cambria"/>
          <w:sz w:val="20"/>
          <w:szCs w:val="20"/>
          <w:lang w:val="es-MX"/>
        </w:rPr>
        <w:t xml:space="preserve"> de las entidades federativas</w:t>
      </w:r>
      <w:r w:rsidR="00FE4848" w:rsidRPr="004E3E07">
        <w:rPr>
          <w:rFonts w:ascii="Cambria" w:eastAsia="Cambria" w:hAnsi="Cambria" w:cs="Cambria"/>
          <w:sz w:val="20"/>
          <w:szCs w:val="20"/>
          <w:lang w:val="es-MX"/>
        </w:rPr>
        <w:t xml:space="preserve"> con subsidios federales. Al respecto, el Estado informó </w:t>
      </w:r>
      <w:r w:rsidRPr="004E3E07">
        <w:rPr>
          <w:rFonts w:ascii="Cambria" w:eastAsia="Cambria" w:hAnsi="Cambria" w:cs="Cambria"/>
          <w:sz w:val="20"/>
          <w:szCs w:val="20"/>
          <w:lang w:val="es-MX"/>
        </w:rPr>
        <w:t xml:space="preserve">sobre el impulso de tres Centros de Identificación Humana: (i) el Centro Regional de Identificación Humana ubicado en </w:t>
      </w:r>
      <w:r w:rsidR="00FE4848" w:rsidRPr="004E3E07">
        <w:rPr>
          <w:rFonts w:ascii="Cambria" w:eastAsia="Cambria" w:hAnsi="Cambria" w:cs="Cambria"/>
          <w:sz w:val="20"/>
          <w:szCs w:val="20"/>
          <w:lang w:val="es-MX"/>
        </w:rPr>
        <w:t>Coahuila</w:t>
      </w:r>
      <w:r w:rsidRPr="004E3E07">
        <w:rPr>
          <w:rFonts w:ascii="Cambria" w:eastAsia="Cambria" w:hAnsi="Cambria" w:cs="Cambria"/>
          <w:sz w:val="20"/>
          <w:szCs w:val="20"/>
          <w:lang w:val="es-MX"/>
        </w:rPr>
        <w:t xml:space="preserve">, mismo que se encuentra en operaciones; (ii) </w:t>
      </w:r>
      <w:r w:rsidR="009C5BB8" w:rsidRPr="004E3E07">
        <w:rPr>
          <w:rFonts w:ascii="Cambria" w:eastAsia="Cambria" w:hAnsi="Cambria" w:cs="Cambria"/>
          <w:sz w:val="20"/>
          <w:szCs w:val="20"/>
          <w:lang w:val="es-MX"/>
        </w:rPr>
        <w:t xml:space="preserve">el </w:t>
      </w:r>
      <w:r w:rsidR="00FE4848" w:rsidRPr="004E3E07">
        <w:rPr>
          <w:rFonts w:ascii="Cambria" w:eastAsia="Cambria" w:hAnsi="Cambria" w:cs="Cambria"/>
          <w:sz w:val="20"/>
          <w:szCs w:val="20"/>
          <w:lang w:val="es-MX"/>
        </w:rPr>
        <w:t>C</w:t>
      </w:r>
      <w:r w:rsidR="009C5BB8" w:rsidRPr="004E3E07">
        <w:rPr>
          <w:rFonts w:ascii="Cambria" w:eastAsia="Cambria" w:hAnsi="Cambria" w:cs="Cambria"/>
          <w:sz w:val="20"/>
          <w:szCs w:val="20"/>
          <w:lang w:val="es-MX"/>
        </w:rPr>
        <w:t>entro</w:t>
      </w:r>
      <w:r w:rsidRPr="004E3E07">
        <w:rPr>
          <w:rFonts w:ascii="Cambria" w:eastAsia="Cambria" w:hAnsi="Cambria" w:cs="Cambria"/>
          <w:sz w:val="20"/>
          <w:szCs w:val="20"/>
          <w:lang w:val="es-MX"/>
        </w:rPr>
        <w:t xml:space="preserve"> de Identificación Humana de </w:t>
      </w:r>
      <w:r w:rsidRPr="004E3E07">
        <w:rPr>
          <w:rFonts w:ascii="Cambria" w:hAnsi="Cambria"/>
          <w:sz w:val="20"/>
          <w:szCs w:val="20"/>
          <w:lang w:val="es-MX"/>
        </w:rPr>
        <w:t xml:space="preserve">San Luis Potosí, el cual </w:t>
      </w:r>
      <w:r w:rsidR="00F912DF" w:rsidRPr="004E3E07">
        <w:rPr>
          <w:rFonts w:ascii="Cambria" w:hAnsi="Cambria"/>
          <w:sz w:val="20"/>
          <w:szCs w:val="20"/>
          <w:lang w:val="es-MX"/>
        </w:rPr>
        <w:t>está</w:t>
      </w:r>
      <w:r w:rsidR="00FE4848" w:rsidRPr="004E3E07">
        <w:rPr>
          <w:rFonts w:ascii="Cambria" w:hAnsi="Cambria"/>
          <w:sz w:val="20"/>
          <w:szCs w:val="20"/>
          <w:lang w:val="es-MX"/>
        </w:rPr>
        <w:t xml:space="preserve"> en proc</w:t>
      </w:r>
      <w:r w:rsidR="002933A6" w:rsidRPr="004E3E07">
        <w:rPr>
          <w:rFonts w:ascii="Cambria" w:hAnsi="Cambria"/>
          <w:sz w:val="20"/>
          <w:szCs w:val="20"/>
          <w:lang w:val="es-MX"/>
        </w:rPr>
        <w:t xml:space="preserve">eso </w:t>
      </w:r>
      <w:r w:rsidRPr="004E3E07">
        <w:rPr>
          <w:rFonts w:ascii="Cambria" w:hAnsi="Cambria"/>
          <w:sz w:val="20"/>
          <w:szCs w:val="20"/>
          <w:lang w:val="es-MX"/>
        </w:rPr>
        <w:t>de adquisición de equipamiento; y (iii) el C</w:t>
      </w:r>
      <w:r w:rsidR="001D2E26" w:rsidRPr="004E3E07">
        <w:rPr>
          <w:rFonts w:ascii="Cambria" w:hAnsi="Cambria"/>
          <w:sz w:val="20"/>
          <w:szCs w:val="20"/>
          <w:lang w:val="es-MX"/>
        </w:rPr>
        <w:t>entro</w:t>
      </w:r>
      <w:r w:rsidRPr="004E3E07">
        <w:rPr>
          <w:rFonts w:ascii="Cambria" w:hAnsi="Cambria"/>
          <w:sz w:val="20"/>
          <w:szCs w:val="20"/>
          <w:lang w:val="es-MX"/>
        </w:rPr>
        <w:t xml:space="preserve"> de Identificación Humana de Tamaulipas, </w:t>
      </w:r>
      <w:r w:rsidR="001C52AB" w:rsidRPr="004E3E07">
        <w:rPr>
          <w:rFonts w:ascii="Cambria" w:hAnsi="Cambria"/>
          <w:sz w:val="20"/>
          <w:szCs w:val="20"/>
          <w:lang w:val="es-MX"/>
        </w:rPr>
        <w:t xml:space="preserve">en proceso de </w:t>
      </w:r>
      <w:r w:rsidR="00F912DF" w:rsidRPr="004E3E07">
        <w:rPr>
          <w:rFonts w:ascii="Cambria" w:hAnsi="Cambria"/>
          <w:sz w:val="20"/>
          <w:szCs w:val="20"/>
          <w:lang w:val="es-MX"/>
        </w:rPr>
        <w:t>construcción</w:t>
      </w:r>
      <w:r w:rsidR="002933A6" w:rsidRPr="004E3E07">
        <w:rPr>
          <w:rFonts w:ascii="Cambria" w:hAnsi="Cambria"/>
          <w:sz w:val="20"/>
          <w:szCs w:val="20"/>
          <w:lang w:val="es-MX"/>
        </w:rPr>
        <w:t>.</w:t>
      </w:r>
      <w:r w:rsidRPr="004E3E07">
        <w:rPr>
          <w:rFonts w:ascii="Cambria" w:hAnsi="Cambria"/>
          <w:sz w:val="20"/>
          <w:szCs w:val="20"/>
          <w:lang w:val="es-MX"/>
        </w:rPr>
        <w:t xml:space="preserve"> Además, la CIDH conoció mediante información pública sobre la posible construcción de un cuarto centro en Jalisco</w:t>
      </w:r>
      <w:r w:rsidRPr="004E3E07">
        <w:rPr>
          <w:rStyle w:val="FootnoteReference"/>
          <w:rFonts w:ascii="Cambria" w:hAnsi="Cambria"/>
          <w:sz w:val="20"/>
          <w:szCs w:val="20"/>
          <w:lang w:val="es-MX"/>
        </w:rPr>
        <w:footnoteReference w:id="70"/>
      </w:r>
      <w:r w:rsidRPr="004E3E07">
        <w:rPr>
          <w:rFonts w:ascii="Cambria" w:hAnsi="Cambria"/>
          <w:sz w:val="20"/>
          <w:szCs w:val="20"/>
          <w:lang w:val="es-MX"/>
        </w:rPr>
        <w:t xml:space="preserve">. El </w:t>
      </w:r>
      <w:r w:rsidR="001C52AB" w:rsidRPr="004E3E07">
        <w:rPr>
          <w:rFonts w:ascii="Cambria" w:hAnsi="Cambria"/>
          <w:sz w:val="20"/>
          <w:szCs w:val="20"/>
          <w:lang w:val="es-MX"/>
        </w:rPr>
        <w:t xml:space="preserve">Estado </w:t>
      </w:r>
      <w:r w:rsidRPr="004E3E07">
        <w:rPr>
          <w:rFonts w:ascii="Cambria" w:hAnsi="Cambria"/>
          <w:sz w:val="20"/>
          <w:szCs w:val="20"/>
          <w:lang w:val="es-MX"/>
        </w:rPr>
        <w:t xml:space="preserve">agregó </w:t>
      </w:r>
      <w:r w:rsidR="001C52AB" w:rsidRPr="004E3E07">
        <w:rPr>
          <w:rFonts w:ascii="Cambria" w:hAnsi="Cambria"/>
          <w:sz w:val="20"/>
          <w:szCs w:val="20"/>
          <w:lang w:val="es-MX"/>
        </w:rPr>
        <w:t>que</w:t>
      </w:r>
      <w:r w:rsidR="00F912DF" w:rsidRPr="004E3E07">
        <w:rPr>
          <w:rFonts w:ascii="Cambria" w:hAnsi="Cambria"/>
          <w:sz w:val="20"/>
          <w:szCs w:val="20"/>
          <w:lang w:val="es-MX"/>
        </w:rPr>
        <w:t xml:space="preserve"> se </w:t>
      </w:r>
      <w:r w:rsidRPr="004E3E07">
        <w:rPr>
          <w:rFonts w:ascii="Cambria" w:hAnsi="Cambria"/>
          <w:sz w:val="20"/>
          <w:szCs w:val="20"/>
          <w:lang w:val="es-MX"/>
        </w:rPr>
        <w:t>ha venido impulsando</w:t>
      </w:r>
      <w:r w:rsidR="00F912DF" w:rsidRPr="004E3E07">
        <w:rPr>
          <w:rFonts w:ascii="Cambria" w:hAnsi="Cambria"/>
          <w:sz w:val="20"/>
          <w:szCs w:val="20"/>
          <w:lang w:val="es-MX"/>
        </w:rPr>
        <w:t xml:space="preserve"> la construcción de cinco centros de resguardo de cuerpos</w:t>
      </w:r>
      <w:r w:rsidR="001C52AB" w:rsidRPr="004E3E07">
        <w:rPr>
          <w:rFonts w:ascii="Cambria" w:hAnsi="Cambria"/>
          <w:sz w:val="20"/>
          <w:szCs w:val="20"/>
          <w:lang w:val="es-MX"/>
        </w:rPr>
        <w:t xml:space="preserve"> de personas fallecidas</w:t>
      </w:r>
      <w:r w:rsidRPr="004E3E07">
        <w:rPr>
          <w:rFonts w:ascii="Cambria" w:hAnsi="Cambria"/>
          <w:sz w:val="20"/>
          <w:szCs w:val="20"/>
          <w:lang w:val="es-MX"/>
        </w:rPr>
        <w:t xml:space="preserve"> </w:t>
      </w:r>
      <w:r w:rsidR="001C52AB" w:rsidRPr="004E3E07">
        <w:rPr>
          <w:rFonts w:ascii="Cambria" w:hAnsi="Cambria"/>
          <w:sz w:val="20"/>
          <w:szCs w:val="20"/>
          <w:lang w:val="es-MX"/>
        </w:rPr>
        <w:t>en</w:t>
      </w:r>
      <w:r w:rsidR="00F912DF" w:rsidRPr="004E3E07">
        <w:rPr>
          <w:rFonts w:ascii="Cambria" w:hAnsi="Cambria"/>
          <w:sz w:val="20"/>
          <w:szCs w:val="20"/>
          <w:lang w:val="es-MX"/>
        </w:rPr>
        <w:t xml:space="preserve"> Tamaulipas, Michoacán, Jalisco y Veracruz</w:t>
      </w:r>
      <w:r w:rsidR="00F912DF" w:rsidRPr="004E3E07">
        <w:rPr>
          <w:rStyle w:val="FootnoteReference"/>
          <w:rFonts w:ascii="Cambria" w:hAnsi="Cambria"/>
          <w:sz w:val="20"/>
          <w:szCs w:val="20"/>
          <w:lang w:val="es-MX"/>
        </w:rPr>
        <w:footnoteReference w:id="71"/>
      </w:r>
      <w:r w:rsidR="00F912DF" w:rsidRPr="004E3E07">
        <w:rPr>
          <w:rFonts w:ascii="Cambria" w:hAnsi="Cambria"/>
          <w:sz w:val="20"/>
          <w:szCs w:val="20"/>
          <w:lang w:val="es-MX"/>
        </w:rPr>
        <w:t xml:space="preserve">. </w:t>
      </w:r>
      <w:r w:rsidR="002933A6" w:rsidRPr="004E3E07">
        <w:rPr>
          <w:rFonts w:ascii="Cambria" w:hAnsi="Cambria"/>
          <w:sz w:val="20"/>
          <w:szCs w:val="20"/>
          <w:lang w:val="es-MX"/>
        </w:rPr>
        <w:t xml:space="preserve">Sin perjuicio de lo anterior, la Comisión observa que estas acciones no sustituyen las obligaciones </w:t>
      </w:r>
      <w:r w:rsidR="008E7723" w:rsidRPr="004E3E07">
        <w:rPr>
          <w:rFonts w:ascii="Cambria" w:hAnsi="Cambria"/>
          <w:sz w:val="20"/>
          <w:szCs w:val="20"/>
          <w:lang w:val="es-MX"/>
        </w:rPr>
        <w:t xml:space="preserve">en materia de identificación forense </w:t>
      </w:r>
      <w:r w:rsidRPr="004E3E07">
        <w:rPr>
          <w:rFonts w:ascii="Cambria" w:hAnsi="Cambria"/>
          <w:sz w:val="20"/>
          <w:szCs w:val="20"/>
          <w:lang w:val="es-MX"/>
        </w:rPr>
        <w:t>que corresponden a</w:t>
      </w:r>
      <w:r w:rsidR="002933A6" w:rsidRPr="004E3E07">
        <w:rPr>
          <w:rFonts w:ascii="Cambria" w:hAnsi="Cambria"/>
          <w:sz w:val="20"/>
          <w:szCs w:val="20"/>
          <w:lang w:val="es-MX"/>
        </w:rPr>
        <w:t xml:space="preserve"> las institucion</w:t>
      </w:r>
      <w:r w:rsidR="008E7723" w:rsidRPr="004E3E07">
        <w:rPr>
          <w:rFonts w:ascii="Cambria" w:hAnsi="Cambria"/>
          <w:sz w:val="20"/>
          <w:szCs w:val="20"/>
          <w:lang w:val="es-MX"/>
        </w:rPr>
        <w:t>es de procuración de justicia y</w:t>
      </w:r>
      <w:r w:rsidRPr="004E3E07">
        <w:rPr>
          <w:rFonts w:ascii="Cambria" w:hAnsi="Cambria"/>
          <w:sz w:val="20"/>
          <w:szCs w:val="20"/>
          <w:lang w:val="es-MX"/>
        </w:rPr>
        <w:t xml:space="preserve"> </w:t>
      </w:r>
      <w:r w:rsidR="002933A6" w:rsidRPr="004E3E07">
        <w:rPr>
          <w:rFonts w:ascii="Cambria" w:hAnsi="Cambria"/>
          <w:sz w:val="20"/>
          <w:szCs w:val="20"/>
          <w:lang w:val="es-MX"/>
        </w:rPr>
        <w:t>autoridad</w:t>
      </w:r>
      <w:r w:rsidRPr="004E3E07">
        <w:rPr>
          <w:rFonts w:ascii="Cambria" w:hAnsi="Cambria"/>
          <w:sz w:val="20"/>
          <w:szCs w:val="20"/>
          <w:lang w:val="es-MX"/>
        </w:rPr>
        <w:t>es periciales y médico-forenses</w:t>
      </w:r>
      <w:r w:rsidR="002933A6" w:rsidRPr="004E3E07">
        <w:rPr>
          <w:rFonts w:ascii="Cambria" w:hAnsi="Cambria"/>
          <w:sz w:val="20"/>
          <w:szCs w:val="20"/>
          <w:lang w:val="es-MX"/>
        </w:rPr>
        <w:t xml:space="preserve"> tanto </w:t>
      </w:r>
      <w:r w:rsidR="00EA668A" w:rsidRPr="004E3E07">
        <w:rPr>
          <w:rFonts w:ascii="Cambria" w:hAnsi="Cambria"/>
          <w:sz w:val="20"/>
          <w:szCs w:val="20"/>
          <w:lang w:val="es-MX"/>
        </w:rPr>
        <w:t>federales como locales.</w:t>
      </w:r>
    </w:p>
    <w:p w14:paraId="5591DE68" w14:textId="77777777" w:rsidR="00F22C8D" w:rsidRPr="00F22C8D" w:rsidRDefault="00C447B5" w:rsidP="00F22C8D">
      <w:pPr>
        <w:numPr>
          <w:ilvl w:val="0"/>
          <w:numId w:val="5"/>
        </w:numPr>
        <w:shd w:val="clear" w:color="auto" w:fill="FFFFFF" w:themeFill="background1"/>
        <w:spacing w:after="240" w:line="240" w:lineRule="auto"/>
        <w:ind w:left="0" w:firstLine="720"/>
        <w:jc w:val="both"/>
        <w:rPr>
          <w:rFonts w:ascii="Cambria" w:eastAsia="Cambria" w:hAnsi="Cambria" w:cs="Cambria"/>
          <w:sz w:val="20"/>
          <w:szCs w:val="20"/>
          <w:lang w:val="es-MX"/>
        </w:rPr>
      </w:pPr>
      <w:r w:rsidRPr="004E3E07">
        <w:rPr>
          <w:rFonts w:ascii="Cambria" w:eastAsia="Cambria" w:hAnsi="Cambria" w:cs="Cambria"/>
          <w:sz w:val="20"/>
          <w:szCs w:val="20"/>
          <w:lang w:val="es-MX"/>
        </w:rPr>
        <w:t>En la misma línea</w:t>
      </w:r>
      <w:r w:rsidR="00F912DF" w:rsidRPr="004E3E07">
        <w:rPr>
          <w:rFonts w:ascii="Cambria" w:eastAsia="Cambria" w:hAnsi="Cambria" w:cs="Cambria"/>
          <w:sz w:val="20"/>
          <w:szCs w:val="20"/>
          <w:lang w:val="es-MX"/>
        </w:rPr>
        <w:t>,</w:t>
      </w:r>
      <w:r w:rsidR="000D0D73" w:rsidRPr="004E3E07">
        <w:rPr>
          <w:rFonts w:ascii="Cambria" w:eastAsia="Cambria" w:hAnsi="Cambria" w:cs="Cambria"/>
          <w:sz w:val="20"/>
          <w:szCs w:val="20"/>
          <w:lang w:val="es-MX"/>
        </w:rPr>
        <w:t xml:space="preserve"> la CIDH destaca los esfuerzos estatales para la entrada en funciones del Mecanismo Extraordinario de Identificación Forense (MEIF). Al respecto, y en virtud de su participación como invitada permanente en el proceso de</w:t>
      </w:r>
      <w:r w:rsidRPr="004E3E07">
        <w:rPr>
          <w:rFonts w:ascii="Cambria" w:eastAsia="Cambria" w:hAnsi="Cambria" w:cs="Cambria"/>
          <w:sz w:val="20"/>
          <w:szCs w:val="20"/>
          <w:lang w:val="es-MX"/>
        </w:rPr>
        <w:t xml:space="preserve"> implementación del MEIF, l</w:t>
      </w:r>
      <w:r w:rsidR="00AC29A5" w:rsidRPr="004E3E07">
        <w:rPr>
          <w:rFonts w:ascii="Cambria" w:eastAsia="Cambria" w:hAnsi="Cambria" w:cs="Cambria"/>
          <w:sz w:val="20"/>
          <w:szCs w:val="20"/>
          <w:lang w:val="es-MX"/>
        </w:rPr>
        <w:t>a C</w:t>
      </w:r>
      <w:r w:rsidR="000D0D73" w:rsidRPr="004E3E07">
        <w:rPr>
          <w:rFonts w:ascii="Cambria" w:eastAsia="Cambria" w:hAnsi="Cambria" w:cs="Cambria"/>
          <w:sz w:val="20"/>
          <w:szCs w:val="20"/>
          <w:lang w:val="es-MX"/>
        </w:rPr>
        <w:t xml:space="preserve">omisión pudo observar </w:t>
      </w:r>
      <w:r w:rsidR="009B6B61" w:rsidRPr="004E3E07">
        <w:rPr>
          <w:rFonts w:ascii="Cambria" w:eastAsia="Cambria" w:hAnsi="Cambria" w:cs="Cambria"/>
          <w:sz w:val="20"/>
          <w:szCs w:val="20"/>
          <w:lang w:val="es-MX"/>
        </w:rPr>
        <w:t>un</w:t>
      </w:r>
      <w:r w:rsidR="008A4CFB" w:rsidRPr="004E3E07">
        <w:rPr>
          <w:rFonts w:ascii="Cambria" w:eastAsia="Cambria" w:hAnsi="Cambria" w:cs="Cambria"/>
          <w:sz w:val="20"/>
          <w:szCs w:val="20"/>
          <w:lang w:val="es-MX"/>
        </w:rPr>
        <w:t xml:space="preserve"> </w:t>
      </w:r>
      <w:r w:rsidR="00AC29A5" w:rsidRPr="004E3E07">
        <w:rPr>
          <w:rFonts w:ascii="Cambria" w:eastAsia="Cambria" w:hAnsi="Cambria" w:cs="Cambria"/>
          <w:sz w:val="20"/>
          <w:szCs w:val="20"/>
          <w:lang w:val="es-MX"/>
        </w:rPr>
        <w:t xml:space="preserve">proceso ampliamente </w:t>
      </w:r>
      <w:r w:rsidR="008A4CFB" w:rsidRPr="004E3E07">
        <w:rPr>
          <w:rFonts w:ascii="Cambria" w:eastAsia="Cambria" w:hAnsi="Cambria" w:cs="Cambria"/>
          <w:sz w:val="20"/>
          <w:szCs w:val="20"/>
          <w:lang w:val="es-MX"/>
        </w:rPr>
        <w:t>deliberativo</w:t>
      </w:r>
      <w:r w:rsidR="00AC29A5" w:rsidRPr="004E3E07">
        <w:rPr>
          <w:rFonts w:ascii="Cambria" w:eastAsia="Cambria" w:hAnsi="Cambria" w:cs="Cambria"/>
          <w:sz w:val="20"/>
          <w:szCs w:val="20"/>
          <w:lang w:val="es-MX"/>
        </w:rPr>
        <w:t xml:space="preserve"> </w:t>
      </w:r>
      <w:r w:rsidRPr="004E3E07">
        <w:rPr>
          <w:rFonts w:ascii="Cambria" w:eastAsia="Cambria" w:hAnsi="Cambria" w:cs="Cambria"/>
          <w:sz w:val="20"/>
          <w:szCs w:val="20"/>
          <w:lang w:val="es-MX"/>
        </w:rPr>
        <w:t xml:space="preserve">para </w:t>
      </w:r>
      <w:r w:rsidR="008A4CFB" w:rsidRPr="004E3E07">
        <w:rPr>
          <w:rFonts w:ascii="Cambria" w:eastAsia="Cambria" w:hAnsi="Cambria" w:cs="Cambria"/>
          <w:sz w:val="20"/>
          <w:szCs w:val="20"/>
          <w:lang w:val="es-MX"/>
        </w:rPr>
        <w:t>definir los</w:t>
      </w:r>
      <w:r w:rsidR="00AC29A5" w:rsidRPr="004E3E07">
        <w:rPr>
          <w:rFonts w:ascii="Cambria" w:eastAsia="Cambria" w:hAnsi="Cambria" w:cs="Cambria"/>
          <w:sz w:val="20"/>
          <w:szCs w:val="20"/>
          <w:lang w:val="es-MX"/>
        </w:rPr>
        <w:t xml:space="preserve"> </w:t>
      </w:r>
      <w:r w:rsidRPr="004E3E07">
        <w:rPr>
          <w:rFonts w:ascii="Cambria" w:eastAsia="Cambria" w:hAnsi="Cambria" w:cs="Cambria"/>
          <w:sz w:val="20"/>
          <w:szCs w:val="20"/>
          <w:lang w:val="es-MX"/>
        </w:rPr>
        <w:t xml:space="preserve">lineamientos </w:t>
      </w:r>
      <w:r w:rsidR="00AC29A5" w:rsidRPr="004E3E07">
        <w:rPr>
          <w:rFonts w:ascii="Cambria" w:eastAsia="Cambria" w:hAnsi="Cambria" w:cs="Cambria"/>
          <w:sz w:val="20"/>
          <w:szCs w:val="20"/>
          <w:lang w:val="es-MX"/>
        </w:rPr>
        <w:t>de selección de las personas integrantes del Grupo Coordinador</w:t>
      </w:r>
      <w:r w:rsidR="000D0D73" w:rsidRPr="004E3E07">
        <w:rPr>
          <w:rFonts w:ascii="Cambria" w:eastAsia="Cambria" w:hAnsi="Cambria" w:cs="Cambria"/>
          <w:sz w:val="20"/>
          <w:szCs w:val="20"/>
          <w:lang w:val="es-MX"/>
        </w:rPr>
        <w:t xml:space="preserve">, y </w:t>
      </w:r>
      <w:r w:rsidR="008A4CFB" w:rsidRPr="004E3E07">
        <w:rPr>
          <w:rFonts w:ascii="Cambria" w:eastAsia="Cambria" w:hAnsi="Cambria" w:cs="Cambria"/>
          <w:sz w:val="20"/>
          <w:szCs w:val="20"/>
          <w:lang w:val="es-MX"/>
        </w:rPr>
        <w:t>reconoce</w:t>
      </w:r>
      <w:r w:rsidRPr="004E3E07">
        <w:rPr>
          <w:rFonts w:ascii="Cambria" w:eastAsia="Cambria" w:hAnsi="Cambria" w:cs="Cambria"/>
          <w:sz w:val="20"/>
          <w:szCs w:val="20"/>
          <w:lang w:val="es-MX"/>
        </w:rPr>
        <w:t xml:space="preserve"> los esfuer</w:t>
      </w:r>
      <w:r w:rsidR="008A4CFB" w:rsidRPr="004E3E07">
        <w:rPr>
          <w:rFonts w:ascii="Cambria" w:eastAsia="Cambria" w:hAnsi="Cambria" w:cs="Cambria"/>
          <w:sz w:val="20"/>
          <w:szCs w:val="20"/>
          <w:lang w:val="es-MX"/>
        </w:rPr>
        <w:t xml:space="preserve">zos estatales </w:t>
      </w:r>
      <w:r w:rsidR="000D0D73" w:rsidRPr="004E3E07">
        <w:rPr>
          <w:rFonts w:ascii="Cambria" w:eastAsia="Cambria" w:hAnsi="Cambria" w:cs="Cambria"/>
          <w:sz w:val="20"/>
          <w:szCs w:val="20"/>
          <w:lang w:val="es-MX"/>
        </w:rPr>
        <w:t>para</w:t>
      </w:r>
      <w:r w:rsidR="007807FE" w:rsidRPr="004E3E07">
        <w:rPr>
          <w:rFonts w:ascii="Cambria" w:eastAsia="Cambria" w:hAnsi="Cambria" w:cs="Cambria"/>
          <w:sz w:val="20"/>
          <w:szCs w:val="20"/>
          <w:lang w:val="es-MX"/>
        </w:rPr>
        <w:t xml:space="preserve"> </w:t>
      </w:r>
      <w:r w:rsidR="008A4CFB" w:rsidRPr="004E3E07">
        <w:rPr>
          <w:rFonts w:ascii="Cambria" w:eastAsia="Cambria" w:hAnsi="Cambria" w:cs="Cambria"/>
          <w:sz w:val="20"/>
          <w:szCs w:val="20"/>
          <w:lang w:val="es-MX"/>
        </w:rPr>
        <w:t xml:space="preserve">garantizar </w:t>
      </w:r>
      <w:r w:rsidR="000D0D73" w:rsidRPr="004E3E07">
        <w:rPr>
          <w:rFonts w:ascii="Cambria" w:eastAsia="Cambria" w:hAnsi="Cambria" w:cs="Cambria"/>
          <w:sz w:val="20"/>
          <w:szCs w:val="20"/>
          <w:lang w:val="es-MX"/>
        </w:rPr>
        <w:t xml:space="preserve">la articulación de </w:t>
      </w:r>
      <w:r w:rsidR="008A4CFB" w:rsidRPr="004E3E07">
        <w:rPr>
          <w:rFonts w:ascii="Cambria" w:eastAsia="Cambria" w:hAnsi="Cambria" w:cs="Cambria"/>
          <w:sz w:val="20"/>
          <w:szCs w:val="20"/>
          <w:lang w:val="es-MX"/>
        </w:rPr>
        <w:t>mecanismos de</w:t>
      </w:r>
      <w:r w:rsidRPr="004E3E07">
        <w:rPr>
          <w:rFonts w:ascii="Cambria" w:eastAsia="Cambria" w:hAnsi="Cambria" w:cs="Cambria"/>
          <w:sz w:val="20"/>
          <w:szCs w:val="20"/>
          <w:lang w:val="es-MX"/>
        </w:rPr>
        <w:t xml:space="preserve"> participación</w:t>
      </w:r>
      <w:r w:rsidR="008A4CFB" w:rsidRPr="004E3E07">
        <w:rPr>
          <w:rFonts w:ascii="Cambria" w:eastAsia="Cambria" w:hAnsi="Cambria" w:cs="Cambria"/>
          <w:sz w:val="20"/>
          <w:szCs w:val="20"/>
          <w:lang w:val="es-MX"/>
        </w:rPr>
        <w:t xml:space="preserve"> de familiares de personas desaparecidas y </w:t>
      </w:r>
      <w:r w:rsidR="000D0D73" w:rsidRPr="004E3E07">
        <w:rPr>
          <w:rFonts w:ascii="Cambria" w:eastAsia="Cambria" w:hAnsi="Cambria" w:cs="Cambria"/>
          <w:sz w:val="20"/>
          <w:szCs w:val="20"/>
          <w:lang w:val="es-MX"/>
        </w:rPr>
        <w:t xml:space="preserve">de </w:t>
      </w:r>
      <w:r w:rsidR="008A4CFB" w:rsidRPr="004E3E07">
        <w:rPr>
          <w:rFonts w:ascii="Cambria" w:eastAsia="Cambria" w:hAnsi="Cambria" w:cs="Cambria"/>
          <w:sz w:val="20"/>
          <w:szCs w:val="20"/>
          <w:lang w:val="es-MX"/>
        </w:rPr>
        <w:t>sociedad civil</w:t>
      </w:r>
      <w:r w:rsidRPr="004E3E07">
        <w:rPr>
          <w:rFonts w:ascii="Cambria" w:eastAsia="Cambria" w:hAnsi="Cambria" w:cs="Cambria"/>
          <w:sz w:val="20"/>
          <w:szCs w:val="20"/>
          <w:lang w:val="es-MX"/>
        </w:rPr>
        <w:t xml:space="preserve"> en </w:t>
      </w:r>
      <w:r w:rsidR="008A4CFB" w:rsidRPr="004E3E07">
        <w:rPr>
          <w:rFonts w:ascii="Cambria" w:eastAsia="Cambria" w:hAnsi="Cambria" w:cs="Cambria"/>
          <w:sz w:val="20"/>
          <w:szCs w:val="20"/>
          <w:lang w:val="es-MX"/>
        </w:rPr>
        <w:t xml:space="preserve">la </w:t>
      </w:r>
      <w:r w:rsidRPr="004E3E07">
        <w:rPr>
          <w:rFonts w:ascii="Cambria" w:eastAsia="Cambria" w:hAnsi="Cambria" w:cs="Cambria"/>
          <w:sz w:val="20"/>
          <w:szCs w:val="20"/>
          <w:lang w:val="es-MX"/>
        </w:rPr>
        <w:t>selección</w:t>
      </w:r>
      <w:r w:rsidR="008A4CFB" w:rsidRPr="004E3E07">
        <w:rPr>
          <w:rFonts w:ascii="Cambria" w:eastAsia="Cambria" w:hAnsi="Cambria" w:cs="Cambria"/>
          <w:sz w:val="20"/>
          <w:szCs w:val="20"/>
          <w:lang w:val="es-MX"/>
        </w:rPr>
        <w:t xml:space="preserve"> de las personas postuladas</w:t>
      </w:r>
      <w:r w:rsidR="000D0D73" w:rsidRPr="004E3E07">
        <w:rPr>
          <w:rFonts w:ascii="Cambria" w:eastAsia="Cambria" w:hAnsi="Cambria" w:cs="Cambria"/>
          <w:sz w:val="20"/>
          <w:szCs w:val="20"/>
          <w:lang w:val="es-MX"/>
        </w:rPr>
        <w:t xml:space="preserve">. </w:t>
      </w:r>
      <w:r w:rsidR="000D0D73" w:rsidRPr="00CE0CCE">
        <w:rPr>
          <w:rFonts w:ascii="Cambria" w:eastAsia="Cambria" w:hAnsi="Cambria" w:cs="Cambria"/>
          <w:sz w:val="20"/>
          <w:szCs w:val="20"/>
          <w:lang w:val="es-MX"/>
        </w:rPr>
        <w:t>Además, la Comisión valora positivamente</w:t>
      </w:r>
      <w:r w:rsidR="007807FE" w:rsidRPr="00CE0CCE">
        <w:rPr>
          <w:rFonts w:ascii="Cambria" w:eastAsia="Cambria" w:hAnsi="Cambria" w:cs="Cambria"/>
          <w:sz w:val="20"/>
          <w:szCs w:val="20"/>
          <w:lang w:val="es-MX"/>
        </w:rPr>
        <w:t xml:space="preserve"> las gestiones</w:t>
      </w:r>
      <w:r w:rsidR="000D0D73" w:rsidRPr="00CE0CCE">
        <w:rPr>
          <w:rFonts w:ascii="Cambria" w:eastAsia="Cambria" w:hAnsi="Cambria" w:cs="Cambria"/>
          <w:sz w:val="20"/>
          <w:szCs w:val="20"/>
          <w:lang w:val="es-MX"/>
        </w:rPr>
        <w:t xml:space="preserve"> del Estado</w:t>
      </w:r>
      <w:r w:rsidR="007807FE" w:rsidRPr="00CE0CCE">
        <w:rPr>
          <w:rFonts w:ascii="Cambria" w:eastAsia="Cambria" w:hAnsi="Cambria" w:cs="Cambria"/>
          <w:sz w:val="20"/>
          <w:szCs w:val="20"/>
          <w:lang w:val="es-MX"/>
        </w:rPr>
        <w:t xml:space="preserve"> para garantizar que</w:t>
      </w:r>
      <w:r w:rsidR="008A4CFB" w:rsidRPr="00CE0CCE">
        <w:rPr>
          <w:rFonts w:ascii="Cambria" w:eastAsia="Cambria" w:hAnsi="Cambria" w:cs="Cambria"/>
          <w:sz w:val="20"/>
          <w:szCs w:val="20"/>
          <w:lang w:val="es-MX"/>
        </w:rPr>
        <w:t xml:space="preserve"> la contratación de </w:t>
      </w:r>
      <w:r w:rsidR="007807FE" w:rsidRPr="00CE0CCE">
        <w:rPr>
          <w:rFonts w:ascii="Cambria" w:eastAsia="Cambria" w:hAnsi="Cambria" w:cs="Cambria"/>
          <w:sz w:val="20"/>
          <w:szCs w:val="20"/>
          <w:lang w:val="es-MX"/>
        </w:rPr>
        <w:t>las personas expertas se realizara</w:t>
      </w:r>
      <w:r w:rsidR="008A4CFB" w:rsidRPr="00CE0CCE">
        <w:rPr>
          <w:rFonts w:ascii="Cambria" w:eastAsia="Cambria" w:hAnsi="Cambria" w:cs="Cambria"/>
          <w:sz w:val="20"/>
          <w:szCs w:val="20"/>
          <w:lang w:val="es-MX"/>
        </w:rPr>
        <w:t xml:space="preserve"> a través del Fondo de Población de Naciones Unidas (UNFPA)</w:t>
      </w:r>
      <w:r w:rsidR="006A6811" w:rsidRPr="00CE0CCE">
        <w:rPr>
          <w:rFonts w:ascii="Cambria" w:eastAsia="Cambria" w:hAnsi="Cambria" w:cs="Cambria"/>
          <w:sz w:val="20"/>
          <w:szCs w:val="20"/>
          <w:lang w:val="es-MX"/>
        </w:rPr>
        <w:t xml:space="preserve"> y la Alta Comisionada de Naciones Unidas para los Derechos Humanos (ACNUDH)</w:t>
      </w:r>
      <w:r w:rsidR="008A4CFB" w:rsidRPr="00CE0CCE">
        <w:rPr>
          <w:rFonts w:ascii="Cambria" w:eastAsia="Cambria" w:hAnsi="Cambria" w:cs="Cambria"/>
          <w:sz w:val="20"/>
          <w:szCs w:val="20"/>
          <w:lang w:val="es-MX"/>
        </w:rPr>
        <w:t xml:space="preserve"> </w:t>
      </w:r>
      <w:r w:rsidR="007807FE" w:rsidRPr="00CE0CCE">
        <w:rPr>
          <w:rFonts w:ascii="Cambria" w:eastAsia="Cambria" w:hAnsi="Cambria" w:cs="Cambria"/>
          <w:sz w:val="20"/>
          <w:szCs w:val="20"/>
          <w:lang w:val="es-MX"/>
        </w:rPr>
        <w:t>con la finalidad de</w:t>
      </w:r>
      <w:r w:rsidR="008A4CFB" w:rsidRPr="00CE0CCE">
        <w:rPr>
          <w:rFonts w:ascii="Cambria" w:eastAsia="Cambria" w:hAnsi="Cambria" w:cs="Cambria"/>
          <w:sz w:val="20"/>
          <w:szCs w:val="20"/>
          <w:lang w:val="es-MX"/>
        </w:rPr>
        <w:t xml:space="preserve"> </w:t>
      </w:r>
      <w:r w:rsidR="007807FE" w:rsidRPr="00CE0CCE">
        <w:rPr>
          <w:rFonts w:ascii="Cambria" w:eastAsia="Cambria" w:hAnsi="Cambria" w:cs="Cambria"/>
          <w:sz w:val="20"/>
          <w:szCs w:val="20"/>
          <w:lang w:val="es-MX"/>
        </w:rPr>
        <w:t xml:space="preserve">asegurar </w:t>
      </w:r>
      <w:r w:rsidR="008A4CFB" w:rsidRPr="00CE0CCE">
        <w:rPr>
          <w:rFonts w:ascii="Cambria" w:eastAsia="Cambria" w:hAnsi="Cambria" w:cs="Cambria"/>
          <w:sz w:val="20"/>
          <w:szCs w:val="20"/>
          <w:lang w:val="es-MX"/>
        </w:rPr>
        <w:t>la independencia del MEIF.</w:t>
      </w:r>
      <w:r w:rsidR="000D0D73" w:rsidRPr="00CE0CCE">
        <w:rPr>
          <w:rFonts w:ascii="Cambria" w:eastAsia="Cambria" w:hAnsi="Cambria" w:cs="Cambria"/>
          <w:sz w:val="20"/>
          <w:szCs w:val="20"/>
          <w:lang w:val="es-MX"/>
        </w:rPr>
        <w:t xml:space="preserve"> Así, en agosto de 2021 el Estado presentó</w:t>
      </w:r>
      <w:r w:rsidR="00C91068" w:rsidRPr="00CE0CCE">
        <w:rPr>
          <w:rFonts w:ascii="Cambria" w:eastAsia="Cambria" w:hAnsi="Cambria" w:cs="Cambria"/>
          <w:sz w:val="20"/>
          <w:szCs w:val="20"/>
          <w:lang w:val="es-MX"/>
        </w:rPr>
        <w:t xml:space="preserve"> públicamente a las personas i</w:t>
      </w:r>
      <w:r w:rsidR="000D0D73" w:rsidRPr="00CE0CCE">
        <w:rPr>
          <w:rFonts w:ascii="Cambria" w:eastAsia="Cambria" w:hAnsi="Cambria" w:cs="Cambria"/>
          <w:sz w:val="20"/>
          <w:szCs w:val="20"/>
          <w:lang w:val="es-MX"/>
        </w:rPr>
        <w:t xml:space="preserve">ntegrantes del Grupo Coordinador, y </w:t>
      </w:r>
      <w:r w:rsidR="00C91068" w:rsidRPr="00CE0CCE">
        <w:rPr>
          <w:rFonts w:ascii="Cambria" w:eastAsia="Cambria" w:hAnsi="Cambria" w:cs="Cambria"/>
          <w:sz w:val="20"/>
          <w:szCs w:val="20"/>
          <w:lang w:val="es-MX"/>
        </w:rPr>
        <w:t xml:space="preserve">dando </w:t>
      </w:r>
      <w:r w:rsidR="008A4CFB" w:rsidRPr="00CE0CCE">
        <w:rPr>
          <w:rFonts w:ascii="Cambria" w:eastAsia="Cambria" w:hAnsi="Cambria" w:cs="Cambria"/>
          <w:sz w:val="20"/>
          <w:szCs w:val="20"/>
          <w:lang w:val="es-MX"/>
        </w:rPr>
        <w:t>inicio</w:t>
      </w:r>
      <w:r w:rsidR="000D0D73" w:rsidRPr="00CE0CCE">
        <w:rPr>
          <w:rFonts w:ascii="Cambria" w:eastAsia="Cambria" w:hAnsi="Cambria" w:cs="Cambria"/>
          <w:sz w:val="20"/>
          <w:szCs w:val="20"/>
          <w:lang w:val="es-MX"/>
        </w:rPr>
        <w:t xml:space="preserve"> oficialmente</w:t>
      </w:r>
      <w:r w:rsidR="008A4CFB" w:rsidRPr="00CE0CCE">
        <w:rPr>
          <w:rFonts w:ascii="Cambria" w:eastAsia="Cambria" w:hAnsi="Cambria" w:cs="Cambria"/>
          <w:sz w:val="20"/>
          <w:szCs w:val="20"/>
          <w:lang w:val="es-MX"/>
        </w:rPr>
        <w:t xml:space="preserve"> a las funciones del MEIF</w:t>
      </w:r>
      <w:r w:rsidR="008A4CFB" w:rsidRPr="004E3E07">
        <w:rPr>
          <w:rStyle w:val="FootnoteReference"/>
          <w:rFonts w:ascii="Cambria" w:eastAsia="Cambria" w:hAnsi="Cambria" w:cs="Cambria"/>
          <w:sz w:val="20"/>
          <w:szCs w:val="20"/>
          <w:lang w:val="es-MX"/>
        </w:rPr>
        <w:footnoteReference w:id="72"/>
      </w:r>
      <w:r w:rsidR="008A4CFB" w:rsidRPr="00CE0CCE">
        <w:rPr>
          <w:rFonts w:ascii="Cambria" w:eastAsia="Cambria" w:hAnsi="Cambria" w:cs="Cambria"/>
          <w:sz w:val="20"/>
          <w:szCs w:val="20"/>
          <w:lang w:val="es-MX"/>
        </w:rPr>
        <w:t xml:space="preserve">. </w:t>
      </w:r>
    </w:p>
    <w:p w14:paraId="411F058F" w14:textId="2F3CFA04" w:rsidR="00085421" w:rsidRPr="00C04139" w:rsidRDefault="001F3737" w:rsidP="00085421">
      <w:pPr>
        <w:numPr>
          <w:ilvl w:val="0"/>
          <w:numId w:val="5"/>
        </w:numPr>
        <w:shd w:val="clear" w:color="auto" w:fill="FFFFFF" w:themeFill="background1"/>
        <w:spacing w:after="240" w:line="240" w:lineRule="auto"/>
        <w:ind w:left="0" w:firstLine="720"/>
        <w:jc w:val="both"/>
        <w:rPr>
          <w:rFonts w:ascii="Cambria" w:eastAsia="Cambria" w:hAnsi="Cambria" w:cs="Cambria"/>
          <w:sz w:val="20"/>
          <w:szCs w:val="20"/>
          <w:lang w:val="es-MX"/>
        </w:rPr>
      </w:pPr>
      <w:r w:rsidRPr="00C04139">
        <w:rPr>
          <w:rFonts w:ascii="Cambria" w:eastAsia="Cambria" w:hAnsi="Cambria" w:cs="Cambria"/>
          <w:sz w:val="20"/>
          <w:szCs w:val="20"/>
          <w:lang w:val="es-MX"/>
        </w:rPr>
        <w:t>En línea con lo anterior, e</w:t>
      </w:r>
      <w:r w:rsidR="00CE0CCE" w:rsidRPr="00C04139">
        <w:rPr>
          <w:rFonts w:ascii="Cambria" w:eastAsia="Cambria" w:hAnsi="Cambria" w:cs="Cambria"/>
          <w:sz w:val="20"/>
          <w:szCs w:val="20"/>
          <w:lang w:val="es-MX"/>
        </w:rPr>
        <w:t xml:space="preserve">n su </w:t>
      </w:r>
      <w:r w:rsidR="00F22C8D" w:rsidRPr="00C04139">
        <w:rPr>
          <w:rFonts w:asciiTheme="minorHAnsi" w:hAnsiTheme="minorHAnsi" w:cs="Helvetica"/>
          <w:sz w:val="20"/>
          <w:szCs w:val="20"/>
          <w:lang w:val="es-MX"/>
        </w:rPr>
        <w:t xml:space="preserve">182 periodo de sesiones, la CIDH </w:t>
      </w:r>
      <w:r w:rsidR="0003419E" w:rsidRPr="00C04139">
        <w:rPr>
          <w:rFonts w:asciiTheme="minorHAnsi" w:hAnsiTheme="minorHAnsi" w:cs="Helvetica"/>
          <w:sz w:val="20"/>
          <w:szCs w:val="20"/>
          <w:lang w:val="es-MX"/>
        </w:rPr>
        <w:t>convocó</w:t>
      </w:r>
      <w:r w:rsidR="00F22C8D" w:rsidRPr="00C04139">
        <w:rPr>
          <w:rFonts w:asciiTheme="minorHAnsi" w:hAnsiTheme="minorHAnsi" w:cs="Helvetica"/>
          <w:sz w:val="20"/>
          <w:szCs w:val="20"/>
          <w:lang w:val="es-MX"/>
        </w:rPr>
        <w:t xml:space="preserve"> una audiencia pública de oficio sobre los avances y desafíos en la implementación del Mecanismo Extraordinario de Identificación Forense. Sobre el particular, las organizaciones de sociedad civil reconocieron la entrada en funciones del Grupo Coordinador del MEIF, luego de un amplio proceso participativo, público y transparente. </w:t>
      </w:r>
      <w:r w:rsidR="0003419E" w:rsidRPr="00C04139">
        <w:rPr>
          <w:rFonts w:asciiTheme="minorHAnsi" w:hAnsiTheme="minorHAnsi" w:cs="Helvetica"/>
          <w:sz w:val="20"/>
          <w:szCs w:val="20"/>
          <w:lang w:val="es-MX"/>
        </w:rPr>
        <w:t>También subrayaron</w:t>
      </w:r>
      <w:r w:rsidR="00F22C8D" w:rsidRPr="00C04139">
        <w:rPr>
          <w:rFonts w:asciiTheme="minorHAnsi" w:hAnsiTheme="minorHAnsi" w:cs="Helvetica"/>
          <w:sz w:val="20"/>
          <w:szCs w:val="20"/>
          <w:lang w:val="es-MX"/>
        </w:rPr>
        <w:t xml:space="preserve"> la relevancia de avanzar en los convenios de colaboración del MEIF con autoridades de procuración de justicia y forenses; de crear los registros nacionales forenses previstos en la Ley General de Desaparición; de asegurar la sostenibilidad financiera del MEIF; y de ofrecer las garantías necesarias para el desempeño de las funciones del MEIF sin riesgos ni represalias</w:t>
      </w:r>
      <w:r w:rsidR="00085421" w:rsidRPr="00C04139">
        <w:rPr>
          <w:rFonts w:asciiTheme="minorHAnsi" w:hAnsiTheme="minorHAnsi" w:cs="Helvetica"/>
          <w:sz w:val="20"/>
          <w:szCs w:val="20"/>
          <w:lang w:val="es-MX"/>
        </w:rPr>
        <w:t xml:space="preserve">. Al respecto, </w:t>
      </w:r>
      <w:r w:rsidR="00F22C8D" w:rsidRPr="00C04139">
        <w:rPr>
          <w:rFonts w:asciiTheme="minorHAnsi" w:hAnsiTheme="minorHAnsi" w:cs="Helvetica"/>
          <w:sz w:val="20"/>
          <w:szCs w:val="20"/>
          <w:lang w:val="es-MX"/>
        </w:rPr>
        <w:t xml:space="preserve">el Estado reportó que la Conferencia Nacional de Procuración de Justicia (CNPJ) trabajó en el anteproyecto de bases de colaboración para la elaboración de un convenio único de coordinación con el MEIF a fin de </w:t>
      </w:r>
      <w:r w:rsidR="00085421" w:rsidRPr="00C04139">
        <w:rPr>
          <w:rFonts w:asciiTheme="minorHAnsi" w:hAnsiTheme="minorHAnsi" w:cs="Helvetica"/>
          <w:sz w:val="20"/>
          <w:szCs w:val="20"/>
          <w:lang w:val="es-MX"/>
        </w:rPr>
        <w:t>dotar de</w:t>
      </w:r>
      <w:r w:rsidR="00F22C8D" w:rsidRPr="00C04139">
        <w:rPr>
          <w:rFonts w:asciiTheme="minorHAnsi" w:hAnsiTheme="minorHAnsi" w:cs="Helvetica"/>
          <w:sz w:val="20"/>
          <w:szCs w:val="20"/>
          <w:lang w:val="es-MX"/>
        </w:rPr>
        <w:t xml:space="preserve"> legalidad </w:t>
      </w:r>
      <w:r w:rsidR="00085421" w:rsidRPr="00C04139">
        <w:rPr>
          <w:rFonts w:asciiTheme="minorHAnsi" w:hAnsiTheme="minorHAnsi" w:cs="Helvetica"/>
          <w:sz w:val="20"/>
          <w:szCs w:val="20"/>
          <w:lang w:val="es-MX"/>
        </w:rPr>
        <w:t>l</w:t>
      </w:r>
      <w:r w:rsidR="00F22C8D" w:rsidRPr="00C04139">
        <w:rPr>
          <w:rFonts w:asciiTheme="minorHAnsi" w:hAnsiTheme="minorHAnsi" w:cs="Helvetica"/>
          <w:sz w:val="20"/>
          <w:szCs w:val="20"/>
          <w:lang w:val="es-MX"/>
        </w:rPr>
        <w:t>as diligencias realizadas por el mismo</w:t>
      </w:r>
      <w:r w:rsidR="00346900">
        <w:rPr>
          <w:rStyle w:val="FootnoteReference"/>
          <w:rFonts w:asciiTheme="minorHAnsi" w:hAnsiTheme="minorHAnsi" w:cs="Helvetica"/>
          <w:sz w:val="20"/>
          <w:szCs w:val="20"/>
          <w:lang w:val="es-MX"/>
        </w:rPr>
        <w:footnoteReference w:id="73"/>
      </w:r>
      <w:r w:rsidR="00F22C8D" w:rsidRPr="00C04139">
        <w:rPr>
          <w:rFonts w:asciiTheme="minorHAnsi" w:hAnsiTheme="minorHAnsi" w:cs="Helvetica"/>
          <w:sz w:val="20"/>
          <w:szCs w:val="20"/>
          <w:lang w:val="es-MX"/>
        </w:rPr>
        <w:t>.</w:t>
      </w:r>
      <w:r w:rsidR="00F22C8D" w:rsidRPr="00C04139">
        <w:rPr>
          <w:rFonts w:asciiTheme="minorHAnsi" w:hAnsiTheme="minorHAnsi"/>
          <w:sz w:val="20"/>
          <w:szCs w:val="20"/>
        </w:rPr>
        <w:t xml:space="preserve"> </w:t>
      </w:r>
    </w:p>
    <w:p w14:paraId="1EEA51DF" w14:textId="16EAB687" w:rsidR="00F22C8D" w:rsidRPr="007B0A03" w:rsidRDefault="00085421" w:rsidP="00724AFA">
      <w:pPr>
        <w:numPr>
          <w:ilvl w:val="0"/>
          <w:numId w:val="5"/>
        </w:numPr>
        <w:shd w:val="clear" w:color="auto" w:fill="FFFFFF" w:themeFill="background1"/>
        <w:spacing w:after="240" w:line="240" w:lineRule="auto"/>
        <w:ind w:left="0" w:firstLine="720"/>
        <w:jc w:val="both"/>
        <w:rPr>
          <w:rFonts w:ascii="Cambria" w:eastAsia="Cambria" w:hAnsi="Cambria" w:cs="Cambria"/>
          <w:sz w:val="20"/>
          <w:szCs w:val="20"/>
          <w:lang w:val="es-MX"/>
        </w:rPr>
      </w:pPr>
      <w:r w:rsidRPr="007B0A03">
        <w:rPr>
          <w:rFonts w:asciiTheme="minorHAnsi" w:hAnsiTheme="minorHAnsi"/>
          <w:sz w:val="20"/>
          <w:szCs w:val="20"/>
          <w:lang w:val="es-MX"/>
        </w:rPr>
        <w:t xml:space="preserve">La Comisión valora </w:t>
      </w:r>
      <w:r w:rsidR="00F9767D" w:rsidRPr="007B0A03">
        <w:rPr>
          <w:rFonts w:asciiTheme="minorHAnsi" w:hAnsiTheme="minorHAnsi"/>
          <w:sz w:val="20"/>
          <w:szCs w:val="20"/>
          <w:lang w:val="es-MX"/>
        </w:rPr>
        <w:t>positivamente</w:t>
      </w:r>
      <w:r w:rsidRPr="007B0A03">
        <w:rPr>
          <w:rFonts w:asciiTheme="minorHAnsi" w:hAnsiTheme="minorHAnsi"/>
          <w:sz w:val="20"/>
          <w:szCs w:val="20"/>
          <w:lang w:val="es-MX"/>
        </w:rPr>
        <w:t xml:space="preserve"> que </w:t>
      </w:r>
      <w:r w:rsidRPr="007B0A03">
        <w:rPr>
          <w:rFonts w:asciiTheme="minorHAnsi" w:hAnsiTheme="minorHAnsi" w:cs="Helvetica"/>
          <w:sz w:val="20"/>
          <w:szCs w:val="20"/>
          <w:lang w:val="es-MX"/>
        </w:rPr>
        <w:t xml:space="preserve">el </w:t>
      </w:r>
      <w:r w:rsidR="00F22C8D" w:rsidRPr="007B0A03">
        <w:rPr>
          <w:rFonts w:asciiTheme="minorHAnsi" w:hAnsiTheme="minorHAnsi" w:cs="Helvetica"/>
          <w:sz w:val="20"/>
          <w:szCs w:val="20"/>
          <w:lang w:val="es-MX"/>
        </w:rPr>
        <w:t xml:space="preserve">Grupo Coordinador </w:t>
      </w:r>
      <w:r w:rsidR="00F9767D" w:rsidRPr="007B0A03">
        <w:rPr>
          <w:rFonts w:asciiTheme="minorHAnsi" w:hAnsiTheme="minorHAnsi" w:cs="Helvetica"/>
          <w:sz w:val="20"/>
          <w:szCs w:val="20"/>
          <w:lang w:val="es-MX"/>
        </w:rPr>
        <w:t>indicó que</w:t>
      </w:r>
      <w:r w:rsidR="00F22C8D" w:rsidRPr="007B0A03">
        <w:rPr>
          <w:rFonts w:asciiTheme="minorHAnsi" w:hAnsiTheme="minorHAnsi" w:cs="Helvetica"/>
          <w:sz w:val="20"/>
          <w:szCs w:val="20"/>
          <w:lang w:val="es-MX"/>
        </w:rPr>
        <w:t xml:space="preserve"> en su próximo plan de trabajo 2022 se pretende conformar el primer equipo de análisis forense y de datos para determinar el estatus de la información de las personas desaparecidas, post-mortem, y de las bases datos</w:t>
      </w:r>
      <w:r w:rsidR="00F9767D" w:rsidRPr="007B0A03">
        <w:rPr>
          <w:rFonts w:asciiTheme="minorHAnsi" w:hAnsiTheme="minorHAnsi" w:cs="Helvetica"/>
          <w:sz w:val="20"/>
          <w:szCs w:val="20"/>
          <w:lang w:val="es-MX"/>
        </w:rPr>
        <w:t>;</w:t>
      </w:r>
      <w:r w:rsidR="007A505C" w:rsidRPr="007B0A03">
        <w:rPr>
          <w:rFonts w:asciiTheme="minorHAnsi" w:hAnsiTheme="minorHAnsi" w:cs="Helvetica"/>
          <w:sz w:val="20"/>
          <w:szCs w:val="20"/>
          <w:lang w:val="es-MX"/>
        </w:rPr>
        <w:t xml:space="preserve"> y</w:t>
      </w:r>
      <w:r w:rsidR="00F22C8D" w:rsidRPr="007B0A03">
        <w:rPr>
          <w:rFonts w:asciiTheme="minorHAnsi" w:hAnsiTheme="minorHAnsi" w:cs="Helvetica"/>
          <w:sz w:val="20"/>
          <w:szCs w:val="20"/>
          <w:lang w:val="es-MX"/>
        </w:rPr>
        <w:t xml:space="preserve"> avanzar con la celebración de los acuerdos de colaboración con la CNPJ y las fiscalías locales. </w:t>
      </w:r>
      <w:r w:rsidR="007A505C" w:rsidRPr="007B0A03">
        <w:rPr>
          <w:rFonts w:asciiTheme="minorHAnsi" w:hAnsiTheme="minorHAnsi" w:cs="Helvetica"/>
          <w:sz w:val="20"/>
          <w:szCs w:val="20"/>
          <w:lang w:val="es-MX"/>
        </w:rPr>
        <w:t>El Grupo Coordinador señaló que busca instalar</w:t>
      </w:r>
      <w:r w:rsidR="00F22C8D" w:rsidRPr="007B0A03">
        <w:rPr>
          <w:rFonts w:asciiTheme="minorHAnsi" w:hAnsiTheme="minorHAnsi" w:cs="Helvetica"/>
          <w:sz w:val="20"/>
          <w:szCs w:val="20"/>
          <w:lang w:val="es-MX"/>
        </w:rPr>
        <w:t xml:space="preserve"> mecanismos de participación de familias, colectivos y organizaciones acompañantes </w:t>
      </w:r>
      <w:r w:rsidR="006B23B7">
        <w:rPr>
          <w:rFonts w:asciiTheme="minorHAnsi" w:hAnsiTheme="minorHAnsi" w:cs="Helvetica"/>
          <w:sz w:val="20"/>
          <w:szCs w:val="20"/>
          <w:lang w:val="es-MX"/>
        </w:rPr>
        <w:t xml:space="preserve">en sus funciones. Además, </w:t>
      </w:r>
      <w:r w:rsidR="00F22C8D" w:rsidRPr="007B0A03">
        <w:rPr>
          <w:rFonts w:asciiTheme="minorHAnsi" w:hAnsiTheme="minorHAnsi" w:cs="Helvetica"/>
          <w:sz w:val="20"/>
          <w:szCs w:val="20"/>
          <w:lang w:val="es-MX"/>
        </w:rPr>
        <w:t>identificó</w:t>
      </w:r>
      <w:r w:rsidR="006B23B7">
        <w:rPr>
          <w:rFonts w:asciiTheme="minorHAnsi" w:hAnsiTheme="minorHAnsi" w:cs="Helvetica"/>
          <w:sz w:val="20"/>
          <w:szCs w:val="20"/>
          <w:lang w:val="es-MX"/>
        </w:rPr>
        <w:t xml:space="preserve"> </w:t>
      </w:r>
      <w:r w:rsidR="00724AFA" w:rsidRPr="007B0A03">
        <w:rPr>
          <w:rFonts w:asciiTheme="minorHAnsi" w:hAnsiTheme="minorHAnsi" w:cs="Helvetica"/>
          <w:sz w:val="20"/>
          <w:szCs w:val="20"/>
          <w:lang w:val="es-MX"/>
        </w:rPr>
        <w:t xml:space="preserve">como </w:t>
      </w:r>
      <w:r w:rsidR="00F22C8D" w:rsidRPr="007B0A03">
        <w:rPr>
          <w:rFonts w:asciiTheme="minorHAnsi" w:hAnsiTheme="minorHAnsi" w:cs="Helvetica"/>
          <w:sz w:val="20"/>
          <w:szCs w:val="20"/>
          <w:lang w:val="es-MX"/>
        </w:rPr>
        <w:t xml:space="preserve">retos </w:t>
      </w:r>
      <w:r w:rsidR="006B23B7">
        <w:rPr>
          <w:rFonts w:asciiTheme="minorHAnsi" w:hAnsiTheme="minorHAnsi" w:cs="Helvetica"/>
          <w:sz w:val="20"/>
          <w:szCs w:val="20"/>
          <w:lang w:val="es-MX"/>
        </w:rPr>
        <w:t xml:space="preserve">para sus funciones: </w:t>
      </w:r>
      <w:r w:rsidR="00F22C8D" w:rsidRPr="007B0A03">
        <w:rPr>
          <w:rFonts w:asciiTheme="minorHAnsi" w:hAnsiTheme="minorHAnsi" w:cs="Helvetica"/>
          <w:sz w:val="20"/>
          <w:szCs w:val="20"/>
          <w:lang w:val="es-MX"/>
        </w:rPr>
        <w:t>lograr un entendimiento común de la crisis forense; los altos volúmenes y desarticulación de datos relacionados a personas fallecidas sin identificar; la importancia de dignificar las labores del personal forense e impulsar programas universitarios para promover las capacidades y profesionalización en la materia; y la participación de las familias como elemento fundamental en las políticas públicas en materia forense</w:t>
      </w:r>
      <w:r w:rsidR="00724AFA" w:rsidRPr="007B0A03">
        <w:rPr>
          <w:rStyle w:val="FootnoteReference"/>
          <w:rFonts w:asciiTheme="minorHAnsi" w:hAnsiTheme="minorHAnsi" w:cs="Helvetica"/>
          <w:sz w:val="20"/>
          <w:szCs w:val="20"/>
          <w:lang w:val="es-MX"/>
        </w:rPr>
        <w:footnoteReference w:id="74"/>
      </w:r>
      <w:r w:rsidR="00724AFA" w:rsidRPr="007B0A03">
        <w:rPr>
          <w:rFonts w:asciiTheme="minorHAnsi" w:hAnsiTheme="minorHAnsi" w:cs="Helvetica"/>
          <w:sz w:val="20"/>
          <w:szCs w:val="20"/>
          <w:lang w:val="es-MX"/>
        </w:rPr>
        <w:t xml:space="preserve">. </w:t>
      </w:r>
    </w:p>
    <w:p w14:paraId="14606978" w14:textId="49DD2434" w:rsidR="002277F5" w:rsidRPr="004E3E07" w:rsidRDefault="00F91710" w:rsidP="5258151B">
      <w:pPr>
        <w:numPr>
          <w:ilvl w:val="0"/>
          <w:numId w:val="5"/>
        </w:numPr>
        <w:shd w:val="clear" w:color="auto" w:fill="FFFFFF"/>
        <w:spacing w:after="240" w:line="240" w:lineRule="auto"/>
        <w:ind w:left="0" w:firstLine="720"/>
        <w:jc w:val="both"/>
        <w:rPr>
          <w:rFonts w:ascii="Cambria" w:eastAsia="Cambria" w:hAnsi="Cambria" w:cs="Cambria"/>
          <w:sz w:val="20"/>
          <w:szCs w:val="20"/>
          <w:lang w:val="es-MX"/>
        </w:rPr>
      </w:pPr>
      <w:r w:rsidRPr="004E3E07">
        <w:rPr>
          <w:rFonts w:ascii="Cambria" w:eastAsia="Cambria" w:hAnsi="Cambria" w:cs="Cambria"/>
          <w:sz w:val="20"/>
          <w:szCs w:val="20"/>
          <w:lang w:val="es-MX"/>
        </w:rPr>
        <w:t xml:space="preserve">De cara </w:t>
      </w:r>
      <w:r w:rsidR="00C91068" w:rsidRPr="004E3E07">
        <w:rPr>
          <w:rFonts w:ascii="Cambria" w:eastAsia="Cambria" w:hAnsi="Cambria" w:cs="Cambria"/>
          <w:sz w:val="20"/>
          <w:szCs w:val="20"/>
          <w:lang w:val="es-MX"/>
        </w:rPr>
        <w:t xml:space="preserve">al seguimiento de las recomendaciones analizadas </w:t>
      </w:r>
      <w:r w:rsidR="007E25FF" w:rsidRPr="004E3E07">
        <w:rPr>
          <w:rFonts w:ascii="Cambria" w:eastAsia="Cambria" w:hAnsi="Cambria" w:cs="Cambria"/>
          <w:sz w:val="20"/>
          <w:szCs w:val="20"/>
          <w:lang w:val="es-MX"/>
        </w:rPr>
        <w:t>en este informe, la CIDH considera que uno de los ejes centrales para la adecuada implementación de Ley General es la adopci</w:t>
      </w:r>
      <w:r w:rsidR="00C91068" w:rsidRPr="004E3E07">
        <w:rPr>
          <w:rFonts w:ascii="Cambria" w:eastAsia="Cambria" w:hAnsi="Cambria" w:cs="Cambria"/>
          <w:sz w:val="20"/>
          <w:szCs w:val="20"/>
          <w:lang w:val="es-MX"/>
        </w:rPr>
        <w:t>ón de medidas positivas para la creación de la institucionalidad</w:t>
      </w:r>
      <w:r w:rsidR="00BA6A51" w:rsidRPr="004E3E07">
        <w:rPr>
          <w:rFonts w:ascii="Cambria" w:eastAsia="Cambria" w:hAnsi="Cambria" w:cs="Cambria"/>
          <w:sz w:val="20"/>
          <w:szCs w:val="20"/>
          <w:lang w:val="es-MX"/>
        </w:rPr>
        <w:t xml:space="preserve"> especializada en </w:t>
      </w:r>
      <w:r w:rsidR="00F17B18" w:rsidRPr="004E3E07">
        <w:rPr>
          <w:rFonts w:ascii="Cambria" w:eastAsia="Cambria" w:hAnsi="Cambria" w:cs="Cambria"/>
          <w:sz w:val="20"/>
          <w:szCs w:val="20"/>
          <w:lang w:val="es-MX"/>
        </w:rPr>
        <w:t xml:space="preserve">búsqueda de personas desaparecidas e investigación de delitos </w:t>
      </w:r>
      <w:r w:rsidR="00BA6A51" w:rsidRPr="004E3E07">
        <w:rPr>
          <w:rFonts w:ascii="Cambria" w:eastAsia="Cambria" w:hAnsi="Cambria" w:cs="Cambria"/>
          <w:sz w:val="20"/>
          <w:szCs w:val="20"/>
          <w:lang w:val="es-MX"/>
        </w:rPr>
        <w:t xml:space="preserve">en materia </w:t>
      </w:r>
      <w:r w:rsidR="00F17B18" w:rsidRPr="004E3E07">
        <w:rPr>
          <w:rFonts w:ascii="Cambria" w:eastAsia="Cambria" w:hAnsi="Cambria" w:cs="Cambria"/>
          <w:sz w:val="20"/>
          <w:szCs w:val="20"/>
          <w:lang w:val="es-MX"/>
        </w:rPr>
        <w:t>de desaparición, así como</w:t>
      </w:r>
      <w:r w:rsidR="00BA6A51" w:rsidRPr="004E3E07">
        <w:rPr>
          <w:rFonts w:ascii="Cambria" w:eastAsia="Cambria" w:hAnsi="Cambria" w:cs="Cambria"/>
          <w:sz w:val="20"/>
          <w:szCs w:val="20"/>
          <w:lang w:val="es-MX"/>
        </w:rPr>
        <w:t xml:space="preserve"> la entrada en funciones de las </w:t>
      </w:r>
      <w:r w:rsidR="00C91068" w:rsidRPr="004E3E07">
        <w:rPr>
          <w:rFonts w:ascii="Cambria" w:eastAsia="Cambria" w:hAnsi="Cambria" w:cs="Cambria"/>
          <w:sz w:val="20"/>
          <w:szCs w:val="20"/>
          <w:lang w:val="es-MX"/>
        </w:rPr>
        <w:t>herramientas</w:t>
      </w:r>
      <w:r w:rsidR="00BA6A51" w:rsidRPr="004E3E07">
        <w:rPr>
          <w:rFonts w:ascii="Cambria" w:eastAsia="Cambria" w:hAnsi="Cambria" w:cs="Cambria"/>
          <w:sz w:val="20"/>
          <w:szCs w:val="20"/>
          <w:lang w:val="es-MX"/>
        </w:rPr>
        <w:t xml:space="preserve"> sobre desaparición de personas.</w:t>
      </w:r>
      <w:r w:rsidR="007E25FF" w:rsidRPr="004E3E07">
        <w:rPr>
          <w:rFonts w:ascii="Cambria" w:eastAsia="Cambria" w:hAnsi="Cambria" w:cs="Cambria"/>
          <w:sz w:val="20"/>
          <w:szCs w:val="20"/>
          <w:lang w:val="es-MX"/>
        </w:rPr>
        <w:t xml:space="preserve"> En estos términos, en el presente informe la Comisión revisará el estatus de implementación de los órganos que tienen funciones</w:t>
      </w:r>
      <w:r w:rsidRPr="004E3E07">
        <w:rPr>
          <w:rFonts w:ascii="Cambria" w:eastAsia="Cambria" w:hAnsi="Cambria" w:cs="Cambria"/>
          <w:sz w:val="20"/>
          <w:szCs w:val="20"/>
          <w:lang w:val="es-MX"/>
        </w:rPr>
        <w:t xml:space="preserve"> </w:t>
      </w:r>
      <w:r w:rsidR="007E25FF" w:rsidRPr="004E3E07">
        <w:rPr>
          <w:rFonts w:ascii="Cambria" w:eastAsia="Cambria" w:hAnsi="Cambria" w:cs="Cambria"/>
          <w:sz w:val="20"/>
          <w:szCs w:val="20"/>
          <w:lang w:val="es-MX"/>
        </w:rPr>
        <w:t>en el Sistema Nacional de Búsqueda</w:t>
      </w:r>
      <w:r w:rsidRPr="004E3E07">
        <w:rPr>
          <w:rFonts w:ascii="Cambria" w:eastAsia="Cambria" w:hAnsi="Cambria" w:cs="Cambria"/>
          <w:sz w:val="20"/>
          <w:szCs w:val="20"/>
          <w:lang w:val="es-MX"/>
        </w:rPr>
        <w:t xml:space="preserve"> de conformidad con la Ley General</w:t>
      </w:r>
      <w:r w:rsidR="007E25FF" w:rsidRPr="004E3E07">
        <w:rPr>
          <w:rFonts w:ascii="Cambria" w:eastAsia="Cambria" w:hAnsi="Cambria" w:cs="Cambria"/>
          <w:sz w:val="20"/>
          <w:szCs w:val="20"/>
          <w:lang w:val="es-MX"/>
        </w:rPr>
        <w:t>:</w:t>
      </w:r>
    </w:p>
    <w:p w14:paraId="14606979" w14:textId="5A3CD8EC" w:rsidR="002277F5" w:rsidRPr="007B69C1" w:rsidRDefault="007E25FF" w:rsidP="007B69C1">
      <w:pPr>
        <w:numPr>
          <w:ilvl w:val="0"/>
          <w:numId w:val="7"/>
        </w:numPr>
        <w:pBdr>
          <w:top w:val="nil"/>
          <w:left w:val="nil"/>
          <w:bottom w:val="nil"/>
          <w:right w:val="nil"/>
          <w:between w:val="nil"/>
        </w:pBdr>
        <w:spacing w:after="240" w:line="240" w:lineRule="auto"/>
        <w:ind w:left="1068"/>
        <w:jc w:val="both"/>
        <w:rPr>
          <w:rFonts w:ascii="Cambria" w:eastAsia="Cambria" w:hAnsi="Cambria" w:cs="Cambria"/>
          <w:sz w:val="20"/>
          <w:szCs w:val="20"/>
          <w:lang w:val="es-MX"/>
        </w:rPr>
      </w:pPr>
      <w:r w:rsidRPr="004E3E07">
        <w:rPr>
          <w:rFonts w:ascii="Cambria" w:eastAsia="Cambria" w:hAnsi="Cambria" w:cs="Cambria"/>
          <w:sz w:val="20"/>
          <w:szCs w:val="20"/>
          <w:lang w:val="es-MX"/>
        </w:rPr>
        <w:t>Comisiones Locales de Búsqueda</w:t>
      </w:r>
      <w:r w:rsidR="00BB4A9E" w:rsidRPr="004E3E07">
        <w:rPr>
          <w:rFonts w:ascii="Cambria" w:eastAsia="Cambria" w:hAnsi="Cambria" w:cs="Cambria"/>
          <w:sz w:val="20"/>
          <w:szCs w:val="20"/>
          <w:lang w:val="es-MX"/>
        </w:rPr>
        <w:t xml:space="preserve"> (CLB)</w:t>
      </w:r>
      <w:r w:rsidRPr="004E3E07">
        <w:rPr>
          <w:rFonts w:ascii="Cambria" w:eastAsia="Cambria" w:hAnsi="Cambria" w:cs="Cambria"/>
          <w:sz w:val="20"/>
          <w:szCs w:val="20"/>
          <w:lang w:val="es-MX"/>
        </w:rPr>
        <w:t>:</w:t>
      </w:r>
      <w:r w:rsidR="00BB4A9E" w:rsidRPr="004E3E07">
        <w:rPr>
          <w:rFonts w:ascii="Cambria" w:eastAsia="Cambria" w:hAnsi="Cambria" w:cs="Cambria"/>
          <w:sz w:val="20"/>
          <w:szCs w:val="20"/>
          <w:lang w:val="es-MX"/>
        </w:rPr>
        <w:t xml:space="preserve"> </w:t>
      </w:r>
      <w:r w:rsidR="00736E75">
        <w:rPr>
          <w:rFonts w:ascii="Cambria" w:eastAsia="Cambria" w:hAnsi="Cambria" w:cs="Cambria"/>
          <w:sz w:val="20"/>
          <w:szCs w:val="20"/>
          <w:lang w:val="es-MX"/>
        </w:rPr>
        <w:t>s</w:t>
      </w:r>
      <w:r w:rsidR="00BB4A9E" w:rsidRPr="004E3E07">
        <w:rPr>
          <w:rFonts w:ascii="Cambria" w:eastAsia="Cambria" w:hAnsi="Cambria" w:cs="Cambria"/>
          <w:sz w:val="20"/>
          <w:szCs w:val="20"/>
          <w:lang w:val="es-MX"/>
        </w:rPr>
        <w:t xml:space="preserve">egún información oficial, </w:t>
      </w:r>
      <w:r w:rsidR="00AC3438" w:rsidRPr="004E3E07">
        <w:rPr>
          <w:rFonts w:ascii="Cambria" w:eastAsia="Cambria" w:hAnsi="Cambria" w:cs="Cambria"/>
          <w:sz w:val="20"/>
          <w:szCs w:val="20"/>
          <w:lang w:val="es-MX"/>
        </w:rPr>
        <w:t>a inicios de</w:t>
      </w:r>
      <w:r w:rsidR="00670CAE" w:rsidRPr="004E3E07">
        <w:rPr>
          <w:rFonts w:ascii="Cambria" w:eastAsia="Cambria" w:hAnsi="Cambria" w:cs="Cambria"/>
          <w:sz w:val="20"/>
          <w:szCs w:val="20"/>
          <w:lang w:val="es-MX"/>
        </w:rPr>
        <w:t xml:space="preserve"> noviembre</w:t>
      </w:r>
      <w:r w:rsidR="00D84241" w:rsidRPr="004E3E07">
        <w:rPr>
          <w:rFonts w:ascii="Cambria" w:eastAsia="Cambria" w:hAnsi="Cambria" w:cs="Cambria"/>
          <w:sz w:val="20"/>
          <w:szCs w:val="20"/>
          <w:lang w:val="es-MX"/>
        </w:rPr>
        <w:t xml:space="preserve"> de 2021 </w:t>
      </w:r>
      <w:r w:rsidRPr="004E3E07">
        <w:rPr>
          <w:rFonts w:ascii="Cambria" w:eastAsia="Cambria" w:hAnsi="Cambria" w:cs="Cambria"/>
          <w:sz w:val="20"/>
          <w:szCs w:val="20"/>
          <w:lang w:val="es-MX"/>
        </w:rPr>
        <w:t xml:space="preserve">las 32 CLB de las entidades federativas se encuentran </w:t>
      </w:r>
      <w:r w:rsidR="00D84241" w:rsidRPr="004E3E07">
        <w:rPr>
          <w:rFonts w:ascii="Cambria" w:eastAsia="Cambria" w:hAnsi="Cambria" w:cs="Cambria"/>
          <w:sz w:val="20"/>
          <w:szCs w:val="20"/>
          <w:lang w:val="es-MX"/>
        </w:rPr>
        <w:t>legalmente</w:t>
      </w:r>
      <w:r w:rsidRPr="004E3E07">
        <w:rPr>
          <w:rFonts w:ascii="Cambria" w:eastAsia="Cambria" w:hAnsi="Cambria" w:cs="Cambria"/>
          <w:sz w:val="20"/>
          <w:szCs w:val="20"/>
          <w:lang w:val="es-MX"/>
        </w:rPr>
        <w:t xml:space="preserve"> </w:t>
      </w:r>
      <w:r w:rsidR="00BB4A9E" w:rsidRPr="004E3E07">
        <w:rPr>
          <w:rFonts w:ascii="Cambria" w:eastAsia="Cambria" w:hAnsi="Cambria" w:cs="Cambria"/>
          <w:sz w:val="20"/>
          <w:szCs w:val="20"/>
          <w:lang w:val="es-MX"/>
        </w:rPr>
        <w:t xml:space="preserve">constituidas, </w:t>
      </w:r>
      <w:r w:rsidRPr="004E3E07">
        <w:rPr>
          <w:rFonts w:ascii="Cambria" w:eastAsia="Cambria" w:hAnsi="Cambria" w:cs="Cambria"/>
          <w:sz w:val="20"/>
          <w:szCs w:val="20"/>
          <w:lang w:val="es-MX"/>
        </w:rPr>
        <w:t>instaladas</w:t>
      </w:r>
      <w:r w:rsidR="00D84241" w:rsidRPr="004E3E07">
        <w:rPr>
          <w:rFonts w:ascii="Cambria" w:eastAsia="Cambria" w:hAnsi="Cambria" w:cs="Cambria"/>
          <w:sz w:val="20"/>
          <w:szCs w:val="20"/>
          <w:lang w:val="es-MX"/>
        </w:rPr>
        <w:t xml:space="preserve"> y en funciones</w:t>
      </w:r>
      <w:r w:rsidR="00BB4A9E" w:rsidRPr="004E3E07">
        <w:rPr>
          <w:rFonts w:ascii="Cambria" w:eastAsia="Cambria" w:hAnsi="Cambria" w:cs="Cambria"/>
          <w:sz w:val="20"/>
          <w:szCs w:val="20"/>
          <w:lang w:val="es-MX"/>
        </w:rPr>
        <w:t xml:space="preserve">. </w:t>
      </w:r>
      <w:r w:rsidR="00AC3438" w:rsidRPr="004E3E07">
        <w:rPr>
          <w:rFonts w:ascii="Cambria" w:eastAsia="Cambria" w:hAnsi="Cambria" w:cs="Cambria"/>
          <w:sz w:val="20"/>
          <w:szCs w:val="20"/>
          <w:lang w:val="es-MX"/>
        </w:rPr>
        <w:t>L</w:t>
      </w:r>
      <w:r w:rsidR="00BB4A9E" w:rsidRPr="004E3E07">
        <w:rPr>
          <w:rFonts w:ascii="Cambria" w:eastAsia="Cambria" w:hAnsi="Cambria" w:cs="Cambria"/>
          <w:sz w:val="20"/>
          <w:szCs w:val="20"/>
          <w:lang w:val="es-MX"/>
        </w:rPr>
        <w:t xml:space="preserve">a </w:t>
      </w:r>
      <w:r w:rsidR="0058223D" w:rsidRPr="004E3E07">
        <w:rPr>
          <w:rFonts w:ascii="Cambria" w:eastAsia="Cambria" w:hAnsi="Cambria" w:cs="Cambria"/>
          <w:sz w:val="20"/>
          <w:szCs w:val="20"/>
          <w:lang w:val="es-MX"/>
        </w:rPr>
        <w:t>C</w:t>
      </w:r>
      <w:r w:rsidR="00D9693F" w:rsidRPr="004E3E07">
        <w:rPr>
          <w:rFonts w:ascii="Cambria" w:eastAsia="Cambria" w:hAnsi="Cambria" w:cs="Cambria"/>
          <w:sz w:val="20"/>
          <w:szCs w:val="20"/>
          <w:lang w:val="es-MX"/>
        </w:rPr>
        <w:t>IDH</w:t>
      </w:r>
      <w:r w:rsidR="0058223D" w:rsidRPr="004E3E07">
        <w:rPr>
          <w:rFonts w:ascii="Cambria" w:eastAsia="Cambria" w:hAnsi="Cambria" w:cs="Cambria"/>
          <w:sz w:val="20"/>
          <w:szCs w:val="20"/>
          <w:lang w:val="es-MX"/>
        </w:rPr>
        <w:t xml:space="preserve"> </w:t>
      </w:r>
      <w:r w:rsidR="00AC3438" w:rsidRPr="004E3E07">
        <w:rPr>
          <w:rFonts w:ascii="Cambria" w:eastAsia="Cambria" w:hAnsi="Cambria" w:cs="Cambria"/>
          <w:sz w:val="20"/>
          <w:szCs w:val="20"/>
          <w:lang w:val="es-MX"/>
        </w:rPr>
        <w:t>toma nota</w:t>
      </w:r>
      <w:r w:rsidR="0058223D" w:rsidRPr="004E3E07">
        <w:rPr>
          <w:rFonts w:ascii="Cambria" w:eastAsia="Cambria" w:hAnsi="Cambria" w:cs="Cambria"/>
          <w:sz w:val="20"/>
          <w:szCs w:val="20"/>
          <w:lang w:val="es-MX"/>
        </w:rPr>
        <w:t xml:space="preserve"> de</w:t>
      </w:r>
      <w:r w:rsidR="00BB4A9E" w:rsidRPr="004E3E07">
        <w:rPr>
          <w:rFonts w:ascii="Cambria" w:eastAsia="Cambria" w:hAnsi="Cambria" w:cs="Cambria"/>
          <w:sz w:val="20"/>
          <w:szCs w:val="20"/>
          <w:lang w:val="es-MX"/>
        </w:rPr>
        <w:t xml:space="preserve"> que </w:t>
      </w:r>
      <w:r w:rsidR="00670CAE" w:rsidRPr="004E3E07">
        <w:rPr>
          <w:rStyle w:val="normaltextrun"/>
          <w:rFonts w:ascii="Cambria" w:hAnsi="Cambria"/>
          <w:sz w:val="20"/>
          <w:szCs w:val="20"/>
          <w:shd w:val="clear" w:color="auto" w:fill="FFFFFF"/>
          <w:lang w:val="es-MX"/>
        </w:rPr>
        <w:t xml:space="preserve">26 </w:t>
      </w:r>
      <w:r w:rsidR="0058223D" w:rsidRPr="004E3E07">
        <w:rPr>
          <w:rStyle w:val="normaltextrun"/>
          <w:rFonts w:ascii="Cambria" w:hAnsi="Cambria"/>
          <w:sz w:val="20"/>
          <w:szCs w:val="20"/>
          <w:shd w:val="clear" w:color="auto" w:fill="FFFFFF"/>
          <w:lang w:val="es-MX"/>
        </w:rPr>
        <w:t>CLB</w:t>
      </w:r>
      <w:r w:rsidR="00670CAE" w:rsidRPr="004E3E07">
        <w:rPr>
          <w:rStyle w:val="normaltextrun"/>
          <w:rFonts w:ascii="Cambria" w:hAnsi="Cambria"/>
          <w:sz w:val="20"/>
          <w:szCs w:val="20"/>
          <w:shd w:val="clear" w:color="auto" w:fill="FFFFFF"/>
          <w:lang w:val="es-MX"/>
        </w:rPr>
        <w:t xml:space="preserve"> </w:t>
      </w:r>
      <w:r w:rsidR="00D84241" w:rsidRPr="004E3E07">
        <w:rPr>
          <w:rStyle w:val="normaltextrun"/>
          <w:rFonts w:ascii="Cambria" w:hAnsi="Cambria"/>
          <w:sz w:val="20"/>
          <w:szCs w:val="20"/>
          <w:shd w:val="clear" w:color="auto" w:fill="FFFFFF"/>
          <w:lang w:val="es-MX"/>
        </w:rPr>
        <w:t>cuentan con persona titular</w:t>
      </w:r>
      <w:r w:rsidR="00670CAE" w:rsidRPr="004E3E07">
        <w:rPr>
          <w:rStyle w:val="normaltextrun"/>
          <w:rFonts w:ascii="Cambria" w:hAnsi="Cambria"/>
          <w:sz w:val="20"/>
          <w:szCs w:val="20"/>
          <w:shd w:val="clear" w:color="auto" w:fill="FFFFFF"/>
          <w:lang w:val="es-MX"/>
        </w:rPr>
        <w:t xml:space="preserve"> designada</w:t>
      </w:r>
      <w:r w:rsidR="00BB4A9E" w:rsidRPr="004E3E07">
        <w:rPr>
          <w:rStyle w:val="normaltextrun"/>
          <w:rFonts w:ascii="Cambria" w:hAnsi="Cambria"/>
          <w:sz w:val="20"/>
          <w:szCs w:val="20"/>
          <w:shd w:val="clear" w:color="auto" w:fill="FFFFFF"/>
          <w:lang w:val="es-MX"/>
        </w:rPr>
        <w:t xml:space="preserve"> de conformidad con los requerimientos legales</w:t>
      </w:r>
      <w:r w:rsidR="00670CAE" w:rsidRPr="004E3E07">
        <w:rPr>
          <w:rStyle w:val="normaltextrun"/>
          <w:rFonts w:ascii="Cambria" w:hAnsi="Cambria"/>
          <w:sz w:val="20"/>
          <w:szCs w:val="20"/>
          <w:shd w:val="clear" w:color="auto" w:fill="FFFFFF"/>
          <w:lang w:val="es-MX"/>
        </w:rPr>
        <w:t>, mientras que las</w:t>
      </w:r>
      <w:r w:rsidR="00D84241" w:rsidRPr="004E3E07">
        <w:rPr>
          <w:rStyle w:val="normaltextrun"/>
          <w:rFonts w:ascii="Cambria" w:hAnsi="Cambria"/>
          <w:sz w:val="20"/>
          <w:szCs w:val="20"/>
          <w:shd w:val="clear" w:color="auto" w:fill="FFFFFF"/>
          <w:lang w:val="es-MX"/>
        </w:rPr>
        <w:t xml:space="preserve"> </w:t>
      </w:r>
      <w:r w:rsidR="00D9693F" w:rsidRPr="004E3E07">
        <w:rPr>
          <w:rStyle w:val="normaltextrun"/>
          <w:rFonts w:ascii="Cambria" w:hAnsi="Cambria"/>
          <w:sz w:val="20"/>
          <w:szCs w:val="20"/>
          <w:shd w:val="clear" w:color="auto" w:fill="FFFFFF"/>
          <w:lang w:val="es-MX"/>
        </w:rPr>
        <w:t>CLB</w:t>
      </w:r>
      <w:r w:rsidR="00BB4A9E" w:rsidRPr="004E3E07">
        <w:rPr>
          <w:rStyle w:val="normaltextrun"/>
          <w:rFonts w:ascii="Cambria" w:hAnsi="Cambria"/>
          <w:sz w:val="20"/>
          <w:szCs w:val="20"/>
          <w:shd w:val="clear" w:color="auto" w:fill="FFFFFF"/>
          <w:lang w:val="es-MX"/>
        </w:rPr>
        <w:t xml:space="preserve"> de </w:t>
      </w:r>
      <w:r w:rsidR="0058223D" w:rsidRPr="004E3E07">
        <w:rPr>
          <w:rStyle w:val="normaltextrun"/>
          <w:rFonts w:ascii="Cambria" w:hAnsi="Cambria"/>
          <w:sz w:val="20"/>
          <w:szCs w:val="20"/>
          <w:shd w:val="clear" w:color="auto" w:fill="FFFFFF"/>
          <w:lang w:val="es-MX"/>
        </w:rPr>
        <w:t>los estados de Guerrero, Michoacán, Querétaro, San Luis Potosí, Veracruz y Yucatán aún</w:t>
      </w:r>
      <w:r w:rsidR="00670CAE" w:rsidRPr="004E3E07">
        <w:rPr>
          <w:rStyle w:val="normaltextrun"/>
          <w:rFonts w:ascii="Cambria" w:hAnsi="Cambria"/>
          <w:sz w:val="20"/>
          <w:szCs w:val="20"/>
          <w:shd w:val="clear" w:color="auto" w:fill="FFFFFF"/>
          <w:lang w:val="es-MX"/>
        </w:rPr>
        <w:t xml:space="preserve"> tienen una persona encargada de despacho</w:t>
      </w:r>
      <w:r w:rsidR="00670CAE" w:rsidRPr="004E3E07">
        <w:rPr>
          <w:rStyle w:val="FootnoteReference"/>
          <w:rFonts w:ascii="Cambria" w:hAnsi="Cambria"/>
          <w:sz w:val="20"/>
          <w:szCs w:val="20"/>
          <w:shd w:val="clear" w:color="auto" w:fill="FFFFFF"/>
          <w:lang w:val="es-MX"/>
        </w:rPr>
        <w:footnoteReference w:id="75"/>
      </w:r>
      <w:r w:rsidR="00670CAE" w:rsidRPr="004E3E07">
        <w:rPr>
          <w:rStyle w:val="normaltextrun"/>
          <w:rFonts w:ascii="Cambria" w:hAnsi="Cambria"/>
          <w:sz w:val="20"/>
          <w:szCs w:val="20"/>
          <w:shd w:val="clear" w:color="auto" w:fill="FFFFFF"/>
          <w:lang w:val="es-MX"/>
        </w:rPr>
        <w:t xml:space="preserve">. </w:t>
      </w:r>
      <w:r w:rsidR="00AC3438" w:rsidRPr="004E3E07">
        <w:rPr>
          <w:rStyle w:val="normaltextrun"/>
          <w:rFonts w:ascii="Cambria" w:hAnsi="Cambria"/>
          <w:sz w:val="20"/>
          <w:szCs w:val="20"/>
          <w:shd w:val="clear" w:color="auto" w:fill="FFFFFF"/>
          <w:lang w:val="es-MX"/>
        </w:rPr>
        <w:t>En este sentido, la Comisión espera que México adopte las medidas necesarias para adelantar los procedimientos de designación establecidos en su legislación interna a fin de asegurar que todas CLB cuenten con una persona titular.</w:t>
      </w:r>
      <w:r w:rsidR="00AC3438" w:rsidRPr="004E3E07">
        <w:rPr>
          <w:rStyle w:val="normaltextrun"/>
          <w:rFonts w:ascii="Cambria" w:eastAsia="Cambria" w:hAnsi="Cambria" w:cs="Cambria"/>
          <w:sz w:val="20"/>
          <w:szCs w:val="20"/>
          <w:lang w:val="es-MX"/>
        </w:rPr>
        <w:t xml:space="preserve"> </w:t>
      </w:r>
      <w:r w:rsidR="0058223D" w:rsidRPr="004E3E07">
        <w:rPr>
          <w:rStyle w:val="normaltextrun"/>
          <w:rFonts w:ascii="Cambria" w:hAnsi="Cambria"/>
          <w:sz w:val="20"/>
          <w:szCs w:val="20"/>
          <w:shd w:val="clear" w:color="auto" w:fill="FFFFFF"/>
          <w:lang w:val="es-MX"/>
        </w:rPr>
        <w:t>Por otro lado, la C</w:t>
      </w:r>
      <w:r w:rsidR="00D6076F" w:rsidRPr="004E3E07">
        <w:rPr>
          <w:rStyle w:val="normaltextrun"/>
          <w:rFonts w:ascii="Cambria" w:hAnsi="Cambria"/>
          <w:sz w:val="20"/>
          <w:szCs w:val="20"/>
          <w:shd w:val="clear" w:color="auto" w:fill="FFFFFF"/>
          <w:lang w:val="es-MX"/>
        </w:rPr>
        <w:t xml:space="preserve">IDH observa que en 2021 se otorgaron más de 580 millones de pesos mexicanos en subsidios federales para fortalecer las capacidades de las comisiones de búsqueda, y observa que la mayoría de ellas funcionan a través de los mismos. </w:t>
      </w:r>
      <w:r w:rsidR="00AC3438" w:rsidRPr="004E3E07">
        <w:rPr>
          <w:rStyle w:val="normaltextrun"/>
          <w:rFonts w:ascii="Cambria" w:hAnsi="Cambria"/>
          <w:sz w:val="20"/>
          <w:szCs w:val="20"/>
          <w:shd w:val="clear" w:color="auto" w:fill="FFFFFF"/>
          <w:lang w:val="es-MX"/>
        </w:rPr>
        <w:t>La CIDH toma nota de los llamamientos de la CNB a los congresos a fin de asegurar que las CLB cuenten con las partidas presupuestarias necesarias para un debido desempeño de sus funciones</w:t>
      </w:r>
      <w:r w:rsidR="00AC3438" w:rsidRPr="00384E2A">
        <w:rPr>
          <w:rStyle w:val="normaltextrun"/>
          <w:rFonts w:ascii="Cambria" w:hAnsi="Cambria"/>
          <w:sz w:val="20"/>
          <w:szCs w:val="20"/>
          <w:shd w:val="clear" w:color="auto" w:fill="FFFFFF"/>
          <w:lang w:val="es-MX"/>
        </w:rPr>
        <w:t xml:space="preserve">. </w:t>
      </w:r>
      <w:r w:rsidR="007B69C1" w:rsidRPr="00384E2A">
        <w:rPr>
          <w:rStyle w:val="normaltextrun"/>
          <w:rFonts w:ascii="Cambria" w:eastAsia="Cambria" w:hAnsi="Cambria" w:cs="Cambria"/>
          <w:sz w:val="20"/>
          <w:szCs w:val="20"/>
          <w:lang w:val="es-MX"/>
        </w:rPr>
        <w:t>En sus observaciones al proyecto del presente informe, el Estado indicó que si bien el Estado reconoce los retos en materia de recursos financieros y humanos para su operación, se precisa que tanto el Gobierno federal, a través de la Comisión Nacional de Búsqueda de Personas (CNBP), y el Sistema Nacional de Búsqueda de SNB, han reiterado a las y los gobernadores de las entidades federativas su obligación en la construcción, fortalecimiento y mantenimiento de las CLB</w:t>
      </w:r>
      <w:r w:rsidR="007B69C1" w:rsidRPr="00384E2A">
        <w:rPr>
          <w:rStyle w:val="FootnoteReference"/>
          <w:rFonts w:ascii="Cambria" w:eastAsia="Cambria" w:hAnsi="Cambria" w:cs="Cambria"/>
          <w:sz w:val="20"/>
          <w:szCs w:val="20"/>
          <w:lang w:val="es-MX"/>
        </w:rPr>
        <w:footnoteReference w:id="76"/>
      </w:r>
      <w:r w:rsidR="007B69C1" w:rsidRPr="00384E2A">
        <w:rPr>
          <w:rStyle w:val="normaltextrun"/>
          <w:rFonts w:ascii="Cambria" w:eastAsia="Cambria" w:hAnsi="Cambria" w:cs="Cambria"/>
          <w:sz w:val="20"/>
          <w:szCs w:val="20"/>
          <w:lang w:val="es-MX"/>
        </w:rPr>
        <w:t>.</w:t>
      </w:r>
      <w:r w:rsidR="007B69C1">
        <w:rPr>
          <w:rStyle w:val="normaltextrun"/>
          <w:rFonts w:ascii="Cambria" w:eastAsia="Cambria" w:hAnsi="Cambria" w:cs="Cambria"/>
          <w:sz w:val="20"/>
          <w:szCs w:val="20"/>
          <w:lang w:val="es-MX"/>
        </w:rPr>
        <w:t xml:space="preserve"> </w:t>
      </w:r>
      <w:r w:rsidR="00AC3438" w:rsidRPr="007B69C1">
        <w:rPr>
          <w:rStyle w:val="normaltextrun"/>
          <w:rFonts w:ascii="Cambria" w:hAnsi="Cambria"/>
          <w:sz w:val="20"/>
          <w:szCs w:val="20"/>
          <w:shd w:val="clear" w:color="auto" w:fill="FFFFFF"/>
          <w:lang w:val="es-MX"/>
        </w:rPr>
        <w:t>En estos términos, la Comisión llama al Estado a tomar las medidas necesarias de conformidad con su normativa interna para garantizar que las CLB cuenten con recursos humanos, financieros, técnicos y científicos adecuados sin importar el orden de gobierno al que pertenezcan.</w:t>
      </w:r>
    </w:p>
    <w:p w14:paraId="1460697A" w14:textId="6DC669DB" w:rsidR="002277F5" w:rsidRPr="004E3E07" w:rsidRDefault="007E25FF">
      <w:pPr>
        <w:numPr>
          <w:ilvl w:val="0"/>
          <w:numId w:val="7"/>
        </w:numPr>
        <w:pBdr>
          <w:top w:val="nil"/>
          <w:left w:val="nil"/>
          <w:bottom w:val="nil"/>
          <w:right w:val="nil"/>
          <w:between w:val="nil"/>
        </w:pBdr>
        <w:spacing w:after="240" w:line="240" w:lineRule="auto"/>
        <w:ind w:left="1068"/>
        <w:jc w:val="both"/>
        <w:rPr>
          <w:rFonts w:ascii="Cambria" w:eastAsia="Cambria" w:hAnsi="Cambria" w:cs="Cambria"/>
          <w:sz w:val="20"/>
          <w:szCs w:val="20"/>
          <w:lang w:val="es-MX"/>
        </w:rPr>
      </w:pPr>
      <w:r w:rsidRPr="004E3E07">
        <w:rPr>
          <w:rFonts w:ascii="Cambria" w:eastAsia="Cambria" w:hAnsi="Cambria" w:cs="Cambria"/>
          <w:sz w:val="20"/>
          <w:szCs w:val="20"/>
          <w:lang w:val="es-MX"/>
        </w:rPr>
        <w:t xml:space="preserve">Fiscalías Especializadas para la investigación de delitos </w:t>
      </w:r>
      <w:r w:rsidR="006753BE" w:rsidRPr="004E3E07">
        <w:rPr>
          <w:rFonts w:ascii="Cambria" w:eastAsia="Cambria" w:hAnsi="Cambria" w:cs="Cambria"/>
          <w:sz w:val="20"/>
          <w:szCs w:val="20"/>
          <w:lang w:val="es-MX"/>
        </w:rPr>
        <w:t xml:space="preserve">de desaparición: </w:t>
      </w:r>
      <w:r w:rsidR="0012409A" w:rsidRPr="004E3E07">
        <w:rPr>
          <w:rFonts w:ascii="Cambria" w:eastAsia="Cambria" w:hAnsi="Cambria" w:cs="Cambria"/>
          <w:sz w:val="20"/>
          <w:szCs w:val="20"/>
          <w:lang w:val="es-MX"/>
        </w:rPr>
        <w:t>El Estado reiteró información señalando la creación de la Fiscalía Especializada en investigación de Delitos de Desaparición Forzada</w:t>
      </w:r>
      <w:r w:rsidR="006753BE" w:rsidRPr="004E3E07">
        <w:rPr>
          <w:rFonts w:ascii="Cambria" w:eastAsia="Cambria" w:hAnsi="Cambria" w:cs="Cambria"/>
          <w:sz w:val="20"/>
          <w:szCs w:val="20"/>
          <w:lang w:val="es-MX"/>
        </w:rPr>
        <w:t xml:space="preserve"> en 2018, la cual se encuentra</w:t>
      </w:r>
      <w:r w:rsidR="0012409A" w:rsidRPr="004E3E07">
        <w:rPr>
          <w:rFonts w:ascii="Cambria" w:eastAsia="Cambria" w:hAnsi="Cambria" w:cs="Cambria"/>
          <w:sz w:val="20"/>
          <w:szCs w:val="20"/>
          <w:lang w:val="es-MX"/>
        </w:rPr>
        <w:t xml:space="preserve"> adscrita a la FGR</w:t>
      </w:r>
      <w:r w:rsidR="003E6C2B" w:rsidRPr="004E3E07">
        <w:rPr>
          <w:rStyle w:val="FootnoteReference"/>
          <w:rFonts w:ascii="Cambria" w:eastAsia="Cambria" w:hAnsi="Cambria" w:cs="Cambria"/>
          <w:sz w:val="20"/>
          <w:szCs w:val="20"/>
          <w:lang w:val="es-MX"/>
        </w:rPr>
        <w:footnoteReference w:id="77"/>
      </w:r>
      <w:r w:rsidR="0012409A" w:rsidRPr="004E3E07">
        <w:rPr>
          <w:rFonts w:ascii="Cambria" w:eastAsia="Cambria" w:hAnsi="Cambria" w:cs="Cambria"/>
          <w:sz w:val="20"/>
          <w:szCs w:val="20"/>
          <w:lang w:val="es-MX"/>
        </w:rPr>
        <w:t xml:space="preserve">. </w:t>
      </w:r>
      <w:r w:rsidR="00BB4A9E" w:rsidRPr="004E3E07">
        <w:rPr>
          <w:rFonts w:ascii="Cambria" w:eastAsia="Cambria" w:hAnsi="Cambria" w:cs="Cambria"/>
          <w:sz w:val="20"/>
          <w:szCs w:val="20"/>
          <w:lang w:val="es-MX"/>
        </w:rPr>
        <w:t>A pesar de lo anterior, l</w:t>
      </w:r>
      <w:r w:rsidR="0012409A" w:rsidRPr="004E3E07">
        <w:rPr>
          <w:rFonts w:ascii="Cambria" w:eastAsia="Cambria" w:hAnsi="Cambria" w:cs="Cambria"/>
          <w:sz w:val="20"/>
          <w:szCs w:val="20"/>
          <w:lang w:val="es-MX"/>
        </w:rPr>
        <w:t xml:space="preserve">a CIDH </w:t>
      </w:r>
      <w:r w:rsidR="006753BE" w:rsidRPr="004E3E07">
        <w:rPr>
          <w:rFonts w:ascii="Cambria" w:eastAsia="Cambria" w:hAnsi="Cambria" w:cs="Cambria"/>
          <w:sz w:val="20"/>
          <w:szCs w:val="20"/>
          <w:lang w:val="es-MX"/>
        </w:rPr>
        <w:t>no cuenta con información</w:t>
      </w:r>
      <w:r w:rsidR="0012409A" w:rsidRPr="004E3E07">
        <w:rPr>
          <w:rFonts w:ascii="Cambria" w:eastAsia="Cambria" w:hAnsi="Cambria" w:cs="Cambria"/>
          <w:sz w:val="20"/>
          <w:szCs w:val="20"/>
          <w:lang w:val="es-MX"/>
        </w:rPr>
        <w:t xml:space="preserve"> </w:t>
      </w:r>
      <w:r w:rsidR="006753BE" w:rsidRPr="004E3E07">
        <w:rPr>
          <w:rFonts w:ascii="Cambria" w:eastAsia="Cambria" w:hAnsi="Cambria" w:cs="Cambria"/>
          <w:sz w:val="20"/>
          <w:szCs w:val="20"/>
          <w:lang w:val="es-MX"/>
        </w:rPr>
        <w:t xml:space="preserve">oficial </w:t>
      </w:r>
      <w:r w:rsidR="007C702D" w:rsidRPr="004E3E07">
        <w:rPr>
          <w:rFonts w:ascii="Cambria" w:eastAsia="Cambria" w:hAnsi="Cambria" w:cs="Cambria"/>
          <w:sz w:val="20"/>
          <w:szCs w:val="20"/>
          <w:lang w:val="es-MX"/>
        </w:rPr>
        <w:t xml:space="preserve">actualizada </w:t>
      </w:r>
      <w:r w:rsidR="0012409A" w:rsidRPr="004E3E07">
        <w:rPr>
          <w:rFonts w:ascii="Cambria" w:eastAsia="Cambria" w:hAnsi="Cambria" w:cs="Cambria"/>
          <w:sz w:val="20"/>
          <w:szCs w:val="20"/>
          <w:lang w:val="es-MX"/>
        </w:rPr>
        <w:t>sobre el e</w:t>
      </w:r>
      <w:r w:rsidR="007C702D" w:rsidRPr="004E3E07">
        <w:rPr>
          <w:rFonts w:ascii="Cambria" w:eastAsia="Cambria" w:hAnsi="Cambria" w:cs="Cambria"/>
          <w:sz w:val="20"/>
          <w:szCs w:val="20"/>
          <w:lang w:val="es-MX"/>
        </w:rPr>
        <w:t>s</w:t>
      </w:r>
      <w:r w:rsidR="006753BE" w:rsidRPr="004E3E07">
        <w:rPr>
          <w:rFonts w:ascii="Cambria" w:eastAsia="Cambria" w:hAnsi="Cambria" w:cs="Cambria"/>
          <w:sz w:val="20"/>
          <w:szCs w:val="20"/>
          <w:lang w:val="es-MX"/>
        </w:rPr>
        <w:t xml:space="preserve">tatus </w:t>
      </w:r>
      <w:r w:rsidR="0012409A" w:rsidRPr="004E3E07">
        <w:rPr>
          <w:rFonts w:ascii="Cambria" w:eastAsia="Cambria" w:hAnsi="Cambria" w:cs="Cambria"/>
          <w:sz w:val="20"/>
          <w:szCs w:val="20"/>
          <w:lang w:val="es-MX"/>
        </w:rPr>
        <w:t xml:space="preserve">de creación </w:t>
      </w:r>
      <w:r w:rsidR="00BB4A9E" w:rsidRPr="004E3E07">
        <w:rPr>
          <w:rFonts w:ascii="Cambria" w:eastAsia="Cambria" w:hAnsi="Cambria" w:cs="Cambria"/>
          <w:sz w:val="20"/>
          <w:szCs w:val="20"/>
          <w:lang w:val="es-MX"/>
        </w:rPr>
        <w:t xml:space="preserve">y funcionamiento </w:t>
      </w:r>
      <w:r w:rsidR="0012409A" w:rsidRPr="004E3E07">
        <w:rPr>
          <w:rFonts w:ascii="Cambria" w:eastAsia="Cambria" w:hAnsi="Cambria" w:cs="Cambria"/>
          <w:sz w:val="20"/>
          <w:szCs w:val="20"/>
          <w:lang w:val="es-MX"/>
        </w:rPr>
        <w:t>de las Fiscalías Especializadas</w:t>
      </w:r>
      <w:r w:rsidR="006753BE" w:rsidRPr="004E3E07">
        <w:rPr>
          <w:rFonts w:ascii="Cambria" w:eastAsia="Cambria" w:hAnsi="Cambria" w:cs="Cambria"/>
          <w:sz w:val="20"/>
          <w:szCs w:val="20"/>
          <w:lang w:val="es-MX"/>
        </w:rPr>
        <w:t xml:space="preserve"> en investigación de delitos de desaparición</w:t>
      </w:r>
      <w:r w:rsidR="0012409A" w:rsidRPr="004E3E07">
        <w:rPr>
          <w:rFonts w:ascii="Cambria" w:eastAsia="Cambria" w:hAnsi="Cambria" w:cs="Cambria"/>
          <w:sz w:val="20"/>
          <w:szCs w:val="20"/>
          <w:lang w:val="es-MX"/>
        </w:rPr>
        <w:t xml:space="preserve"> en las entidades federativas</w:t>
      </w:r>
      <w:r w:rsidR="00BB4A9E" w:rsidRPr="004E3E07">
        <w:rPr>
          <w:rFonts w:ascii="Cambria" w:eastAsia="Cambria" w:hAnsi="Cambria" w:cs="Cambria"/>
          <w:sz w:val="20"/>
          <w:szCs w:val="20"/>
          <w:lang w:val="es-MX"/>
        </w:rPr>
        <w:t xml:space="preserve">, y </w:t>
      </w:r>
      <w:r w:rsidR="00D864A7" w:rsidRPr="004E3E07">
        <w:rPr>
          <w:rFonts w:ascii="Cambria" w:eastAsia="Cambria" w:hAnsi="Cambria" w:cs="Cambria"/>
          <w:sz w:val="20"/>
          <w:szCs w:val="20"/>
          <w:lang w:val="es-MX"/>
        </w:rPr>
        <w:t>espera que e</w:t>
      </w:r>
      <w:r w:rsidR="00BB4A9E" w:rsidRPr="004E3E07">
        <w:rPr>
          <w:rFonts w:ascii="Cambria" w:eastAsia="Cambria" w:hAnsi="Cambria" w:cs="Cambria"/>
          <w:sz w:val="20"/>
          <w:szCs w:val="20"/>
          <w:lang w:val="es-MX"/>
        </w:rPr>
        <w:t xml:space="preserve">l Estado mexicano </w:t>
      </w:r>
      <w:r w:rsidR="005E3E22" w:rsidRPr="004E3E07">
        <w:rPr>
          <w:rFonts w:ascii="Cambria" w:eastAsia="Cambria" w:hAnsi="Cambria" w:cs="Cambria"/>
          <w:sz w:val="20"/>
          <w:szCs w:val="20"/>
          <w:lang w:val="es-MX"/>
        </w:rPr>
        <w:t xml:space="preserve">reporte </w:t>
      </w:r>
      <w:r w:rsidR="00D864A7" w:rsidRPr="004E3E07">
        <w:rPr>
          <w:rFonts w:ascii="Cambria" w:eastAsia="Cambria" w:hAnsi="Cambria" w:cs="Cambria"/>
          <w:sz w:val="20"/>
          <w:szCs w:val="20"/>
          <w:lang w:val="es-MX"/>
        </w:rPr>
        <w:t>en sus próximos</w:t>
      </w:r>
      <w:r w:rsidR="005E3E22" w:rsidRPr="004E3E07">
        <w:rPr>
          <w:rFonts w:ascii="Cambria" w:eastAsia="Cambria" w:hAnsi="Cambria" w:cs="Cambria"/>
          <w:sz w:val="20"/>
          <w:szCs w:val="20"/>
          <w:lang w:val="es-MX"/>
        </w:rPr>
        <w:t xml:space="preserve"> informes </w:t>
      </w:r>
      <w:r w:rsidR="00BB4A9E" w:rsidRPr="004E3E07">
        <w:rPr>
          <w:rFonts w:ascii="Cambria" w:eastAsia="Cambria" w:hAnsi="Cambria" w:cs="Cambria"/>
          <w:sz w:val="20"/>
          <w:szCs w:val="20"/>
          <w:lang w:val="es-MX"/>
        </w:rPr>
        <w:t>a este respecto.</w:t>
      </w:r>
    </w:p>
    <w:p w14:paraId="355743CD" w14:textId="77777777" w:rsidR="007B69C1" w:rsidRDefault="007E25FF" w:rsidP="007B69C1">
      <w:pPr>
        <w:numPr>
          <w:ilvl w:val="0"/>
          <w:numId w:val="7"/>
        </w:numPr>
        <w:pBdr>
          <w:top w:val="nil"/>
          <w:left w:val="nil"/>
          <w:bottom w:val="nil"/>
          <w:right w:val="nil"/>
          <w:between w:val="nil"/>
        </w:pBdr>
        <w:spacing w:after="240" w:line="240" w:lineRule="auto"/>
        <w:ind w:left="1068"/>
        <w:jc w:val="both"/>
        <w:rPr>
          <w:rFonts w:ascii="Cambria" w:eastAsia="Cambria" w:hAnsi="Cambria" w:cs="Cambria"/>
          <w:sz w:val="20"/>
          <w:szCs w:val="20"/>
          <w:lang w:val="es-MX"/>
        </w:rPr>
      </w:pPr>
      <w:r w:rsidRPr="004E3E07">
        <w:rPr>
          <w:rFonts w:ascii="Cambria" w:eastAsia="Cambria" w:hAnsi="Cambria" w:cs="Cambria"/>
          <w:sz w:val="20"/>
          <w:szCs w:val="20"/>
          <w:lang w:val="es-MX"/>
        </w:rPr>
        <w:t xml:space="preserve">Consejo Nacional Ciudadano: </w:t>
      </w:r>
      <w:r w:rsidR="00B56B4B" w:rsidRPr="004E3E07">
        <w:rPr>
          <w:rFonts w:ascii="Cambria" w:eastAsia="Cambria" w:hAnsi="Cambria" w:cs="Cambria"/>
          <w:sz w:val="20"/>
          <w:szCs w:val="20"/>
          <w:lang w:val="es-MX"/>
        </w:rPr>
        <w:t>En s</w:t>
      </w:r>
      <w:r w:rsidR="00854CA8" w:rsidRPr="004E3E07">
        <w:rPr>
          <w:rFonts w:ascii="Cambria" w:eastAsia="Cambria" w:hAnsi="Cambria" w:cs="Cambria"/>
          <w:sz w:val="20"/>
          <w:szCs w:val="20"/>
          <w:lang w:val="es-MX"/>
        </w:rPr>
        <w:t xml:space="preserve">u informe de seguimiento de 2020, </w:t>
      </w:r>
      <w:r w:rsidR="00B56B4B" w:rsidRPr="004E3E07">
        <w:rPr>
          <w:rFonts w:ascii="Cambria" w:eastAsia="Cambria" w:hAnsi="Cambria" w:cs="Cambria"/>
          <w:sz w:val="20"/>
          <w:szCs w:val="20"/>
          <w:lang w:val="es-MX"/>
        </w:rPr>
        <w:t>l</w:t>
      </w:r>
      <w:r w:rsidR="00BB4A9E" w:rsidRPr="004E3E07">
        <w:rPr>
          <w:rFonts w:ascii="Cambria" w:eastAsia="Cambria" w:hAnsi="Cambria" w:cs="Cambria"/>
          <w:sz w:val="20"/>
          <w:szCs w:val="20"/>
          <w:lang w:val="es-MX"/>
        </w:rPr>
        <w:t>a C</w:t>
      </w:r>
      <w:r w:rsidR="002F2AF4" w:rsidRPr="004E3E07">
        <w:rPr>
          <w:rFonts w:ascii="Cambria" w:eastAsia="Cambria" w:hAnsi="Cambria" w:cs="Cambria"/>
          <w:sz w:val="20"/>
          <w:szCs w:val="20"/>
          <w:lang w:val="es-MX"/>
        </w:rPr>
        <w:t xml:space="preserve">IDH </w:t>
      </w:r>
      <w:r w:rsidR="00854CA8" w:rsidRPr="004E3E07">
        <w:rPr>
          <w:rFonts w:ascii="Cambria" w:eastAsia="Cambria" w:hAnsi="Cambria" w:cs="Cambria"/>
          <w:sz w:val="20"/>
          <w:szCs w:val="20"/>
          <w:lang w:val="es-MX"/>
        </w:rPr>
        <w:t>señaló que el</w:t>
      </w:r>
      <w:r w:rsidR="00072E78" w:rsidRPr="004E3E07">
        <w:rPr>
          <w:rFonts w:ascii="Cambria" w:eastAsia="Cambria" w:hAnsi="Cambria" w:cs="Cambria"/>
          <w:sz w:val="20"/>
          <w:szCs w:val="20"/>
          <w:lang w:val="es-MX"/>
        </w:rPr>
        <w:t xml:space="preserve"> plazo legal en el encargo </w:t>
      </w:r>
      <w:r w:rsidR="00854CA8" w:rsidRPr="004E3E07">
        <w:rPr>
          <w:rFonts w:ascii="Cambria" w:eastAsia="Cambria" w:hAnsi="Cambria" w:cs="Cambria"/>
          <w:sz w:val="20"/>
          <w:szCs w:val="20"/>
          <w:lang w:val="es-MX"/>
        </w:rPr>
        <w:t xml:space="preserve">de las personas integrantes del Consejo Nacional Ciudadano vencería </w:t>
      </w:r>
      <w:r w:rsidR="00871D48" w:rsidRPr="004E3E07">
        <w:rPr>
          <w:rFonts w:ascii="Cambria" w:eastAsia="Cambria" w:hAnsi="Cambria" w:cs="Cambria"/>
          <w:sz w:val="20"/>
          <w:szCs w:val="20"/>
          <w:lang w:val="es-MX"/>
        </w:rPr>
        <w:t>en abril de 2021</w:t>
      </w:r>
      <w:r w:rsidR="00072E78" w:rsidRPr="004E3E07">
        <w:rPr>
          <w:rStyle w:val="FootnoteReference"/>
          <w:rFonts w:ascii="Cambria" w:eastAsia="Cambria" w:hAnsi="Cambria" w:cs="Cambria"/>
          <w:sz w:val="20"/>
          <w:szCs w:val="20"/>
          <w:lang w:val="es-MX"/>
        </w:rPr>
        <w:footnoteReference w:id="78"/>
      </w:r>
      <w:r w:rsidR="00871D48" w:rsidRPr="004E3E07">
        <w:rPr>
          <w:rFonts w:ascii="Cambria" w:eastAsia="Cambria" w:hAnsi="Cambria" w:cs="Cambria"/>
          <w:sz w:val="20"/>
          <w:szCs w:val="20"/>
          <w:lang w:val="es-MX"/>
        </w:rPr>
        <w:t xml:space="preserve">. </w:t>
      </w:r>
      <w:r w:rsidR="00072E78" w:rsidRPr="004E3E07">
        <w:rPr>
          <w:rFonts w:ascii="Cambria" w:eastAsia="Cambria" w:hAnsi="Cambria" w:cs="Cambria"/>
          <w:sz w:val="20"/>
          <w:szCs w:val="20"/>
          <w:lang w:val="es-MX"/>
        </w:rPr>
        <w:t>Al respecto, l</w:t>
      </w:r>
      <w:r w:rsidR="007E4F64" w:rsidRPr="004E3E07">
        <w:rPr>
          <w:rFonts w:ascii="Cambria" w:eastAsia="Cambria" w:hAnsi="Cambria" w:cs="Cambria"/>
          <w:sz w:val="20"/>
          <w:szCs w:val="20"/>
          <w:lang w:val="es-MX"/>
        </w:rPr>
        <w:t>a Comisión observa que</w:t>
      </w:r>
      <w:r w:rsidR="00072E78" w:rsidRPr="004E3E07">
        <w:rPr>
          <w:rFonts w:ascii="Cambria" w:eastAsia="Cambria" w:hAnsi="Cambria" w:cs="Cambria"/>
          <w:sz w:val="20"/>
          <w:szCs w:val="20"/>
          <w:lang w:val="es-MX"/>
        </w:rPr>
        <w:t xml:space="preserve"> el Senado de la República designó a las nuevas personas integrantes </w:t>
      </w:r>
      <w:r w:rsidR="00854CA8" w:rsidRPr="004E3E07">
        <w:rPr>
          <w:rFonts w:ascii="Cambria" w:eastAsia="Cambria" w:hAnsi="Cambria" w:cs="Cambria"/>
          <w:sz w:val="20"/>
          <w:szCs w:val="20"/>
          <w:lang w:val="es-MX"/>
        </w:rPr>
        <w:t xml:space="preserve">oportunamente </w:t>
      </w:r>
      <w:r w:rsidR="00072E78" w:rsidRPr="004E3E07">
        <w:rPr>
          <w:rFonts w:ascii="Cambria" w:eastAsia="Cambria" w:hAnsi="Cambria" w:cs="Cambria"/>
          <w:sz w:val="20"/>
          <w:szCs w:val="20"/>
          <w:lang w:val="es-MX"/>
        </w:rPr>
        <w:t>en marzo de 2021, las cuales estarán en funciones por un periodo de tres años</w:t>
      </w:r>
      <w:r w:rsidR="00072E78" w:rsidRPr="004E3E07">
        <w:rPr>
          <w:rStyle w:val="FootnoteReference"/>
          <w:rFonts w:ascii="Cambria" w:eastAsia="Cambria" w:hAnsi="Cambria" w:cs="Cambria"/>
          <w:sz w:val="20"/>
          <w:szCs w:val="20"/>
          <w:lang w:val="es-MX"/>
        </w:rPr>
        <w:footnoteReference w:id="79"/>
      </w:r>
      <w:r w:rsidR="00072E78" w:rsidRPr="004E3E07">
        <w:rPr>
          <w:rFonts w:ascii="Cambria" w:eastAsia="Cambria" w:hAnsi="Cambria" w:cs="Cambria"/>
          <w:sz w:val="20"/>
          <w:szCs w:val="20"/>
          <w:lang w:val="es-MX"/>
        </w:rPr>
        <w:t xml:space="preserve">. </w:t>
      </w:r>
    </w:p>
    <w:p w14:paraId="14606980" w14:textId="5356D128" w:rsidR="002277F5" w:rsidRPr="008321BE" w:rsidRDefault="007E25FF" w:rsidP="007B69C1">
      <w:pPr>
        <w:numPr>
          <w:ilvl w:val="0"/>
          <w:numId w:val="7"/>
        </w:numPr>
        <w:pBdr>
          <w:top w:val="nil"/>
          <w:left w:val="nil"/>
          <w:bottom w:val="nil"/>
          <w:right w:val="nil"/>
          <w:between w:val="nil"/>
        </w:pBdr>
        <w:spacing w:after="240" w:line="240" w:lineRule="auto"/>
        <w:ind w:left="1068"/>
        <w:jc w:val="both"/>
        <w:rPr>
          <w:rFonts w:ascii="Cambria" w:eastAsia="Cambria" w:hAnsi="Cambria" w:cs="Cambria"/>
          <w:sz w:val="20"/>
          <w:szCs w:val="20"/>
          <w:lang w:val="es-MX"/>
        </w:rPr>
      </w:pPr>
      <w:r w:rsidRPr="007B69C1">
        <w:rPr>
          <w:rFonts w:ascii="Cambria" w:eastAsia="Cambria" w:hAnsi="Cambria" w:cs="Cambria"/>
          <w:sz w:val="20"/>
          <w:szCs w:val="20"/>
          <w:lang w:val="es-MX"/>
        </w:rPr>
        <w:t>Grupos de búsqueda</w:t>
      </w:r>
      <w:r w:rsidRPr="008321BE">
        <w:rPr>
          <w:rFonts w:ascii="Cambria" w:eastAsia="Cambria" w:hAnsi="Cambria" w:cs="Cambria"/>
          <w:sz w:val="20"/>
          <w:szCs w:val="20"/>
          <w:lang w:val="es-MX"/>
        </w:rPr>
        <w:t>:</w:t>
      </w:r>
      <w:r w:rsidR="00C57F17" w:rsidRPr="008321BE">
        <w:rPr>
          <w:rFonts w:ascii="Cambria" w:eastAsia="Cambria" w:hAnsi="Cambria" w:cs="Cambria"/>
          <w:sz w:val="20"/>
          <w:szCs w:val="20"/>
          <w:lang w:val="es-MX"/>
        </w:rPr>
        <w:t xml:space="preserve"> </w:t>
      </w:r>
      <w:r w:rsidR="007B69C1" w:rsidRPr="008321BE">
        <w:rPr>
          <w:rFonts w:ascii="Cambria" w:eastAsia="Cambria" w:hAnsi="Cambria" w:cs="Cambria"/>
          <w:sz w:val="20"/>
          <w:szCs w:val="20"/>
          <w:lang w:val="es-MX"/>
        </w:rPr>
        <w:t>En sus observaciones al proyecto del presente informe, el Estado informó que la CNBP se encuentra en el proceso de diseñar los lineamientos que permitan a cada orden de gobierno determinar el número de integrantes que conformarán los Grupos de Búsqueda. No obstante,  se destaca  que las acciones de búsqueda son dinámicas, es decir que cada acción es particular de acuerdo con las necesidades del terreno y del propio caso, así, se determinarán los recursos humanos y materiales para el tipo de búsqueda a desarrollar de manera terrestre, acuática, aérea, entre otras. Asimismo indicó que desde el 8 de febrero de 2019 al 04 de noviembre de 2021, la CNB ha implementado 2,260 jornadas de búsqueda en campo, en 28 entidades federativas y 314 municipios; de dichas jornadas, 18 han sido en contextos acuáticos</w:t>
      </w:r>
      <w:r w:rsidR="007B69C1" w:rsidRPr="008321BE">
        <w:rPr>
          <w:rStyle w:val="FootnoteReference"/>
          <w:rFonts w:ascii="Cambria" w:eastAsia="Cambria" w:hAnsi="Cambria" w:cs="Cambria"/>
          <w:sz w:val="20"/>
          <w:szCs w:val="20"/>
          <w:lang w:val="es-MX"/>
        </w:rPr>
        <w:footnoteReference w:id="80"/>
      </w:r>
      <w:r w:rsidR="007B69C1" w:rsidRPr="008321BE">
        <w:rPr>
          <w:rFonts w:ascii="Cambria" w:eastAsia="Cambria" w:hAnsi="Cambria" w:cs="Cambria"/>
          <w:sz w:val="20"/>
          <w:szCs w:val="20"/>
          <w:lang w:val="es-MX"/>
        </w:rPr>
        <w:t xml:space="preserve">. </w:t>
      </w:r>
      <w:r w:rsidR="002F7CE8" w:rsidRPr="008321BE">
        <w:rPr>
          <w:rFonts w:ascii="Cambria" w:eastAsia="Cambria" w:hAnsi="Cambria" w:cs="Cambria"/>
          <w:sz w:val="20"/>
          <w:szCs w:val="20"/>
          <w:lang w:val="es-MX"/>
        </w:rPr>
        <w:t>Para el emprendimiento de estas acciones,</w:t>
      </w:r>
      <w:r w:rsidR="00C57F17" w:rsidRPr="008321BE">
        <w:rPr>
          <w:rFonts w:ascii="Cambria" w:eastAsia="Cambria" w:hAnsi="Cambria" w:cs="Cambria"/>
          <w:sz w:val="20"/>
          <w:szCs w:val="20"/>
          <w:lang w:val="es-MX"/>
        </w:rPr>
        <w:t xml:space="preserve"> </w:t>
      </w:r>
      <w:r w:rsidR="002F7CE8" w:rsidRPr="008321BE">
        <w:rPr>
          <w:rFonts w:ascii="Cambria" w:eastAsia="Cambria" w:hAnsi="Cambria" w:cs="Cambria"/>
          <w:sz w:val="20"/>
          <w:szCs w:val="20"/>
          <w:lang w:val="es-MX"/>
        </w:rPr>
        <w:t>la CNB</w:t>
      </w:r>
      <w:r w:rsidR="004E50F8" w:rsidRPr="008321BE">
        <w:rPr>
          <w:rFonts w:ascii="Cambria" w:eastAsia="Cambria" w:hAnsi="Cambria" w:cs="Cambria"/>
          <w:sz w:val="20"/>
          <w:szCs w:val="20"/>
          <w:lang w:val="es-MX"/>
        </w:rPr>
        <w:t xml:space="preserve"> </w:t>
      </w:r>
      <w:r w:rsidR="002F7CE8" w:rsidRPr="008321BE">
        <w:rPr>
          <w:rFonts w:ascii="Cambria" w:eastAsia="Cambria" w:hAnsi="Cambria" w:cs="Cambria"/>
          <w:sz w:val="20"/>
          <w:szCs w:val="20"/>
          <w:lang w:val="es-MX"/>
        </w:rPr>
        <w:t>integra</w:t>
      </w:r>
      <w:r w:rsidR="00BB68EB" w:rsidRPr="008321BE">
        <w:rPr>
          <w:rFonts w:ascii="Cambria" w:eastAsia="Cambria" w:hAnsi="Cambria" w:cs="Cambria"/>
          <w:sz w:val="20"/>
          <w:szCs w:val="20"/>
          <w:lang w:val="es-MX"/>
        </w:rPr>
        <w:t xml:space="preserve"> grupos de búsqueda</w:t>
      </w:r>
      <w:r w:rsidR="00467111" w:rsidRPr="008321BE">
        <w:rPr>
          <w:rStyle w:val="FootnoteReference"/>
          <w:rFonts w:ascii="Cambria" w:eastAsia="Cambria" w:hAnsi="Cambria" w:cs="Cambria"/>
          <w:sz w:val="20"/>
          <w:szCs w:val="20"/>
          <w:lang w:val="es-MX"/>
        </w:rPr>
        <w:footnoteReference w:id="81"/>
      </w:r>
      <w:r w:rsidR="00BB68EB" w:rsidRPr="008321BE">
        <w:rPr>
          <w:rFonts w:ascii="Cambria" w:eastAsia="Cambria" w:hAnsi="Cambria" w:cs="Cambria"/>
          <w:sz w:val="20"/>
          <w:szCs w:val="20"/>
          <w:lang w:val="es-MX"/>
        </w:rPr>
        <w:t xml:space="preserve">. </w:t>
      </w:r>
    </w:p>
    <w:p w14:paraId="6365E503" w14:textId="16AEB422" w:rsidR="00C337FA" w:rsidRPr="004E3E07" w:rsidRDefault="007E25FF" w:rsidP="005E3E22">
      <w:pPr>
        <w:numPr>
          <w:ilvl w:val="0"/>
          <w:numId w:val="7"/>
        </w:numPr>
        <w:pBdr>
          <w:top w:val="nil"/>
          <w:left w:val="nil"/>
          <w:bottom w:val="nil"/>
          <w:right w:val="nil"/>
          <w:between w:val="nil"/>
        </w:pBdr>
        <w:shd w:val="clear" w:color="auto" w:fill="FFFFFF"/>
        <w:spacing w:after="240" w:line="240" w:lineRule="auto"/>
        <w:ind w:left="1068"/>
        <w:jc w:val="both"/>
        <w:rPr>
          <w:rFonts w:ascii="Cambria" w:eastAsia="Cambria" w:hAnsi="Cambria" w:cs="Cambria"/>
          <w:sz w:val="20"/>
          <w:szCs w:val="20"/>
          <w:lang w:val="es-MX"/>
        </w:rPr>
      </w:pPr>
      <w:r w:rsidRPr="004E3E07">
        <w:rPr>
          <w:rFonts w:ascii="Cambria" w:eastAsia="Cambria" w:hAnsi="Cambria" w:cs="Cambria"/>
          <w:sz w:val="20"/>
          <w:szCs w:val="20"/>
          <w:lang w:val="es-MX"/>
        </w:rPr>
        <w:t>Programa Nacional de Exhumaciones e Identificación:</w:t>
      </w:r>
      <w:r w:rsidR="00072E78" w:rsidRPr="004E3E07">
        <w:rPr>
          <w:rFonts w:ascii="Cambria" w:eastAsia="Cambria" w:hAnsi="Cambria" w:cs="Cambria"/>
          <w:sz w:val="20"/>
          <w:szCs w:val="20"/>
          <w:lang w:val="es-MX"/>
        </w:rPr>
        <w:t xml:space="preserve"> </w:t>
      </w:r>
      <w:r w:rsidR="002F7CE8" w:rsidRPr="004E3E07">
        <w:rPr>
          <w:rFonts w:ascii="Cambria" w:eastAsia="Cambria" w:hAnsi="Cambria" w:cs="Cambria"/>
          <w:sz w:val="20"/>
          <w:szCs w:val="20"/>
          <w:lang w:val="es-MX"/>
        </w:rPr>
        <w:t>El Estado indicó que la Fiscalía Especializada en Derechos Humanos y la Coordinación General de Servicios Periciales han adoptado</w:t>
      </w:r>
      <w:r w:rsidR="00C337FA" w:rsidRPr="004E3E07">
        <w:rPr>
          <w:rFonts w:ascii="Cambria" w:eastAsia="Cambria" w:hAnsi="Cambria" w:cs="Cambria"/>
          <w:sz w:val="20"/>
          <w:szCs w:val="20"/>
          <w:lang w:val="es-MX"/>
        </w:rPr>
        <w:t xml:space="preserve"> medidas p</w:t>
      </w:r>
      <w:r w:rsidR="002F7CE8" w:rsidRPr="004E3E07">
        <w:rPr>
          <w:rFonts w:ascii="Cambria" w:eastAsia="Cambria" w:hAnsi="Cambria" w:cs="Cambria"/>
          <w:sz w:val="20"/>
          <w:szCs w:val="20"/>
          <w:lang w:val="es-MX"/>
        </w:rPr>
        <w:t xml:space="preserve">ara la elaboración del programa en mención, en concreto, la elaboración de un </w:t>
      </w:r>
      <w:r w:rsidR="00C337FA" w:rsidRPr="004E3E07">
        <w:rPr>
          <w:rFonts w:ascii="Cambria" w:hAnsi="Cambria"/>
          <w:sz w:val="20"/>
          <w:szCs w:val="20"/>
          <w:lang w:val="es-MX"/>
        </w:rPr>
        <w:t>d</w:t>
      </w:r>
      <w:r w:rsidR="00072E78" w:rsidRPr="004E3E07">
        <w:rPr>
          <w:rFonts w:ascii="Cambria" w:hAnsi="Cambria"/>
          <w:sz w:val="20"/>
          <w:szCs w:val="20"/>
          <w:lang w:val="es-MX"/>
        </w:rPr>
        <w:t>iag</w:t>
      </w:r>
      <w:r w:rsidR="00C337FA" w:rsidRPr="004E3E07">
        <w:rPr>
          <w:rFonts w:ascii="Cambria" w:hAnsi="Cambria"/>
          <w:sz w:val="20"/>
          <w:szCs w:val="20"/>
          <w:lang w:val="es-MX"/>
        </w:rPr>
        <w:t xml:space="preserve">nóstico de la situación de los servicios forenses y periciales del país, </w:t>
      </w:r>
      <w:r w:rsidR="002F7CE8" w:rsidRPr="004E3E07">
        <w:rPr>
          <w:rFonts w:ascii="Cambria" w:hAnsi="Cambria"/>
          <w:sz w:val="20"/>
          <w:szCs w:val="20"/>
          <w:lang w:val="es-MX"/>
        </w:rPr>
        <w:t xml:space="preserve">y la realización de </w:t>
      </w:r>
      <w:r w:rsidR="00072E78" w:rsidRPr="004E3E07">
        <w:rPr>
          <w:rFonts w:ascii="Cambria" w:hAnsi="Cambria"/>
          <w:sz w:val="20"/>
          <w:szCs w:val="20"/>
          <w:lang w:val="es-MX"/>
        </w:rPr>
        <w:t xml:space="preserve">mesas de trabajo con </w:t>
      </w:r>
      <w:r w:rsidR="002F7CE8" w:rsidRPr="004E3E07">
        <w:rPr>
          <w:rFonts w:ascii="Cambria" w:hAnsi="Cambria"/>
          <w:sz w:val="20"/>
          <w:szCs w:val="20"/>
          <w:lang w:val="es-MX"/>
        </w:rPr>
        <w:t>personas expertas</w:t>
      </w:r>
      <w:r w:rsidR="00072E78" w:rsidRPr="004E3E07">
        <w:rPr>
          <w:rFonts w:ascii="Cambria" w:hAnsi="Cambria"/>
          <w:sz w:val="20"/>
          <w:szCs w:val="20"/>
          <w:lang w:val="es-MX"/>
        </w:rPr>
        <w:t xml:space="preserve"> forenses de organizacion</w:t>
      </w:r>
      <w:r w:rsidR="00C337FA" w:rsidRPr="004E3E07">
        <w:rPr>
          <w:rFonts w:ascii="Cambria" w:hAnsi="Cambria"/>
          <w:sz w:val="20"/>
          <w:szCs w:val="20"/>
          <w:lang w:val="es-MX"/>
        </w:rPr>
        <w:t>es internacionales y académicas</w:t>
      </w:r>
      <w:r w:rsidR="00072E78" w:rsidRPr="004E3E07">
        <w:rPr>
          <w:rFonts w:ascii="Cambria" w:hAnsi="Cambria"/>
          <w:sz w:val="20"/>
          <w:szCs w:val="20"/>
          <w:lang w:val="es-MX"/>
        </w:rPr>
        <w:t xml:space="preserve"> para la definición de líne</w:t>
      </w:r>
      <w:r w:rsidR="00C337FA" w:rsidRPr="004E3E07">
        <w:rPr>
          <w:rFonts w:ascii="Cambria" w:hAnsi="Cambria"/>
          <w:sz w:val="20"/>
          <w:szCs w:val="20"/>
          <w:lang w:val="es-MX"/>
        </w:rPr>
        <w:t>as estratégicas y de acción</w:t>
      </w:r>
      <w:r w:rsidR="00C337FA" w:rsidRPr="004E3E07">
        <w:rPr>
          <w:rStyle w:val="FootnoteReference"/>
          <w:rFonts w:ascii="Cambria" w:hAnsi="Cambria"/>
          <w:sz w:val="20"/>
          <w:szCs w:val="20"/>
          <w:lang w:val="es-MX"/>
        </w:rPr>
        <w:footnoteReference w:id="82"/>
      </w:r>
      <w:r w:rsidR="00072E78" w:rsidRPr="004E3E07">
        <w:rPr>
          <w:rFonts w:ascii="Cambria" w:hAnsi="Cambria"/>
          <w:sz w:val="20"/>
          <w:szCs w:val="20"/>
          <w:lang w:val="es-MX"/>
        </w:rPr>
        <w:t>.</w:t>
      </w:r>
      <w:r w:rsidRPr="004E3E07">
        <w:rPr>
          <w:rFonts w:ascii="Cambria" w:eastAsia="Cambria" w:hAnsi="Cambria" w:cs="Cambria"/>
          <w:sz w:val="20"/>
          <w:szCs w:val="20"/>
          <w:lang w:val="es-MX"/>
        </w:rPr>
        <w:t xml:space="preserve"> </w:t>
      </w:r>
      <w:r w:rsidR="00C337FA" w:rsidRPr="004E3E07">
        <w:rPr>
          <w:rFonts w:ascii="Cambria" w:eastAsia="Cambria" w:hAnsi="Cambria" w:cs="Cambria"/>
          <w:sz w:val="20"/>
          <w:szCs w:val="20"/>
          <w:lang w:val="es-MX"/>
        </w:rPr>
        <w:t xml:space="preserve">Sin perjuicio de lo anterior, la Comisión recoge </w:t>
      </w:r>
      <w:r w:rsidR="00BB68EB" w:rsidRPr="004E3E07">
        <w:rPr>
          <w:rFonts w:ascii="Cambria" w:eastAsia="Cambria" w:hAnsi="Cambria" w:cs="Cambria"/>
          <w:sz w:val="20"/>
          <w:szCs w:val="20"/>
          <w:lang w:val="es-MX"/>
        </w:rPr>
        <w:t xml:space="preserve">los llamamientos del </w:t>
      </w:r>
      <w:r w:rsidR="00C337FA" w:rsidRPr="004E3E07">
        <w:rPr>
          <w:rFonts w:ascii="Cambria" w:eastAsia="Cambria" w:hAnsi="Cambria" w:cs="Cambria"/>
          <w:sz w:val="20"/>
          <w:szCs w:val="20"/>
          <w:lang w:val="es-MX"/>
        </w:rPr>
        <w:t xml:space="preserve">Consejo Nacional Ciudadano </w:t>
      </w:r>
      <w:r w:rsidR="00BB68EB" w:rsidRPr="004E3E07">
        <w:rPr>
          <w:rFonts w:ascii="Cambria" w:eastAsia="Cambria" w:hAnsi="Cambria" w:cs="Cambria"/>
          <w:sz w:val="20"/>
          <w:szCs w:val="20"/>
          <w:lang w:val="es-MX"/>
        </w:rPr>
        <w:t>a la</w:t>
      </w:r>
      <w:r w:rsidR="00C337FA" w:rsidRPr="004E3E07">
        <w:rPr>
          <w:rFonts w:ascii="Cambria" w:eastAsia="Cambria" w:hAnsi="Cambria" w:cs="Cambria"/>
          <w:sz w:val="20"/>
          <w:szCs w:val="20"/>
          <w:lang w:val="es-MX"/>
        </w:rPr>
        <w:t xml:space="preserve"> FGR</w:t>
      </w:r>
      <w:r w:rsidR="00571992" w:rsidRPr="004E3E07">
        <w:rPr>
          <w:rFonts w:ascii="Cambria" w:eastAsia="Cambria" w:hAnsi="Cambria" w:cs="Cambria"/>
          <w:sz w:val="20"/>
          <w:szCs w:val="20"/>
          <w:lang w:val="es-MX"/>
        </w:rPr>
        <w:t xml:space="preserve"> </w:t>
      </w:r>
      <w:r w:rsidR="00BB68EB" w:rsidRPr="004E3E07">
        <w:rPr>
          <w:rFonts w:ascii="Cambria" w:eastAsia="Cambria" w:hAnsi="Cambria" w:cs="Cambria"/>
          <w:sz w:val="20"/>
          <w:szCs w:val="20"/>
          <w:lang w:val="es-MX"/>
        </w:rPr>
        <w:t xml:space="preserve">a fin de garantizar </w:t>
      </w:r>
      <w:r w:rsidR="00571992" w:rsidRPr="004E3E07">
        <w:rPr>
          <w:rFonts w:ascii="Cambria" w:eastAsia="Cambria" w:hAnsi="Cambria" w:cs="Cambria"/>
          <w:sz w:val="20"/>
          <w:szCs w:val="20"/>
          <w:lang w:val="es-MX"/>
        </w:rPr>
        <w:t>mecanismo</w:t>
      </w:r>
      <w:r w:rsidR="00BB68EB" w:rsidRPr="004E3E07">
        <w:rPr>
          <w:rFonts w:ascii="Cambria" w:eastAsia="Cambria" w:hAnsi="Cambria" w:cs="Cambria"/>
          <w:sz w:val="20"/>
          <w:szCs w:val="20"/>
          <w:lang w:val="es-MX"/>
        </w:rPr>
        <w:t>s</w:t>
      </w:r>
      <w:r w:rsidR="00571992" w:rsidRPr="004E3E07">
        <w:rPr>
          <w:rFonts w:ascii="Cambria" w:eastAsia="Cambria" w:hAnsi="Cambria" w:cs="Cambria"/>
          <w:sz w:val="20"/>
          <w:szCs w:val="20"/>
          <w:lang w:val="es-MX"/>
        </w:rPr>
        <w:t xml:space="preserve"> de participaci</w:t>
      </w:r>
      <w:r w:rsidR="00BB68EB" w:rsidRPr="004E3E07">
        <w:rPr>
          <w:rFonts w:ascii="Cambria" w:eastAsia="Cambria" w:hAnsi="Cambria" w:cs="Cambria"/>
          <w:sz w:val="20"/>
          <w:szCs w:val="20"/>
          <w:lang w:val="es-MX"/>
        </w:rPr>
        <w:t xml:space="preserve">ón </w:t>
      </w:r>
      <w:r w:rsidR="00571992" w:rsidRPr="004E3E07">
        <w:rPr>
          <w:rFonts w:ascii="Cambria" w:eastAsia="Cambria" w:hAnsi="Cambria" w:cs="Cambria"/>
          <w:sz w:val="20"/>
          <w:szCs w:val="20"/>
          <w:lang w:val="es-MX"/>
        </w:rPr>
        <w:t xml:space="preserve">para </w:t>
      </w:r>
      <w:r w:rsidR="00C337FA" w:rsidRPr="004E3E07">
        <w:rPr>
          <w:rFonts w:ascii="Cambria" w:eastAsia="Cambria" w:hAnsi="Cambria" w:cs="Cambria"/>
          <w:sz w:val="20"/>
          <w:szCs w:val="20"/>
          <w:lang w:val="es-MX"/>
        </w:rPr>
        <w:t>familia</w:t>
      </w:r>
      <w:r w:rsidR="00571992" w:rsidRPr="004E3E07">
        <w:rPr>
          <w:rFonts w:ascii="Cambria" w:eastAsia="Cambria" w:hAnsi="Cambria" w:cs="Cambria"/>
          <w:sz w:val="20"/>
          <w:szCs w:val="20"/>
          <w:lang w:val="es-MX"/>
        </w:rPr>
        <w:t>res de personas desaparecidas y</w:t>
      </w:r>
      <w:r w:rsidR="00C337FA" w:rsidRPr="004E3E07">
        <w:rPr>
          <w:rFonts w:ascii="Cambria" w:eastAsia="Cambria" w:hAnsi="Cambria" w:cs="Cambria"/>
          <w:sz w:val="20"/>
          <w:szCs w:val="20"/>
          <w:lang w:val="es-MX"/>
        </w:rPr>
        <w:t xml:space="preserve"> organizaciones de sociedad civil</w:t>
      </w:r>
      <w:r w:rsidR="00571992" w:rsidRPr="004E3E07">
        <w:rPr>
          <w:rFonts w:ascii="Cambria" w:eastAsia="Cambria" w:hAnsi="Cambria" w:cs="Cambria"/>
          <w:sz w:val="20"/>
          <w:szCs w:val="20"/>
          <w:lang w:val="es-MX"/>
        </w:rPr>
        <w:t xml:space="preserve"> en el diseño y elaboración del </w:t>
      </w:r>
      <w:r w:rsidR="00BB68EB" w:rsidRPr="004E3E07">
        <w:rPr>
          <w:rFonts w:ascii="Cambria" w:eastAsia="Cambria" w:hAnsi="Cambria" w:cs="Cambria"/>
          <w:sz w:val="20"/>
          <w:szCs w:val="20"/>
          <w:lang w:val="es-MX"/>
        </w:rPr>
        <w:t xml:space="preserve">Programa Nacional de Exhumaciones e Identificación de conformidad con el artículo 134, fracción XII, de </w:t>
      </w:r>
      <w:r w:rsidR="00C337FA" w:rsidRPr="004E3E07">
        <w:rPr>
          <w:rFonts w:ascii="Cambria" w:eastAsia="Cambria" w:hAnsi="Cambria" w:cs="Cambria"/>
          <w:sz w:val="20"/>
          <w:szCs w:val="20"/>
          <w:lang w:val="es-MX"/>
        </w:rPr>
        <w:t>la Ley G</w:t>
      </w:r>
      <w:r w:rsidR="00BB68EB" w:rsidRPr="004E3E07">
        <w:rPr>
          <w:rFonts w:ascii="Cambria" w:eastAsia="Cambria" w:hAnsi="Cambria" w:cs="Cambria"/>
          <w:sz w:val="20"/>
          <w:szCs w:val="20"/>
          <w:lang w:val="es-MX"/>
        </w:rPr>
        <w:t>eneral</w:t>
      </w:r>
      <w:r w:rsidR="00BB68EB" w:rsidRPr="004E3E07">
        <w:rPr>
          <w:rStyle w:val="FootnoteReference"/>
          <w:rFonts w:ascii="Cambria" w:eastAsia="Cambria" w:hAnsi="Cambria" w:cs="Cambria"/>
          <w:sz w:val="20"/>
          <w:szCs w:val="20"/>
          <w:lang w:val="es-MX"/>
        </w:rPr>
        <w:footnoteReference w:id="83"/>
      </w:r>
      <w:r w:rsidR="00BB68EB" w:rsidRPr="004E3E07">
        <w:rPr>
          <w:rFonts w:ascii="Cambria" w:eastAsia="Cambria" w:hAnsi="Cambria" w:cs="Cambria"/>
          <w:sz w:val="20"/>
          <w:szCs w:val="20"/>
          <w:lang w:val="es-MX"/>
        </w:rPr>
        <w:t>.</w:t>
      </w:r>
    </w:p>
    <w:p w14:paraId="14606982" w14:textId="7EA5CAA6" w:rsidR="002277F5" w:rsidRPr="004E3E07" w:rsidRDefault="007E25FF" w:rsidP="005E3E22">
      <w:pPr>
        <w:numPr>
          <w:ilvl w:val="0"/>
          <w:numId w:val="7"/>
        </w:numPr>
        <w:pBdr>
          <w:top w:val="nil"/>
          <w:left w:val="nil"/>
          <w:bottom w:val="nil"/>
          <w:right w:val="nil"/>
          <w:between w:val="nil"/>
        </w:pBdr>
        <w:shd w:val="clear" w:color="auto" w:fill="FFFFFF"/>
        <w:spacing w:after="240" w:line="240" w:lineRule="auto"/>
        <w:ind w:left="1068"/>
        <w:jc w:val="both"/>
        <w:rPr>
          <w:rFonts w:ascii="Cambria" w:eastAsia="Cambria" w:hAnsi="Cambria" w:cs="Cambria"/>
          <w:sz w:val="20"/>
          <w:szCs w:val="20"/>
          <w:lang w:val="es-MX"/>
        </w:rPr>
      </w:pPr>
      <w:r w:rsidRPr="004E3E07">
        <w:rPr>
          <w:rFonts w:ascii="Cambria" w:eastAsia="Cambria" w:hAnsi="Cambria" w:cs="Cambria"/>
          <w:sz w:val="20"/>
          <w:szCs w:val="20"/>
          <w:lang w:val="es-MX"/>
        </w:rPr>
        <w:t>Program</w:t>
      </w:r>
      <w:r w:rsidR="00051FF2" w:rsidRPr="004E3E07">
        <w:rPr>
          <w:rFonts w:ascii="Cambria" w:eastAsia="Cambria" w:hAnsi="Cambria" w:cs="Cambria"/>
          <w:sz w:val="20"/>
          <w:szCs w:val="20"/>
          <w:lang w:val="es-MX"/>
        </w:rPr>
        <w:t xml:space="preserve">a Nacional de Búsqueda: </w:t>
      </w:r>
      <w:r w:rsidR="00496D90" w:rsidRPr="004E3E07">
        <w:rPr>
          <w:rFonts w:ascii="Cambria" w:eastAsia="Cambria" w:hAnsi="Cambria" w:cs="Cambria"/>
          <w:sz w:val="20"/>
          <w:szCs w:val="20"/>
          <w:lang w:val="es-MX"/>
        </w:rPr>
        <w:t xml:space="preserve">La CIDH observa que </w:t>
      </w:r>
      <w:r w:rsidR="00051FF2" w:rsidRPr="004E3E07">
        <w:rPr>
          <w:rFonts w:ascii="Cambria" w:eastAsia="Cambria" w:hAnsi="Cambria" w:cs="Cambria"/>
          <w:sz w:val="20"/>
          <w:szCs w:val="20"/>
          <w:lang w:val="es-MX"/>
        </w:rPr>
        <w:t>la CNB inició el proceso de diseño y elaboración del Programa Nacional</w:t>
      </w:r>
      <w:r w:rsidR="00496D90" w:rsidRPr="004E3E07">
        <w:rPr>
          <w:rFonts w:ascii="Cambria" w:eastAsia="Cambria" w:hAnsi="Cambria" w:cs="Cambria"/>
          <w:sz w:val="20"/>
          <w:szCs w:val="20"/>
          <w:lang w:val="es-MX"/>
        </w:rPr>
        <w:t xml:space="preserve"> de Búsqueda en octubre de 2021, y toma nota de que</w:t>
      </w:r>
      <w:r w:rsidR="00051FF2" w:rsidRPr="004E3E07">
        <w:rPr>
          <w:rFonts w:ascii="Cambria" w:eastAsia="Cambria" w:hAnsi="Cambria" w:cs="Cambria"/>
          <w:sz w:val="20"/>
          <w:szCs w:val="20"/>
          <w:lang w:val="es-MX"/>
        </w:rPr>
        <w:t xml:space="preserve"> </w:t>
      </w:r>
      <w:r w:rsidR="00496D90" w:rsidRPr="004E3E07">
        <w:rPr>
          <w:rFonts w:ascii="Cambria" w:eastAsia="Cambria" w:hAnsi="Cambria" w:cs="Cambria"/>
          <w:sz w:val="20"/>
          <w:szCs w:val="20"/>
          <w:lang w:val="es-MX"/>
        </w:rPr>
        <w:t xml:space="preserve">su </w:t>
      </w:r>
      <w:r w:rsidR="00051FF2" w:rsidRPr="004E3E07">
        <w:rPr>
          <w:rFonts w:ascii="Cambria" w:eastAsia="Cambria" w:hAnsi="Cambria" w:cs="Cambria"/>
          <w:sz w:val="20"/>
          <w:szCs w:val="20"/>
          <w:lang w:val="es-MX"/>
        </w:rPr>
        <w:t xml:space="preserve">construcción </w:t>
      </w:r>
      <w:r w:rsidR="00496D90" w:rsidRPr="004E3E07">
        <w:rPr>
          <w:rFonts w:ascii="Cambria" w:eastAsia="Cambria" w:hAnsi="Cambria" w:cs="Cambria"/>
          <w:sz w:val="20"/>
          <w:szCs w:val="20"/>
          <w:lang w:val="es-MX"/>
        </w:rPr>
        <w:t xml:space="preserve">se desarrollará en 9 etapas que se implementarán hasta </w:t>
      </w:r>
      <w:r w:rsidR="00051FF2" w:rsidRPr="004E3E07">
        <w:rPr>
          <w:rFonts w:ascii="Cambria" w:eastAsia="Cambria" w:hAnsi="Cambria" w:cs="Cambria"/>
          <w:sz w:val="20"/>
          <w:szCs w:val="20"/>
          <w:lang w:val="es-MX"/>
        </w:rPr>
        <w:t xml:space="preserve">agosto de 2022. </w:t>
      </w:r>
      <w:r w:rsidR="00496D90" w:rsidRPr="004E3E07">
        <w:rPr>
          <w:rFonts w:ascii="Cambria" w:eastAsia="Cambria" w:hAnsi="Cambria" w:cs="Cambria"/>
          <w:sz w:val="20"/>
          <w:szCs w:val="20"/>
          <w:lang w:val="es-MX"/>
        </w:rPr>
        <w:t>L</w:t>
      </w:r>
      <w:r w:rsidR="00051FF2" w:rsidRPr="004E3E07">
        <w:rPr>
          <w:rFonts w:ascii="Cambria" w:eastAsia="Cambria" w:hAnsi="Cambria" w:cs="Cambria"/>
          <w:sz w:val="20"/>
          <w:szCs w:val="20"/>
          <w:lang w:val="es-MX"/>
        </w:rPr>
        <w:t xml:space="preserve">a CNB informó </w:t>
      </w:r>
      <w:r w:rsidR="00496D90" w:rsidRPr="004E3E07">
        <w:rPr>
          <w:rFonts w:ascii="Cambria" w:eastAsia="Cambria" w:hAnsi="Cambria" w:cs="Cambria"/>
          <w:sz w:val="20"/>
          <w:szCs w:val="20"/>
          <w:lang w:val="es-MX"/>
        </w:rPr>
        <w:t>que dentro de estas fases se han previsto d</w:t>
      </w:r>
      <w:r w:rsidR="00051FF2" w:rsidRPr="004E3E07">
        <w:rPr>
          <w:rFonts w:ascii="Cambria" w:eastAsia="Cambria" w:hAnsi="Cambria" w:cs="Cambria"/>
          <w:sz w:val="20"/>
          <w:szCs w:val="20"/>
          <w:lang w:val="es-MX"/>
        </w:rPr>
        <w:t>istinto</w:t>
      </w:r>
      <w:r w:rsidR="00496D90" w:rsidRPr="004E3E07">
        <w:rPr>
          <w:rFonts w:ascii="Cambria" w:eastAsia="Cambria" w:hAnsi="Cambria" w:cs="Cambria"/>
          <w:sz w:val="20"/>
          <w:szCs w:val="20"/>
          <w:lang w:val="es-MX"/>
        </w:rPr>
        <w:t>s mecanismos de participación para recoger necesidades y propuestas de</w:t>
      </w:r>
      <w:r w:rsidR="00051FF2" w:rsidRPr="004E3E07">
        <w:rPr>
          <w:rFonts w:ascii="Cambria" w:eastAsia="Cambria" w:hAnsi="Cambria" w:cs="Cambria"/>
          <w:sz w:val="20"/>
          <w:szCs w:val="20"/>
          <w:lang w:val="es-MX"/>
        </w:rPr>
        <w:t xml:space="preserve"> familiares y organizaciones de la sociedad</w:t>
      </w:r>
      <w:r w:rsidR="0020187E" w:rsidRPr="004E3E07">
        <w:rPr>
          <w:rStyle w:val="FootnoteReference"/>
          <w:rFonts w:ascii="Cambria" w:eastAsia="Cambria" w:hAnsi="Cambria" w:cs="Cambria"/>
          <w:sz w:val="20"/>
          <w:szCs w:val="20"/>
          <w:lang w:val="es-MX"/>
        </w:rPr>
        <w:footnoteReference w:id="84"/>
      </w:r>
      <w:r w:rsidR="0020187E" w:rsidRPr="004E3E07">
        <w:rPr>
          <w:rFonts w:ascii="Cambria" w:eastAsia="Cambria" w:hAnsi="Cambria" w:cs="Cambria"/>
          <w:sz w:val="20"/>
          <w:szCs w:val="20"/>
          <w:lang w:val="es-MX"/>
        </w:rPr>
        <w:t xml:space="preserve">. </w:t>
      </w:r>
      <w:r w:rsidR="008E4F41" w:rsidRPr="004E3E07">
        <w:rPr>
          <w:rFonts w:ascii="Cambria" w:eastAsia="Cambria" w:hAnsi="Cambria" w:cs="Cambria"/>
          <w:sz w:val="20"/>
          <w:szCs w:val="20"/>
          <w:lang w:val="es-MX"/>
        </w:rPr>
        <w:t xml:space="preserve">De manera simultánea, </w:t>
      </w:r>
      <w:r w:rsidR="00496D90" w:rsidRPr="004E3E07">
        <w:rPr>
          <w:rFonts w:ascii="Cambria" w:eastAsia="Cambria" w:hAnsi="Cambria" w:cs="Cambria"/>
          <w:sz w:val="20"/>
          <w:szCs w:val="20"/>
          <w:lang w:val="es-MX"/>
        </w:rPr>
        <w:t xml:space="preserve">la Comisión observa avances en la elaboración de los </w:t>
      </w:r>
      <w:r w:rsidR="0020187E" w:rsidRPr="004E3E07">
        <w:rPr>
          <w:rFonts w:ascii="Cambria" w:eastAsia="Cambria" w:hAnsi="Cambria" w:cs="Cambria"/>
          <w:sz w:val="20"/>
          <w:szCs w:val="20"/>
          <w:lang w:val="es-MX"/>
        </w:rPr>
        <w:t>Plan</w:t>
      </w:r>
      <w:r w:rsidR="00496D90" w:rsidRPr="004E3E07">
        <w:rPr>
          <w:rFonts w:ascii="Cambria" w:eastAsia="Cambria" w:hAnsi="Cambria" w:cs="Cambria"/>
          <w:sz w:val="20"/>
          <w:szCs w:val="20"/>
          <w:lang w:val="es-MX"/>
        </w:rPr>
        <w:t>es</w:t>
      </w:r>
      <w:r w:rsidR="0020187E" w:rsidRPr="004E3E07">
        <w:rPr>
          <w:rFonts w:ascii="Cambria" w:eastAsia="Cambria" w:hAnsi="Cambria" w:cs="Cambria"/>
          <w:sz w:val="20"/>
          <w:szCs w:val="20"/>
          <w:lang w:val="es-MX"/>
        </w:rPr>
        <w:t xml:space="preserve"> Regional</w:t>
      </w:r>
      <w:r w:rsidR="00496D90" w:rsidRPr="004E3E07">
        <w:rPr>
          <w:rFonts w:ascii="Cambria" w:eastAsia="Cambria" w:hAnsi="Cambria" w:cs="Cambria"/>
          <w:sz w:val="20"/>
          <w:szCs w:val="20"/>
          <w:lang w:val="es-MX"/>
        </w:rPr>
        <w:t>es</w:t>
      </w:r>
      <w:r w:rsidR="0020187E" w:rsidRPr="004E3E07">
        <w:rPr>
          <w:rFonts w:ascii="Cambria" w:eastAsia="Cambria" w:hAnsi="Cambria" w:cs="Cambria"/>
          <w:sz w:val="20"/>
          <w:szCs w:val="20"/>
          <w:lang w:val="es-MX"/>
        </w:rPr>
        <w:t xml:space="preserve"> de Búsqueda del Noroeste</w:t>
      </w:r>
      <w:r w:rsidR="00496D90" w:rsidRPr="004E3E07">
        <w:rPr>
          <w:rStyle w:val="FootnoteReference"/>
          <w:rFonts w:ascii="Cambria" w:eastAsia="Cambria" w:hAnsi="Cambria" w:cs="Cambria"/>
          <w:sz w:val="20"/>
          <w:szCs w:val="20"/>
          <w:lang w:val="es-MX"/>
        </w:rPr>
        <w:footnoteReference w:id="85"/>
      </w:r>
      <w:r w:rsidR="0020187E" w:rsidRPr="004E3E07">
        <w:rPr>
          <w:rFonts w:ascii="Cambria" w:eastAsia="Cambria" w:hAnsi="Cambria" w:cs="Cambria"/>
          <w:sz w:val="20"/>
          <w:szCs w:val="20"/>
          <w:lang w:val="es-MX"/>
        </w:rPr>
        <w:t xml:space="preserve"> </w:t>
      </w:r>
      <w:r w:rsidR="00496D90" w:rsidRPr="004E3E07">
        <w:rPr>
          <w:rFonts w:ascii="Cambria" w:eastAsia="Cambria" w:hAnsi="Cambria" w:cs="Cambria"/>
          <w:sz w:val="20"/>
          <w:szCs w:val="20"/>
          <w:lang w:val="es-MX"/>
        </w:rPr>
        <w:t>y del Noroeste</w:t>
      </w:r>
      <w:r w:rsidR="00496D90" w:rsidRPr="004E3E07">
        <w:rPr>
          <w:rStyle w:val="FootnoteReference"/>
          <w:rFonts w:ascii="Cambria" w:eastAsia="Cambria" w:hAnsi="Cambria" w:cs="Cambria"/>
          <w:sz w:val="20"/>
          <w:szCs w:val="20"/>
          <w:lang w:val="es-MX"/>
        </w:rPr>
        <w:footnoteReference w:id="86"/>
      </w:r>
      <w:r w:rsidR="00496D90" w:rsidRPr="004E3E07">
        <w:rPr>
          <w:rFonts w:ascii="Cambria" w:eastAsia="Cambria" w:hAnsi="Cambria" w:cs="Cambria"/>
          <w:sz w:val="20"/>
          <w:szCs w:val="20"/>
          <w:lang w:val="es-MX"/>
        </w:rPr>
        <w:t xml:space="preserve">, mismos que contarían con </w:t>
      </w:r>
      <w:r w:rsidR="00B943D1" w:rsidRPr="004E3E07">
        <w:rPr>
          <w:rFonts w:ascii="Cambria" w:eastAsia="Cambria" w:hAnsi="Cambria" w:cs="Cambria"/>
          <w:sz w:val="20"/>
          <w:szCs w:val="20"/>
          <w:lang w:val="es-MX"/>
        </w:rPr>
        <w:t xml:space="preserve">primeras propuestas </w:t>
      </w:r>
      <w:r w:rsidR="00496D90" w:rsidRPr="004E3E07">
        <w:rPr>
          <w:rFonts w:ascii="Cambria" w:eastAsia="Cambria" w:hAnsi="Cambria" w:cs="Cambria"/>
          <w:sz w:val="20"/>
          <w:szCs w:val="20"/>
          <w:lang w:val="es-MX"/>
        </w:rPr>
        <w:t xml:space="preserve">en marzo </w:t>
      </w:r>
      <w:r w:rsidR="00B943D1" w:rsidRPr="004E3E07">
        <w:rPr>
          <w:rFonts w:ascii="Cambria" w:eastAsia="Cambria" w:hAnsi="Cambria" w:cs="Cambria"/>
          <w:sz w:val="20"/>
          <w:szCs w:val="20"/>
          <w:lang w:val="es-MX"/>
        </w:rPr>
        <w:t>y julio de 2022, respectivamente</w:t>
      </w:r>
      <w:r w:rsidR="00B943D1" w:rsidRPr="004E3E07">
        <w:rPr>
          <w:rStyle w:val="FootnoteReference"/>
          <w:rFonts w:ascii="Cambria" w:eastAsia="Cambria" w:hAnsi="Cambria" w:cs="Cambria"/>
          <w:sz w:val="20"/>
          <w:szCs w:val="20"/>
          <w:lang w:val="es-MX"/>
        </w:rPr>
        <w:footnoteReference w:id="87"/>
      </w:r>
      <w:r w:rsidR="00B943D1" w:rsidRPr="004E3E07">
        <w:rPr>
          <w:rFonts w:ascii="Cambria" w:eastAsia="Cambria" w:hAnsi="Cambria" w:cs="Cambria"/>
          <w:sz w:val="20"/>
          <w:szCs w:val="20"/>
          <w:lang w:val="es-MX"/>
        </w:rPr>
        <w:t>.</w:t>
      </w:r>
    </w:p>
    <w:p w14:paraId="14606983" w14:textId="76155626" w:rsidR="002277F5" w:rsidRPr="004E3E07" w:rsidRDefault="003031BC" w:rsidP="5258151B">
      <w:pPr>
        <w:numPr>
          <w:ilvl w:val="0"/>
          <w:numId w:val="5"/>
        </w:numPr>
        <w:shd w:val="clear" w:color="auto" w:fill="FFFFFF"/>
        <w:spacing w:after="240" w:line="240" w:lineRule="auto"/>
        <w:ind w:left="0" w:firstLine="720"/>
        <w:jc w:val="both"/>
        <w:rPr>
          <w:rFonts w:ascii="Cambria" w:eastAsia="Cambria" w:hAnsi="Cambria" w:cs="Cambria"/>
          <w:sz w:val="20"/>
          <w:szCs w:val="20"/>
          <w:lang w:val="es-MX"/>
        </w:rPr>
      </w:pPr>
      <w:r w:rsidRPr="004E3E07">
        <w:rPr>
          <w:rFonts w:ascii="Cambria" w:eastAsia="Cambria" w:hAnsi="Cambria" w:cs="Cambria"/>
          <w:sz w:val="20"/>
          <w:szCs w:val="20"/>
          <w:lang w:val="es-MX"/>
        </w:rPr>
        <w:t>Respecto</w:t>
      </w:r>
      <w:r w:rsidR="007E25FF" w:rsidRPr="004E3E07">
        <w:rPr>
          <w:rFonts w:ascii="Cambria" w:eastAsia="Cambria" w:hAnsi="Cambria" w:cs="Cambria"/>
          <w:sz w:val="20"/>
          <w:szCs w:val="20"/>
          <w:lang w:val="es-MX"/>
        </w:rPr>
        <w:t xml:space="preserve"> de las herramientas para la gestión de la información dispuestas por la Ley General, </w:t>
      </w:r>
      <w:r w:rsidRPr="004E3E07">
        <w:rPr>
          <w:rFonts w:ascii="Cambria" w:eastAsia="Cambria" w:hAnsi="Cambria" w:cs="Cambria"/>
          <w:sz w:val="20"/>
          <w:szCs w:val="20"/>
          <w:lang w:val="es-MX"/>
        </w:rPr>
        <w:t xml:space="preserve">la Comisión observa </w:t>
      </w:r>
      <w:r w:rsidR="007E25FF" w:rsidRPr="004E3E07">
        <w:rPr>
          <w:rFonts w:ascii="Cambria" w:eastAsia="Cambria" w:hAnsi="Cambria" w:cs="Cambria"/>
          <w:sz w:val="20"/>
          <w:szCs w:val="20"/>
          <w:lang w:val="es-MX"/>
        </w:rPr>
        <w:t xml:space="preserve">lo siguiente: </w:t>
      </w:r>
    </w:p>
    <w:p w14:paraId="14606986" w14:textId="5FB8B31D" w:rsidR="002277F5" w:rsidRPr="004E3E07" w:rsidRDefault="007E25FF" w:rsidP="65FCB332">
      <w:pPr>
        <w:numPr>
          <w:ilvl w:val="1"/>
          <w:numId w:val="10"/>
        </w:numPr>
        <w:pBdr>
          <w:top w:val="nil"/>
          <w:left w:val="nil"/>
          <w:bottom w:val="nil"/>
          <w:right w:val="nil"/>
          <w:between w:val="nil"/>
        </w:pBdr>
        <w:shd w:val="clear" w:color="auto" w:fill="FFFFFF" w:themeFill="background1"/>
        <w:spacing w:after="240" w:line="240" w:lineRule="auto"/>
        <w:ind w:left="1069"/>
        <w:jc w:val="both"/>
        <w:rPr>
          <w:rFonts w:ascii="Cambria" w:eastAsia="Cambria" w:hAnsi="Cambria" w:cs="Cambria"/>
          <w:sz w:val="20"/>
          <w:szCs w:val="20"/>
          <w:lang w:val="es-MX"/>
        </w:rPr>
      </w:pPr>
      <w:r w:rsidRPr="004E3E07">
        <w:rPr>
          <w:rFonts w:ascii="Cambria" w:eastAsia="Cambria" w:hAnsi="Cambria" w:cs="Cambria"/>
          <w:sz w:val="20"/>
          <w:szCs w:val="20"/>
          <w:lang w:val="es-MX"/>
        </w:rPr>
        <w:t>Registro Nacional de Personas Desaparecidas y No Localizadas</w:t>
      </w:r>
      <w:r w:rsidR="00C57F17" w:rsidRPr="004E3E07">
        <w:rPr>
          <w:rFonts w:ascii="Cambria" w:eastAsia="Cambria" w:hAnsi="Cambria" w:cs="Cambria"/>
          <w:sz w:val="20"/>
          <w:szCs w:val="20"/>
          <w:lang w:val="es-MX"/>
        </w:rPr>
        <w:t xml:space="preserve"> (RNPDNO)</w:t>
      </w:r>
      <w:r w:rsidRPr="004E3E07">
        <w:rPr>
          <w:rFonts w:ascii="Cambria" w:eastAsia="Cambria" w:hAnsi="Cambria" w:cs="Cambria"/>
          <w:sz w:val="20"/>
          <w:szCs w:val="20"/>
          <w:lang w:val="es-MX"/>
        </w:rPr>
        <w:t xml:space="preserve">: </w:t>
      </w:r>
      <w:r w:rsidR="00C57F17" w:rsidRPr="004E3E07">
        <w:rPr>
          <w:rFonts w:ascii="Cambria" w:eastAsia="Cambria" w:hAnsi="Cambria" w:cs="Cambria"/>
          <w:sz w:val="20"/>
          <w:szCs w:val="20"/>
          <w:lang w:val="es-MX"/>
        </w:rPr>
        <w:t>En sus informes</w:t>
      </w:r>
      <w:r w:rsidRPr="004E3E07">
        <w:rPr>
          <w:rFonts w:ascii="Cambria" w:eastAsia="Cambria" w:hAnsi="Cambria" w:cs="Cambria"/>
          <w:sz w:val="20"/>
          <w:szCs w:val="20"/>
          <w:lang w:val="es-MX"/>
        </w:rPr>
        <w:t xml:space="preserve"> de </w:t>
      </w:r>
      <w:r w:rsidR="00C57F17" w:rsidRPr="004E3E07">
        <w:rPr>
          <w:rFonts w:ascii="Cambria" w:eastAsia="Cambria" w:hAnsi="Cambria" w:cs="Cambria"/>
          <w:sz w:val="20"/>
          <w:szCs w:val="20"/>
          <w:lang w:val="es-MX"/>
        </w:rPr>
        <w:t>seguimiento,</w:t>
      </w:r>
      <w:r w:rsidRPr="004E3E07">
        <w:rPr>
          <w:rFonts w:ascii="Cambria" w:eastAsia="Cambria" w:hAnsi="Cambria" w:cs="Cambria"/>
          <w:sz w:val="20"/>
          <w:szCs w:val="20"/>
          <w:lang w:val="es-MX"/>
        </w:rPr>
        <w:t xml:space="preserve"> la </w:t>
      </w:r>
      <w:r w:rsidR="00C57F17" w:rsidRPr="004E3E07">
        <w:rPr>
          <w:rFonts w:ascii="Cambria" w:eastAsia="Cambria" w:hAnsi="Cambria" w:cs="Cambria"/>
          <w:sz w:val="20"/>
          <w:szCs w:val="20"/>
          <w:lang w:val="es-MX"/>
        </w:rPr>
        <w:t>CIDH</w:t>
      </w:r>
      <w:r w:rsidR="005E3E22" w:rsidRPr="004E3E07">
        <w:rPr>
          <w:rFonts w:ascii="Cambria" w:eastAsia="Cambria" w:hAnsi="Cambria" w:cs="Cambria"/>
          <w:sz w:val="20"/>
          <w:szCs w:val="20"/>
          <w:lang w:val="es-MX"/>
        </w:rPr>
        <w:t xml:space="preserve"> reconoció</w:t>
      </w:r>
      <w:r w:rsidRPr="004E3E07">
        <w:rPr>
          <w:rFonts w:ascii="Cambria" w:eastAsia="Cambria" w:hAnsi="Cambria" w:cs="Cambria"/>
          <w:sz w:val="20"/>
          <w:szCs w:val="20"/>
          <w:lang w:val="es-MX"/>
        </w:rPr>
        <w:t xml:space="preserve"> </w:t>
      </w:r>
      <w:r w:rsidR="005E3E22" w:rsidRPr="004E3E07">
        <w:rPr>
          <w:rFonts w:ascii="Cambria" w:eastAsia="Cambria" w:hAnsi="Cambria" w:cs="Cambria"/>
          <w:sz w:val="20"/>
          <w:szCs w:val="20"/>
          <w:lang w:val="es-MX"/>
        </w:rPr>
        <w:t xml:space="preserve">la creación del </w:t>
      </w:r>
      <w:r w:rsidR="003031BC" w:rsidRPr="004E3E07">
        <w:rPr>
          <w:rFonts w:ascii="Cambria" w:eastAsia="Cambria" w:hAnsi="Cambria" w:cs="Cambria"/>
          <w:sz w:val="20"/>
          <w:szCs w:val="20"/>
          <w:lang w:val="es-MX"/>
        </w:rPr>
        <w:t xml:space="preserve">RNPDNO, misma que cuenta con una </w:t>
      </w:r>
      <w:r w:rsidR="00C57F17" w:rsidRPr="004E3E07">
        <w:rPr>
          <w:rFonts w:ascii="Cambria" w:eastAsia="Cambria" w:hAnsi="Cambria" w:cs="Cambria"/>
          <w:sz w:val="20"/>
          <w:szCs w:val="20"/>
          <w:lang w:val="es-MX"/>
        </w:rPr>
        <w:t xml:space="preserve">versión pública </w:t>
      </w:r>
      <w:r w:rsidRPr="004E3E07">
        <w:rPr>
          <w:rFonts w:ascii="Cambria" w:eastAsia="Cambria" w:hAnsi="Cambria" w:cs="Cambria"/>
          <w:sz w:val="20"/>
          <w:szCs w:val="20"/>
          <w:lang w:val="es-MX"/>
        </w:rPr>
        <w:t xml:space="preserve">que permite </w:t>
      </w:r>
      <w:r w:rsidR="005E3E22" w:rsidRPr="004E3E07">
        <w:rPr>
          <w:rFonts w:ascii="Cambria" w:eastAsia="Cambria" w:hAnsi="Cambria" w:cs="Cambria"/>
          <w:sz w:val="20"/>
          <w:szCs w:val="20"/>
          <w:lang w:val="es-MX"/>
        </w:rPr>
        <w:t xml:space="preserve">a la ciudadanía </w:t>
      </w:r>
      <w:r w:rsidRPr="004E3E07">
        <w:rPr>
          <w:rFonts w:ascii="Cambria" w:eastAsia="Cambria" w:hAnsi="Cambria" w:cs="Cambria"/>
          <w:sz w:val="20"/>
          <w:szCs w:val="20"/>
          <w:lang w:val="es-MX"/>
        </w:rPr>
        <w:t xml:space="preserve">consultar en tiempo real el número de reportes </w:t>
      </w:r>
      <w:r w:rsidR="00C57F17" w:rsidRPr="004E3E07">
        <w:rPr>
          <w:rFonts w:ascii="Cambria" w:eastAsia="Cambria" w:hAnsi="Cambria" w:cs="Cambria"/>
          <w:sz w:val="20"/>
          <w:szCs w:val="20"/>
          <w:lang w:val="es-MX"/>
        </w:rPr>
        <w:t>y denuncias</w:t>
      </w:r>
      <w:r w:rsidRPr="004E3E07">
        <w:rPr>
          <w:rFonts w:ascii="Cambria" w:eastAsia="Cambria" w:hAnsi="Cambria" w:cs="Cambria"/>
          <w:sz w:val="20"/>
          <w:szCs w:val="20"/>
          <w:lang w:val="es-MX"/>
        </w:rPr>
        <w:t xml:space="preserve"> de personas desaparecidas o no localizadas</w:t>
      </w:r>
      <w:r w:rsidR="003031BC" w:rsidRPr="004E3E07">
        <w:rPr>
          <w:rFonts w:ascii="Cambria" w:eastAsia="Cambria" w:hAnsi="Cambria" w:cs="Cambria"/>
          <w:sz w:val="20"/>
          <w:szCs w:val="20"/>
          <w:lang w:val="es-MX"/>
        </w:rPr>
        <w:t xml:space="preserve">, así como </w:t>
      </w:r>
      <w:r w:rsidR="0D4827B1" w:rsidRPr="00BA6325">
        <w:rPr>
          <w:rFonts w:ascii="Cambria" w:eastAsia="Cambria" w:hAnsi="Cambria" w:cs="Cambria"/>
          <w:sz w:val="20"/>
          <w:szCs w:val="20"/>
          <w:lang w:val="es-MX"/>
        </w:rPr>
        <w:t>una</w:t>
      </w:r>
      <w:r w:rsidR="003031BC" w:rsidRPr="004E3E07">
        <w:rPr>
          <w:rFonts w:ascii="Cambria" w:eastAsia="Cambria" w:hAnsi="Cambria" w:cs="Cambria"/>
          <w:sz w:val="20"/>
          <w:szCs w:val="20"/>
          <w:lang w:val="es-MX"/>
        </w:rPr>
        <w:t xml:space="preserve"> herramienta para </w:t>
      </w:r>
      <w:r w:rsidRPr="004E3E07">
        <w:rPr>
          <w:rFonts w:ascii="Cambria" w:eastAsia="Cambria" w:hAnsi="Cambria" w:cs="Cambria"/>
          <w:sz w:val="20"/>
          <w:szCs w:val="20"/>
          <w:lang w:val="es-MX"/>
        </w:rPr>
        <w:t>realizar reportes</w:t>
      </w:r>
      <w:r w:rsidR="005E3E22" w:rsidRPr="004E3E07">
        <w:rPr>
          <w:rFonts w:ascii="Cambria" w:eastAsia="Cambria" w:hAnsi="Cambria" w:cs="Cambria"/>
          <w:sz w:val="20"/>
          <w:szCs w:val="20"/>
          <w:lang w:val="es-MX"/>
        </w:rPr>
        <w:t xml:space="preserve"> de desaparición</w:t>
      </w:r>
      <w:r w:rsidRPr="004E3E07">
        <w:rPr>
          <w:rFonts w:ascii="Cambria" w:eastAsia="Cambria" w:hAnsi="Cambria" w:cs="Cambria"/>
          <w:sz w:val="20"/>
          <w:szCs w:val="20"/>
          <w:lang w:val="es-MX"/>
        </w:rPr>
        <w:t>, incluso de manera anónima y sin presentar denuncia</w:t>
      </w:r>
      <w:r w:rsidRPr="004E3E07">
        <w:rPr>
          <w:rFonts w:ascii="Cambria" w:eastAsia="Cambria" w:hAnsi="Cambria" w:cs="Cambria"/>
          <w:sz w:val="20"/>
          <w:szCs w:val="20"/>
          <w:vertAlign w:val="superscript"/>
          <w:lang w:val="es-MX"/>
        </w:rPr>
        <w:footnoteReference w:id="88"/>
      </w:r>
      <w:r w:rsidRPr="004E3E07">
        <w:rPr>
          <w:rFonts w:ascii="Cambria" w:eastAsia="Cambria" w:hAnsi="Cambria" w:cs="Cambria"/>
          <w:sz w:val="20"/>
          <w:szCs w:val="20"/>
          <w:lang w:val="es-MX"/>
        </w:rPr>
        <w:t>.</w:t>
      </w:r>
      <w:r w:rsidR="003031BC" w:rsidRPr="004E3E07">
        <w:rPr>
          <w:rFonts w:ascii="Cambria" w:eastAsia="Cambria" w:hAnsi="Cambria" w:cs="Cambria"/>
          <w:sz w:val="20"/>
          <w:szCs w:val="20"/>
          <w:lang w:val="es-MX"/>
        </w:rPr>
        <w:t xml:space="preserve"> L</w:t>
      </w:r>
      <w:r w:rsidR="00B639BC" w:rsidRPr="004E3E07">
        <w:rPr>
          <w:rFonts w:ascii="Cambria" w:eastAsia="Cambria" w:hAnsi="Cambria" w:cs="Cambria"/>
          <w:sz w:val="20"/>
          <w:szCs w:val="20"/>
          <w:lang w:val="es-MX"/>
        </w:rPr>
        <w:t xml:space="preserve">a CIDH observa </w:t>
      </w:r>
      <w:r w:rsidR="003031BC" w:rsidRPr="004E3E07">
        <w:rPr>
          <w:rFonts w:ascii="Cambria" w:eastAsia="Cambria" w:hAnsi="Cambria" w:cs="Cambria"/>
          <w:sz w:val="20"/>
          <w:szCs w:val="20"/>
          <w:lang w:val="es-MX"/>
        </w:rPr>
        <w:t xml:space="preserve">que en noviembre de 2021 el Sistema Nacional de Búsqueda acordó la creación del </w:t>
      </w:r>
      <w:r w:rsidR="00B639BC" w:rsidRPr="004E3E07">
        <w:rPr>
          <w:rFonts w:ascii="Cambria" w:eastAsia="Cambria" w:hAnsi="Cambria" w:cs="Cambria"/>
          <w:sz w:val="20"/>
          <w:szCs w:val="20"/>
          <w:lang w:val="es-MX"/>
        </w:rPr>
        <w:t>Comité del Sistema Único de Inform</w:t>
      </w:r>
      <w:r w:rsidR="003031BC" w:rsidRPr="004E3E07">
        <w:rPr>
          <w:rFonts w:ascii="Cambria" w:eastAsia="Cambria" w:hAnsi="Cambria" w:cs="Cambria"/>
          <w:sz w:val="20"/>
          <w:szCs w:val="20"/>
          <w:lang w:val="es-MX"/>
        </w:rPr>
        <w:t>ación Tecnológica e Informática (SUITI) a fin de asegurar la</w:t>
      </w:r>
      <w:r w:rsidR="00B639BC" w:rsidRPr="004E3E07">
        <w:rPr>
          <w:rFonts w:ascii="Cambria" w:eastAsia="Cambria" w:hAnsi="Cambria" w:cs="Cambria"/>
          <w:sz w:val="20"/>
          <w:szCs w:val="20"/>
          <w:lang w:val="es-MX"/>
        </w:rPr>
        <w:t xml:space="preserve"> coordinación interinstitucional </w:t>
      </w:r>
      <w:r w:rsidR="003031BC" w:rsidRPr="004E3E07">
        <w:rPr>
          <w:rFonts w:ascii="Cambria" w:eastAsia="Cambria" w:hAnsi="Cambria" w:cs="Cambria"/>
          <w:sz w:val="20"/>
          <w:szCs w:val="20"/>
          <w:lang w:val="es-MX"/>
        </w:rPr>
        <w:t xml:space="preserve">en </w:t>
      </w:r>
      <w:r w:rsidR="00AD6F53" w:rsidRPr="004E3E07">
        <w:rPr>
          <w:rFonts w:ascii="Cambria" w:eastAsia="Cambria" w:hAnsi="Cambria" w:cs="Cambria"/>
          <w:sz w:val="20"/>
          <w:szCs w:val="20"/>
          <w:lang w:val="es-MX"/>
        </w:rPr>
        <w:t xml:space="preserve">la toma de decisiones </w:t>
      </w:r>
      <w:r w:rsidR="003031BC" w:rsidRPr="004E3E07">
        <w:rPr>
          <w:rFonts w:ascii="Cambria" w:eastAsia="Cambria" w:hAnsi="Cambria" w:cs="Cambria"/>
          <w:sz w:val="20"/>
          <w:szCs w:val="20"/>
          <w:lang w:val="es-MX"/>
        </w:rPr>
        <w:t xml:space="preserve">relativas a </w:t>
      </w:r>
      <w:r w:rsidR="00AD6F53" w:rsidRPr="004E3E07">
        <w:rPr>
          <w:rFonts w:ascii="Cambria" w:eastAsia="Cambria" w:hAnsi="Cambria" w:cs="Cambria"/>
          <w:sz w:val="20"/>
          <w:szCs w:val="20"/>
          <w:lang w:val="es-MX"/>
        </w:rPr>
        <w:t xml:space="preserve">la </w:t>
      </w:r>
      <w:r w:rsidR="00B639BC" w:rsidRPr="004E3E07">
        <w:rPr>
          <w:rFonts w:ascii="Cambria" w:eastAsia="Cambria" w:hAnsi="Cambria" w:cs="Cambria"/>
          <w:sz w:val="20"/>
          <w:szCs w:val="20"/>
          <w:lang w:val="es-MX"/>
        </w:rPr>
        <w:t>interoperabilidad del RNPDNO</w:t>
      </w:r>
      <w:r w:rsidR="00AD6F53" w:rsidRPr="004E3E07">
        <w:rPr>
          <w:rFonts w:ascii="Cambria" w:eastAsia="Cambria" w:hAnsi="Cambria" w:cs="Cambria"/>
          <w:sz w:val="20"/>
          <w:szCs w:val="20"/>
          <w:lang w:val="es-MX"/>
        </w:rPr>
        <w:t xml:space="preserve"> </w:t>
      </w:r>
      <w:r w:rsidR="00B639BC" w:rsidRPr="004E3E07">
        <w:rPr>
          <w:rFonts w:ascii="Cambria" w:eastAsia="Cambria" w:hAnsi="Cambria" w:cs="Cambria"/>
          <w:sz w:val="20"/>
          <w:szCs w:val="20"/>
          <w:lang w:val="es-MX"/>
        </w:rPr>
        <w:t>con otras bases de datos relevant</w:t>
      </w:r>
      <w:r w:rsidR="00AD6F53" w:rsidRPr="004E3E07">
        <w:rPr>
          <w:rFonts w:ascii="Cambria" w:eastAsia="Cambria" w:hAnsi="Cambria" w:cs="Cambria"/>
          <w:sz w:val="20"/>
          <w:szCs w:val="20"/>
          <w:lang w:val="es-MX"/>
        </w:rPr>
        <w:t xml:space="preserve">es de investigación, </w:t>
      </w:r>
      <w:r w:rsidR="00B639BC" w:rsidRPr="004E3E07">
        <w:rPr>
          <w:rFonts w:ascii="Cambria" w:eastAsia="Cambria" w:hAnsi="Cambria" w:cs="Cambria"/>
          <w:sz w:val="20"/>
          <w:szCs w:val="20"/>
          <w:lang w:val="es-MX"/>
        </w:rPr>
        <w:t>búsqueda e identificación de personas desaparecidas</w:t>
      </w:r>
      <w:r w:rsidR="00145281" w:rsidRPr="004E3E07">
        <w:rPr>
          <w:rStyle w:val="FootnoteReference"/>
          <w:rFonts w:ascii="Cambria" w:eastAsia="Cambria" w:hAnsi="Cambria" w:cs="Cambria"/>
          <w:sz w:val="20"/>
          <w:szCs w:val="20"/>
          <w:lang w:val="es-MX"/>
        </w:rPr>
        <w:footnoteReference w:id="89"/>
      </w:r>
      <w:r w:rsidR="00B639BC" w:rsidRPr="004E3E07">
        <w:rPr>
          <w:rFonts w:ascii="Cambria" w:eastAsia="Cambria" w:hAnsi="Cambria" w:cs="Cambria"/>
          <w:sz w:val="20"/>
          <w:szCs w:val="20"/>
          <w:lang w:val="es-MX"/>
        </w:rPr>
        <w:t xml:space="preserve">. </w:t>
      </w:r>
    </w:p>
    <w:p w14:paraId="198AFC7A" w14:textId="05161134" w:rsidR="00910D10" w:rsidRPr="004E3E07" w:rsidRDefault="00910D10" w:rsidP="00910D10">
      <w:pPr>
        <w:numPr>
          <w:ilvl w:val="1"/>
          <w:numId w:val="10"/>
        </w:numPr>
        <w:shd w:val="clear" w:color="auto" w:fill="FFFFFF"/>
        <w:spacing w:after="240" w:line="240" w:lineRule="auto"/>
        <w:ind w:left="1069"/>
        <w:jc w:val="both"/>
        <w:rPr>
          <w:rFonts w:ascii="Cambria" w:eastAsia="Cambria" w:hAnsi="Cambria" w:cs="Cambria"/>
          <w:sz w:val="20"/>
          <w:szCs w:val="20"/>
          <w:lang w:val="es-MX"/>
        </w:rPr>
      </w:pPr>
      <w:r w:rsidRPr="004E3E07">
        <w:rPr>
          <w:rFonts w:ascii="Cambria" w:eastAsia="Cambria" w:hAnsi="Cambria" w:cs="Cambria"/>
          <w:sz w:val="20"/>
          <w:szCs w:val="20"/>
          <w:lang w:val="es-MX"/>
        </w:rPr>
        <w:t xml:space="preserve">Banco Nacional de Datos Forenses: </w:t>
      </w:r>
      <w:r w:rsidR="005E3E22" w:rsidRPr="004E3E07">
        <w:rPr>
          <w:rFonts w:ascii="Cambria" w:eastAsia="Cambria" w:hAnsi="Cambria" w:cs="Cambria"/>
          <w:sz w:val="20"/>
          <w:szCs w:val="20"/>
          <w:lang w:val="es-MX"/>
        </w:rPr>
        <w:t xml:space="preserve">El Estado </w:t>
      </w:r>
      <w:r w:rsidR="00CD6407" w:rsidRPr="004E3E07">
        <w:rPr>
          <w:rFonts w:ascii="Cambria" w:eastAsia="Cambria" w:hAnsi="Cambria" w:cs="Cambria"/>
          <w:sz w:val="20"/>
          <w:szCs w:val="20"/>
          <w:lang w:val="es-MX"/>
        </w:rPr>
        <w:t xml:space="preserve">mexicano </w:t>
      </w:r>
      <w:r w:rsidR="005E3E22" w:rsidRPr="004E3E07">
        <w:rPr>
          <w:rFonts w:ascii="Cambria" w:eastAsia="Cambria" w:hAnsi="Cambria" w:cs="Cambria"/>
          <w:sz w:val="20"/>
          <w:szCs w:val="20"/>
          <w:lang w:val="es-MX"/>
        </w:rPr>
        <w:t>informó que</w:t>
      </w:r>
      <w:r w:rsidR="00BB1742" w:rsidRPr="004E3E07">
        <w:rPr>
          <w:rFonts w:ascii="Cambria" w:eastAsia="Cambria" w:hAnsi="Cambria" w:cs="Cambria"/>
          <w:sz w:val="20"/>
          <w:szCs w:val="20"/>
          <w:lang w:val="es-MX"/>
        </w:rPr>
        <w:t xml:space="preserve">, </w:t>
      </w:r>
      <w:r w:rsidR="00042CC4" w:rsidRPr="004E3E07">
        <w:rPr>
          <w:rFonts w:ascii="Cambria" w:eastAsia="Cambria" w:hAnsi="Cambria" w:cs="Cambria"/>
          <w:sz w:val="20"/>
          <w:szCs w:val="20"/>
          <w:lang w:val="es-MX"/>
        </w:rPr>
        <w:t xml:space="preserve">en virtud de la cooperación bilateral con el Gobierno de Estados Unidos, se </w:t>
      </w:r>
      <w:r w:rsidR="00E600E3" w:rsidRPr="004E3E07">
        <w:rPr>
          <w:rFonts w:ascii="Cambria" w:eastAsia="Cambria" w:hAnsi="Cambria" w:cs="Cambria"/>
          <w:sz w:val="20"/>
          <w:szCs w:val="20"/>
          <w:lang w:val="es-MX"/>
        </w:rPr>
        <w:t xml:space="preserve">firmó un acuerdo </w:t>
      </w:r>
      <w:r w:rsidR="00BB1742" w:rsidRPr="004E3E07">
        <w:rPr>
          <w:rFonts w:ascii="Cambria" w:eastAsia="Cambria" w:hAnsi="Cambria" w:cs="Cambria"/>
          <w:sz w:val="20"/>
          <w:szCs w:val="20"/>
          <w:lang w:val="es-MX"/>
        </w:rPr>
        <w:t>para la donación de</w:t>
      </w:r>
      <w:r w:rsidR="00E600E3" w:rsidRPr="004E3E07">
        <w:rPr>
          <w:rFonts w:ascii="Cambria" w:eastAsia="Cambria" w:hAnsi="Cambria" w:cs="Cambria"/>
          <w:sz w:val="20"/>
          <w:szCs w:val="20"/>
          <w:lang w:val="es-MX"/>
        </w:rPr>
        <w:t>l S</w:t>
      </w:r>
      <w:r w:rsidR="00042CC4" w:rsidRPr="004E3E07">
        <w:rPr>
          <w:rFonts w:ascii="Cambria" w:eastAsia="Cambria" w:hAnsi="Cambria" w:cs="Cambria"/>
          <w:sz w:val="20"/>
          <w:szCs w:val="20"/>
          <w:lang w:val="es-MX"/>
        </w:rPr>
        <w:t>istema Índice Combinado de ADN (</w:t>
      </w:r>
      <w:r w:rsidRPr="004E3E07">
        <w:rPr>
          <w:rFonts w:ascii="Cambria" w:eastAsia="Cambria" w:hAnsi="Cambria" w:cs="Cambria"/>
          <w:sz w:val="20"/>
          <w:szCs w:val="20"/>
          <w:lang w:val="es-MX"/>
        </w:rPr>
        <w:t>CODIS</w:t>
      </w:r>
      <w:r w:rsidR="00042CC4" w:rsidRPr="004E3E07">
        <w:rPr>
          <w:rFonts w:ascii="Cambria" w:eastAsia="Cambria" w:hAnsi="Cambria" w:cs="Cambria"/>
          <w:sz w:val="20"/>
          <w:szCs w:val="20"/>
          <w:lang w:val="es-MX"/>
        </w:rPr>
        <w:t>, por sus siglas en inglés)</w:t>
      </w:r>
      <w:r w:rsidR="00CD6407" w:rsidRPr="004E3E07">
        <w:rPr>
          <w:rFonts w:ascii="Cambria" w:eastAsia="Cambria" w:hAnsi="Cambria" w:cs="Cambria"/>
          <w:sz w:val="20"/>
          <w:szCs w:val="20"/>
          <w:lang w:val="es-MX"/>
        </w:rPr>
        <w:t xml:space="preserve"> y su </w:t>
      </w:r>
      <w:r w:rsidR="00042CC4" w:rsidRPr="004E3E07">
        <w:rPr>
          <w:rFonts w:ascii="Cambria" w:eastAsia="Cambria" w:hAnsi="Cambria" w:cs="Cambria"/>
          <w:sz w:val="20"/>
          <w:szCs w:val="20"/>
          <w:lang w:val="es-MX"/>
        </w:rPr>
        <w:t xml:space="preserve">implementación </w:t>
      </w:r>
      <w:r w:rsidR="00E600E3" w:rsidRPr="004E3E07">
        <w:rPr>
          <w:rFonts w:ascii="Cambria" w:eastAsia="Cambria" w:hAnsi="Cambria" w:cs="Cambria"/>
          <w:sz w:val="20"/>
          <w:szCs w:val="20"/>
          <w:lang w:val="es-MX"/>
        </w:rPr>
        <w:t xml:space="preserve">en todos los laboratorios forenses de </w:t>
      </w:r>
      <w:r w:rsidR="00BD7981" w:rsidRPr="004E3E07">
        <w:rPr>
          <w:rFonts w:ascii="Cambria" w:eastAsia="Cambria" w:hAnsi="Cambria" w:cs="Cambria"/>
          <w:sz w:val="20"/>
          <w:szCs w:val="20"/>
          <w:lang w:val="es-MX"/>
        </w:rPr>
        <w:t>las fiscalías</w:t>
      </w:r>
      <w:r w:rsidR="00CD6407" w:rsidRPr="004E3E07">
        <w:rPr>
          <w:rFonts w:ascii="Cambria" w:eastAsia="Cambria" w:hAnsi="Cambria" w:cs="Cambria"/>
          <w:sz w:val="20"/>
          <w:szCs w:val="20"/>
          <w:lang w:val="es-MX"/>
        </w:rPr>
        <w:t xml:space="preserve"> y </w:t>
      </w:r>
      <w:r w:rsidR="00BD7981" w:rsidRPr="004E3E07">
        <w:rPr>
          <w:rFonts w:ascii="Cambria" w:eastAsia="Cambria" w:hAnsi="Cambria" w:cs="Cambria"/>
          <w:sz w:val="20"/>
          <w:szCs w:val="20"/>
          <w:lang w:val="es-MX"/>
        </w:rPr>
        <w:t>laboratorios gubernamentales vinculados con la procuración de justicia en México</w:t>
      </w:r>
      <w:r w:rsidR="00E600E3" w:rsidRPr="004E3E07">
        <w:rPr>
          <w:rStyle w:val="FootnoteReference"/>
          <w:rFonts w:ascii="Cambria" w:eastAsia="Cambria" w:hAnsi="Cambria" w:cs="Cambria"/>
          <w:sz w:val="20"/>
          <w:szCs w:val="20"/>
          <w:lang w:val="es-MX"/>
        </w:rPr>
        <w:footnoteReference w:id="90"/>
      </w:r>
      <w:r w:rsidRPr="004E3E07">
        <w:rPr>
          <w:rFonts w:ascii="Cambria" w:eastAsia="Cambria" w:hAnsi="Cambria" w:cs="Cambria"/>
          <w:sz w:val="20"/>
          <w:szCs w:val="20"/>
          <w:lang w:val="es-MX"/>
        </w:rPr>
        <w:t>.</w:t>
      </w:r>
      <w:r w:rsidR="00E600E3" w:rsidRPr="004E3E07">
        <w:rPr>
          <w:rFonts w:ascii="Cambria" w:eastAsia="Cambria" w:hAnsi="Cambria" w:cs="Cambria"/>
          <w:sz w:val="20"/>
          <w:szCs w:val="20"/>
          <w:lang w:val="es-MX"/>
        </w:rPr>
        <w:t xml:space="preserve"> </w:t>
      </w:r>
      <w:r w:rsidR="00CD6407" w:rsidRPr="004E3E07">
        <w:rPr>
          <w:rFonts w:ascii="Cambria" w:eastAsia="Cambria" w:hAnsi="Cambria" w:cs="Cambria"/>
          <w:sz w:val="20"/>
          <w:szCs w:val="20"/>
          <w:lang w:val="es-MX"/>
        </w:rPr>
        <w:t>Asimismo</w:t>
      </w:r>
      <w:r w:rsidR="00E600E3" w:rsidRPr="004E3E07">
        <w:rPr>
          <w:rFonts w:ascii="Cambria" w:eastAsia="Cambria" w:hAnsi="Cambria" w:cs="Cambria"/>
          <w:sz w:val="20"/>
          <w:szCs w:val="20"/>
          <w:lang w:val="es-MX"/>
        </w:rPr>
        <w:t xml:space="preserve">, </w:t>
      </w:r>
      <w:r w:rsidR="00E600E3" w:rsidRPr="004E3E07">
        <w:rPr>
          <w:rFonts w:ascii="Cambria" w:hAnsi="Cambria"/>
          <w:sz w:val="20"/>
          <w:szCs w:val="20"/>
          <w:lang w:val="es-MX"/>
        </w:rPr>
        <w:t xml:space="preserve">México indicó que se encuentra trabajando en un sistema informático nacional interoperable que permita el intercambio de información entre la Base de datos </w:t>
      </w:r>
      <w:r w:rsidR="00E600E3" w:rsidRPr="004E3E07">
        <w:rPr>
          <w:rFonts w:ascii="Cambria" w:hAnsi="Cambria"/>
          <w:i/>
          <w:sz w:val="20"/>
          <w:szCs w:val="20"/>
          <w:lang w:val="es-MX"/>
        </w:rPr>
        <w:t>ante mortem/post mortem</w:t>
      </w:r>
      <w:r w:rsidR="00430AB7" w:rsidRPr="004E3E07">
        <w:rPr>
          <w:rFonts w:ascii="Cambria" w:hAnsi="Cambria"/>
          <w:sz w:val="20"/>
          <w:szCs w:val="20"/>
          <w:lang w:val="es-MX"/>
        </w:rPr>
        <w:t>, el Banco Nacional de Datos Forenses</w:t>
      </w:r>
      <w:r w:rsidR="00E600E3" w:rsidRPr="004E3E07">
        <w:rPr>
          <w:rFonts w:ascii="Cambria" w:hAnsi="Cambria"/>
          <w:sz w:val="20"/>
          <w:szCs w:val="20"/>
          <w:lang w:val="es-MX"/>
        </w:rPr>
        <w:t>, el Registro Nacional de Personas Fallecidas, No identificadas y No Reclamadas, así como el Registro Nacional de Fosas en las fases de implementación que van desde 2021 a 2024</w:t>
      </w:r>
      <w:r w:rsidR="00430AB7" w:rsidRPr="004E3E07">
        <w:rPr>
          <w:rStyle w:val="FootnoteReference"/>
          <w:rFonts w:ascii="Cambria" w:hAnsi="Cambria"/>
          <w:sz w:val="20"/>
          <w:szCs w:val="20"/>
          <w:lang w:val="es-MX"/>
        </w:rPr>
        <w:footnoteReference w:id="91"/>
      </w:r>
      <w:r w:rsidR="00E600E3" w:rsidRPr="004E3E07">
        <w:rPr>
          <w:rFonts w:ascii="Cambria" w:eastAsia="Cambria" w:hAnsi="Cambria" w:cs="Cambria"/>
          <w:sz w:val="20"/>
          <w:szCs w:val="20"/>
          <w:lang w:val="es-MX"/>
        </w:rPr>
        <w:t xml:space="preserve">. </w:t>
      </w:r>
    </w:p>
    <w:p w14:paraId="14606987" w14:textId="1F9A6A88" w:rsidR="002277F5" w:rsidRPr="004E3E07" w:rsidRDefault="007E25FF">
      <w:pPr>
        <w:numPr>
          <w:ilvl w:val="1"/>
          <w:numId w:val="10"/>
        </w:numPr>
        <w:shd w:val="clear" w:color="auto" w:fill="FFFFFF"/>
        <w:spacing w:after="240" w:line="240" w:lineRule="auto"/>
        <w:ind w:left="1069"/>
        <w:jc w:val="both"/>
        <w:rPr>
          <w:rFonts w:ascii="Cambria" w:eastAsia="Cambria" w:hAnsi="Cambria" w:cs="Cambria"/>
          <w:sz w:val="20"/>
          <w:szCs w:val="20"/>
          <w:lang w:val="es-MX"/>
        </w:rPr>
      </w:pPr>
      <w:r w:rsidRPr="004E3E07">
        <w:rPr>
          <w:rFonts w:ascii="Cambria" w:eastAsia="Cambria" w:hAnsi="Cambria" w:cs="Cambria"/>
          <w:sz w:val="20"/>
          <w:szCs w:val="20"/>
          <w:lang w:val="es-MX"/>
        </w:rPr>
        <w:t xml:space="preserve">Registro Nacional de Personas Fallecidas No Identificadas y No Reclamadas: </w:t>
      </w:r>
      <w:r w:rsidR="005E5F18" w:rsidRPr="004E3E07">
        <w:rPr>
          <w:rFonts w:ascii="Cambria" w:eastAsia="Cambria" w:hAnsi="Cambria" w:cs="Cambria"/>
          <w:sz w:val="20"/>
          <w:szCs w:val="20"/>
          <w:lang w:val="es-MX"/>
        </w:rPr>
        <w:t>El Estado informó sobre la adopción de medidas para la implementación del Registro Nacional de Personas Fallecidas No Identificadas y No Reclamadas en distintas fases de implementación que van desde 2021 hasta el 2024</w:t>
      </w:r>
      <w:r w:rsidR="005E5F18" w:rsidRPr="004E3E07">
        <w:rPr>
          <w:rStyle w:val="FootnoteReference"/>
          <w:rFonts w:ascii="Cambria" w:hAnsi="Cambria"/>
          <w:sz w:val="20"/>
          <w:szCs w:val="20"/>
          <w:lang w:val="es-MX"/>
        </w:rPr>
        <w:footnoteReference w:id="92"/>
      </w:r>
      <w:r w:rsidR="005E5F18" w:rsidRPr="004E3E07">
        <w:rPr>
          <w:rFonts w:ascii="Cambria" w:eastAsia="Cambria" w:hAnsi="Cambria" w:cs="Cambria"/>
          <w:sz w:val="20"/>
          <w:szCs w:val="20"/>
          <w:lang w:val="es-MX"/>
        </w:rPr>
        <w:t xml:space="preserve">. </w:t>
      </w:r>
    </w:p>
    <w:p w14:paraId="14606988" w14:textId="684D5E0F" w:rsidR="002277F5" w:rsidRPr="004E3E07" w:rsidRDefault="007E25FF">
      <w:pPr>
        <w:numPr>
          <w:ilvl w:val="1"/>
          <w:numId w:val="10"/>
        </w:numPr>
        <w:shd w:val="clear" w:color="auto" w:fill="FFFFFF"/>
        <w:spacing w:after="240" w:line="240" w:lineRule="auto"/>
        <w:ind w:left="1069"/>
        <w:jc w:val="both"/>
        <w:rPr>
          <w:rFonts w:ascii="Cambria" w:eastAsia="Cambria" w:hAnsi="Cambria" w:cs="Cambria"/>
          <w:sz w:val="20"/>
          <w:szCs w:val="20"/>
          <w:lang w:val="es-MX"/>
        </w:rPr>
      </w:pPr>
      <w:r w:rsidRPr="004E3E07">
        <w:rPr>
          <w:rFonts w:ascii="Cambria" w:eastAsia="Cambria" w:hAnsi="Cambria" w:cs="Cambria"/>
          <w:sz w:val="20"/>
          <w:szCs w:val="20"/>
          <w:lang w:val="es-MX"/>
        </w:rPr>
        <w:t>Registro</w:t>
      </w:r>
      <w:r w:rsidR="00A621A7" w:rsidRPr="004E3E07">
        <w:rPr>
          <w:rFonts w:ascii="Cambria" w:eastAsia="Cambria" w:hAnsi="Cambria" w:cs="Cambria"/>
          <w:sz w:val="20"/>
          <w:szCs w:val="20"/>
          <w:lang w:val="es-MX"/>
        </w:rPr>
        <w:t xml:space="preserve"> Nacional de Fosas:</w:t>
      </w:r>
      <w:r w:rsidR="005E5F18" w:rsidRPr="004E3E07">
        <w:rPr>
          <w:rFonts w:ascii="Cambria" w:eastAsia="Cambria" w:hAnsi="Cambria" w:cs="Cambria"/>
          <w:sz w:val="20"/>
          <w:szCs w:val="20"/>
          <w:lang w:val="es-MX"/>
        </w:rPr>
        <w:t xml:space="preserve"> El Estado informó sobre la adopción de medidas para la implementación del Registro Nacional de Fosas en distintas fases de implementación que van desde 2021 hasta el 2024</w:t>
      </w:r>
      <w:r w:rsidR="005E5F18" w:rsidRPr="004E3E07">
        <w:rPr>
          <w:rStyle w:val="FootnoteReference"/>
          <w:rFonts w:ascii="Cambria" w:hAnsi="Cambria"/>
          <w:sz w:val="20"/>
          <w:szCs w:val="20"/>
          <w:lang w:val="es-MX"/>
        </w:rPr>
        <w:footnoteReference w:id="93"/>
      </w:r>
      <w:r w:rsidR="005E5F18" w:rsidRPr="004E3E07">
        <w:rPr>
          <w:rFonts w:ascii="Cambria" w:eastAsia="Cambria" w:hAnsi="Cambria" w:cs="Cambria"/>
          <w:sz w:val="20"/>
          <w:szCs w:val="20"/>
          <w:lang w:val="es-MX"/>
        </w:rPr>
        <w:t xml:space="preserve">. Además, indicó sobre </w:t>
      </w:r>
      <w:r w:rsidR="00A621A7" w:rsidRPr="004E3E07">
        <w:rPr>
          <w:rFonts w:ascii="Cambria" w:eastAsia="Cambria" w:hAnsi="Cambria" w:cs="Cambria"/>
          <w:sz w:val="20"/>
          <w:szCs w:val="20"/>
          <w:lang w:val="es-MX"/>
        </w:rPr>
        <w:t xml:space="preserve">esfuerzos </w:t>
      </w:r>
      <w:r w:rsidR="00A1619D" w:rsidRPr="004E3E07">
        <w:rPr>
          <w:rFonts w:ascii="Cambria" w:eastAsia="Cambria" w:hAnsi="Cambria" w:cs="Cambria"/>
          <w:sz w:val="20"/>
          <w:szCs w:val="20"/>
          <w:lang w:val="es-MX"/>
        </w:rPr>
        <w:t>por parte de la</w:t>
      </w:r>
      <w:r w:rsidR="00A621A7" w:rsidRPr="004E3E07">
        <w:rPr>
          <w:rFonts w:ascii="Cambria" w:eastAsia="Cambria" w:hAnsi="Cambria" w:cs="Cambria"/>
          <w:sz w:val="20"/>
          <w:szCs w:val="20"/>
          <w:lang w:val="es-MX"/>
        </w:rPr>
        <w:t xml:space="preserve"> CNB para concentrar un registro de contextos de hallazgo y cuerpos</w:t>
      </w:r>
      <w:r w:rsidR="00A1619D" w:rsidRPr="004E3E07">
        <w:rPr>
          <w:rFonts w:ascii="Cambria" w:eastAsia="Cambria" w:hAnsi="Cambria" w:cs="Cambria"/>
          <w:sz w:val="20"/>
          <w:szCs w:val="20"/>
          <w:lang w:val="es-MX"/>
        </w:rPr>
        <w:t xml:space="preserve">, así como el levantamiento de información sobre las inhumaciones en fosas comunes de panteones municipales, </w:t>
      </w:r>
      <w:r w:rsidR="00A621A7" w:rsidRPr="004E3E07">
        <w:rPr>
          <w:rFonts w:ascii="Cambria" w:eastAsia="Cambria" w:hAnsi="Cambria" w:cs="Cambria"/>
          <w:sz w:val="20"/>
          <w:szCs w:val="20"/>
          <w:lang w:val="es-MX"/>
        </w:rPr>
        <w:t>e indicó que dicha información deberá alimentar el Registro Nacional de Fosas</w:t>
      </w:r>
      <w:r w:rsidR="00A1619D" w:rsidRPr="004E3E07">
        <w:rPr>
          <w:rStyle w:val="FootnoteReference"/>
          <w:rFonts w:ascii="Cambria" w:eastAsia="Cambria" w:hAnsi="Cambria" w:cs="Cambria"/>
          <w:sz w:val="20"/>
          <w:szCs w:val="20"/>
          <w:lang w:val="es-MX"/>
        </w:rPr>
        <w:footnoteReference w:id="94"/>
      </w:r>
      <w:r w:rsidR="00A621A7" w:rsidRPr="004E3E07">
        <w:rPr>
          <w:rFonts w:ascii="Cambria" w:eastAsia="Cambria" w:hAnsi="Cambria" w:cs="Cambria"/>
          <w:sz w:val="20"/>
          <w:szCs w:val="20"/>
          <w:lang w:val="es-MX"/>
        </w:rPr>
        <w:t xml:space="preserve">. </w:t>
      </w:r>
      <w:r w:rsidR="00A1619D" w:rsidRPr="004E3E07">
        <w:rPr>
          <w:rFonts w:ascii="Cambria" w:eastAsia="Cambria" w:hAnsi="Cambria" w:cs="Cambria"/>
          <w:sz w:val="20"/>
          <w:szCs w:val="20"/>
          <w:lang w:val="es-MX"/>
        </w:rPr>
        <w:t>Sin perjuicio de lo anterior</w:t>
      </w:r>
      <w:r w:rsidR="00A621A7" w:rsidRPr="004E3E07">
        <w:rPr>
          <w:rFonts w:ascii="Cambria" w:eastAsia="Cambria" w:hAnsi="Cambria" w:cs="Cambria"/>
          <w:sz w:val="20"/>
          <w:szCs w:val="20"/>
          <w:lang w:val="es-MX"/>
        </w:rPr>
        <w:t>, la C</w:t>
      </w:r>
      <w:r w:rsidR="00A1619D" w:rsidRPr="004E3E07">
        <w:rPr>
          <w:rFonts w:ascii="Cambria" w:eastAsia="Cambria" w:hAnsi="Cambria" w:cs="Cambria"/>
          <w:sz w:val="20"/>
          <w:szCs w:val="20"/>
          <w:lang w:val="es-MX"/>
        </w:rPr>
        <w:t xml:space="preserve">IDH </w:t>
      </w:r>
      <w:r w:rsidR="00A621A7" w:rsidRPr="004E3E07">
        <w:rPr>
          <w:rFonts w:ascii="Cambria" w:eastAsia="Cambria" w:hAnsi="Cambria" w:cs="Cambria"/>
          <w:sz w:val="20"/>
          <w:szCs w:val="20"/>
          <w:lang w:val="es-MX"/>
        </w:rPr>
        <w:t xml:space="preserve">observa que el establecimiento de </w:t>
      </w:r>
      <w:r w:rsidR="00A1619D" w:rsidRPr="004E3E07">
        <w:rPr>
          <w:rFonts w:ascii="Cambria" w:eastAsia="Cambria" w:hAnsi="Cambria" w:cs="Cambria"/>
          <w:sz w:val="20"/>
          <w:szCs w:val="20"/>
          <w:lang w:val="es-MX"/>
        </w:rPr>
        <w:t xml:space="preserve">la </w:t>
      </w:r>
      <w:r w:rsidR="00A621A7" w:rsidRPr="004E3E07">
        <w:rPr>
          <w:rFonts w:ascii="Cambria" w:eastAsia="Cambria" w:hAnsi="Cambria" w:cs="Cambria"/>
          <w:sz w:val="20"/>
          <w:szCs w:val="20"/>
          <w:lang w:val="es-MX"/>
        </w:rPr>
        <w:t xml:space="preserve">base de datos </w:t>
      </w:r>
      <w:r w:rsidR="00A1619D" w:rsidRPr="004E3E07">
        <w:rPr>
          <w:rFonts w:ascii="Cambria" w:eastAsia="Cambria" w:hAnsi="Cambria" w:cs="Cambria"/>
          <w:sz w:val="20"/>
          <w:szCs w:val="20"/>
          <w:lang w:val="es-MX"/>
        </w:rPr>
        <w:t xml:space="preserve">en mención </w:t>
      </w:r>
      <w:r w:rsidR="00A621A7" w:rsidRPr="004E3E07">
        <w:rPr>
          <w:rFonts w:ascii="Cambria" w:eastAsia="Cambria" w:hAnsi="Cambria" w:cs="Cambria"/>
          <w:sz w:val="20"/>
          <w:szCs w:val="20"/>
          <w:lang w:val="es-MX"/>
        </w:rPr>
        <w:t xml:space="preserve">aún no se encuentra en funcionamiento, </w:t>
      </w:r>
      <w:r w:rsidR="007E467E" w:rsidRPr="004E3E07">
        <w:rPr>
          <w:rFonts w:ascii="Cambria" w:eastAsia="Cambria" w:hAnsi="Cambria" w:cs="Cambria"/>
          <w:sz w:val="20"/>
          <w:szCs w:val="20"/>
          <w:lang w:val="es-MX"/>
        </w:rPr>
        <w:t xml:space="preserve">según se detalla </w:t>
      </w:r>
      <w:r w:rsidR="00A621A7" w:rsidRPr="004E3E07">
        <w:rPr>
          <w:rFonts w:ascii="Cambria" w:eastAsia="Cambria" w:hAnsi="Cambria" w:cs="Cambria"/>
          <w:sz w:val="20"/>
          <w:szCs w:val="20"/>
          <w:lang w:val="es-MX"/>
        </w:rPr>
        <w:t>más adelante</w:t>
      </w:r>
      <w:r w:rsidR="000C54CF">
        <w:rPr>
          <w:rFonts w:ascii="Cambria" w:eastAsia="Cambria" w:hAnsi="Cambria" w:cs="Cambria"/>
          <w:sz w:val="20"/>
          <w:szCs w:val="20"/>
          <w:lang w:val="es-MX"/>
        </w:rPr>
        <w:t xml:space="preserve"> en el informe,</w:t>
      </w:r>
    </w:p>
    <w:p w14:paraId="2577B5E8" w14:textId="65AE649A" w:rsidR="00AD7AF9" w:rsidRPr="00AD7AF9" w:rsidRDefault="007E25FF" w:rsidP="00AD7AF9">
      <w:pPr>
        <w:numPr>
          <w:ilvl w:val="1"/>
          <w:numId w:val="10"/>
        </w:numPr>
        <w:shd w:val="clear" w:color="auto" w:fill="FFFFFF"/>
        <w:spacing w:after="240" w:line="240" w:lineRule="auto"/>
        <w:ind w:left="1069"/>
        <w:jc w:val="both"/>
        <w:rPr>
          <w:rFonts w:asciiTheme="minorHAnsi" w:eastAsia="Cambria" w:hAnsiTheme="minorHAnsi" w:cs="Cambria"/>
          <w:sz w:val="20"/>
          <w:szCs w:val="20"/>
          <w:lang w:val="es-MX"/>
        </w:rPr>
      </w:pPr>
      <w:r w:rsidRPr="00AD7AF9">
        <w:rPr>
          <w:rFonts w:asciiTheme="minorHAnsi" w:eastAsia="Cambria" w:hAnsiTheme="minorHAnsi" w:cs="Cambria"/>
          <w:sz w:val="20"/>
          <w:szCs w:val="20"/>
          <w:lang w:val="es-MX"/>
        </w:rPr>
        <w:t xml:space="preserve">Registro Administrativo de Detenciones: </w:t>
      </w:r>
      <w:r w:rsidR="000A2DF2" w:rsidRPr="00AD7AF9">
        <w:rPr>
          <w:rFonts w:asciiTheme="minorHAnsi" w:eastAsia="Cambria" w:hAnsiTheme="minorHAnsi" w:cs="Cambria"/>
          <w:sz w:val="20"/>
          <w:szCs w:val="20"/>
          <w:lang w:val="es-MX"/>
        </w:rPr>
        <w:t xml:space="preserve">La Comisión </w:t>
      </w:r>
      <w:r w:rsidR="00177761" w:rsidRPr="00AD7AF9">
        <w:rPr>
          <w:rFonts w:asciiTheme="minorHAnsi" w:eastAsia="Cambria" w:hAnsiTheme="minorHAnsi" w:cs="Cambria"/>
          <w:sz w:val="20"/>
          <w:szCs w:val="20"/>
          <w:lang w:val="es-MX"/>
        </w:rPr>
        <w:t xml:space="preserve">tomó conocimiento </w:t>
      </w:r>
      <w:r w:rsidR="000A2DF2" w:rsidRPr="00AD7AF9">
        <w:rPr>
          <w:rFonts w:asciiTheme="minorHAnsi" w:eastAsia="Cambria" w:hAnsiTheme="minorHAnsi" w:cs="Cambria"/>
          <w:sz w:val="20"/>
          <w:szCs w:val="20"/>
          <w:lang w:val="es-MX"/>
        </w:rPr>
        <w:t xml:space="preserve">sobre la </w:t>
      </w:r>
      <w:r w:rsidR="006269DA">
        <w:rPr>
          <w:rFonts w:asciiTheme="minorHAnsi" w:eastAsia="Cambria" w:hAnsiTheme="minorHAnsi" w:cs="Cambria"/>
          <w:sz w:val="20"/>
          <w:szCs w:val="20"/>
          <w:lang w:val="es-MX"/>
        </w:rPr>
        <w:t xml:space="preserve">plena </w:t>
      </w:r>
      <w:r w:rsidR="000A2DF2" w:rsidRPr="00AD7AF9">
        <w:rPr>
          <w:rFonts w:asciiTheme="minorHAnsi" w:eastAsia="Cambria" w:hAnsiTheme="minorHAnsi" w:cs="Cambria"/>
          <w:sz w:val="20"/>
          <w:szCs w:val="20"/>
          <w:lang w:val="es-MX"/>
        </w:rPr>
        <w:t>entrada en funciones del Registro Nacional de Detenciones</w:t>
      </w:r>
      <w:r w:rsidR="00177761" w:rsidRPr="00AD7AF9">
        <w:rPr>
          <w:rFonts w:asciiTheme="minorHAnsi" w:eastAsia="Cambria" w:hAnsiTheme="minorHAnsi" w:cs="Cambria"/>
          <w:sz w:val="20"/>
          <w:szCs w:val="20"/>
          <w:lang w:val="es-MX"/>
        </w:rPr>
        <w:t xml:space="preserve"> el 1 de abril de 2021, mismo que </w:t>
      </w:r>
      <w:r w:rsidR="000A2DF2" w:rsidRPr="00AD7AF9">
        <w:rPr>
          <w:rFonts w:asciiTheme="minorHAnsi" w:eastAsia="Cambria" w:hAnsiTheme="minorHAnsi" w:cs="Cambria"/>
          <w:sz w:val="20"/>
          <w:szCs w:val="20"/>
          <w:lang w:val="es-MX"/>
        </w:rPr>
        <w:t>cuenta con una versión pública que permite conocer si una persona ha sido detenida y, en su caso, ubicar el lugar donde se encuentra</w:t>
      </w:r>
      <w:r w:rsidR="000E15A7" w:rsidRPr="00BA6325">
        <w:rPr>
          <w:rStyle w:val="FootnoteReference"/>
          <w:rFonts w:asciiTheme="minorHAnsi" w:eastAsia="Cambria" w:hAnsiTheme="minorHAnsi" w:cs="Cambria"/>
          <w:sz w:val="20"/>
          <w:szCs w:val="20"/>
          <w:lang w:val="es-MX"/>
        </w:rPr>
        <w:footnoteReference w:id="95"/>
      </w:r>
      <w:r w:rsidR="000E15A7" w:rsidRPr="00BA6325">
        <w:rPr>
          <w:rFonts w:asciiTheme="minorHAnsi" w:eastAsia="Cambria" w:hAnsiTheme="minorHAnsi" w:cs="Cambria"/>
          <w:sz w:val="20"/>
          <w:szCs w:val="20"/>
          <w:lang w:val="es-MX"/>
        </w:rPr>
        <w:t>. Pese</w:t>
      </w:r>
      <w:r w:rsidR="00AD7AF9" w:rsidRPr="00AD7AF9">
        <w:rPr>
          <w:rFonts w:asciiTheme="minorHAnsi" w:eastAsia="Cambria" w:hAnsiTheme="minorHAnsi" w:cs="Cambria"/>
          <w:sz w:val="20"/>
          <w:szCs w:val="20"/>
          <w:lang w:val="es-MX"/>
        </w:rPr>
        <w:t xml:space="preserve"> lo anterior, la CIDH </w:t>
      </w:r>
      <w:r w:rsidR="006269DA">
        <w:rPr>
          <w:rFonts w:asciiTheme="minorHAnsi" w:eastAsia="Cambria" w:hAnsiTheme="minorHAnsi" w:cs="Cambria"/>
          <w:sz w:val="20"/>
          <w:szCs w:val="20"/>
          <w:lang w:val="es-MX"/>
        </w:rPr>
        <w:t>nota</w:t>
      </w:r>
      <w:r w:rsidR="00AD7AF9" w:rsidRPr="00AD7AF9">
        <w:rPr>
          <w:rFonts w:asciiTheme="minorHAnsi" w:eastAsia="Cambria" w:hAnsiTheme="minorHAnsi" w:cs="Cambria"/>
          <w:sz w:val="20"/>
          <w:szCs w:val="20"/>
          <w:lang w:val="es-MX"/>
        </w:rPr>
        <w:t xml:space="preserve"> que la acción de inconstitucionalidad planteada</w:t>
      </w:r>
      <w:r w:rsidR="006269DA">
        <w:rPr>
          <w:rFonts w:asciiTheme="minorHAnsi" w:eastAsia="Cambria" w:hAnsiTheme="minorHAnsi" w:cs="Cambria"/>
          <w:sz w:val="20"/>
          <w:szCs w:val="20"/>
          <w:lang w:val="es-MX"/>
        </w:rPr>
        <w:t xml:space="preserve"> </w:t>
      </w:r>
      <w:r w:rsidR="00AD7AF9" w:rsidRPr="00AD7AF9">
        <w:rPr>
          <w:rFonts w:asciiTheme="minorHAnsi" w:eastAsia="Cambria" w:hAnsiTheme="minorHAnsi" w:cs="Cambria"/>
          <w:sz w:val="20"/>
          <w:szCs w:val="20"/>
          <w:lang w:val="es-MX"/>
        </w:rPr>
        <w:t xml:space="preserve">por la CNDH </w:t>
      </w:r>
      <w:r w:rsidR="006269DA">
        <w:rPr>
          <w:rFonts w:asciiTheme="minorHAnsi" w:eastAsia="Cambria" w:hAnsiTheme="minorHAnsi" w:cs="Cambria"/>
          <w:sz w:val="20"/>
          <w:szCs w:val="20"/>
          <w:lang w:val="es-MX"/>
        </w:rPr>
        <w:t>ante la SCJN</w:t>
      </w:r>
      <w:r w:rsidR="006269DA" w:rsidRPr="00AD7AF9">
        <w:rPr>
          <w:rFonts w:asciiTheme="minorHAnsi" w:eastAsia="Cambria" w:hAnsiTheme="minorHAnsi" w:cs="Cambria"/>
          <w:sz w:val="20"/>
          <w:szCs w:val="20"/>
          <w:lang w:val="es-MX"/>
        </w:rPr>
        <w:t xml:space="preserve"> el 26 de junio de 2019</w:t>
      </w:r>
      <w:r w:rsidR="006269DA">
        <w:rPr>
          <w:rFonts w:asciiTheme="minorHAnsi" w:eastAsia="Cambria" w:hAnsiTheme="minorHAnsi" w:cs="Cambria"/>
          <w:sz w:val="20"/>
          <w:szCs w:val="20"/>
          <w:lang w:val="es-MX"/>
        </w:rPr>
        <w:t xml:space="preserve"> </w:t>
      </w:r>
      <w:r w:rsidR="00AD7AF9" w:rsidRPr="00AD7AF9">
        <w:rPr>
          <w:rFonts w:asciiTheme="minorHAnsi" w:eastAsia="Cambria" w:hAnsiTheme="minorHAnsi" w:cs="Cambria"/>
          <w:sz w:val="20"/>
          <w:szCs w:val="20"/>
          <w:lang w:val="es-MX"/>
        </w:rPr>
        <w:t>aún no se resuelve</w:t>
      </w:r>
      <w:r w:rsidR="006269DA">
        <w:rPr>
          <w:rFonts w:asciiTheme="minorHAnsi" w:eastAsia="Cambria" w:hAnsiTheme="minorHAnsi" w:cs="Cambria"/>
          <w:sz w:val="20"/>
          <w:szCs w:val="20"/>
          <w:lang w:val="es-MX"/>
        </w:rPr>
        <w:t xml:space="preserve"> pudiendo </w:t>
      </w:r>
      <w:r w:rsidR="006269DA" w:rsidRPr="004E3E07">
        <w:rPr>
          <w:rFonts w:ascii="Cambria" w:eastAsia="Times New Roman" w:hAnsi="Cambria" w:cs="Arial"/>
          <w:sz w:val="20"/>
          <w:szCs w:val="20"/>
          <w:lang w:val="es-MX"/>
        </w:rPr>
        <w:t>presentan desafíos en la pronta puesta a disposición de las personas detenidas</w:t>
      </w:r>
      <w:r w:rsidR="006269DA">
        <w:rPr>
          <w:rFonts w:asciiTheme="minorHAnsi" w:eastAsia="Cambria" w:hAnsiTheme="minorHAnsi" w:cs="Cambria"/>
          <w:sz w:val="20"/>
          <w:szCs w:val="20"/>
          <w:lang w:val="es-MX"/>
        </w:rPr>
        <w:t xml:space="preserve">, </w:t>
      </w:r>
      <w:r w:rsidR="00AD7AF9" w:rsidRPr="00AD7AF9">
        <w:rPr>
          <w:rFonts w:asciiTheme="minorHAnsi" w:eastAsia="Cambria" w:hAnsiTheme="minorHAnsi" w:cs="Cambria"/>
          <w:sz w:val="20"/>
          <w:szCs w:val="20"/>
          <w:lang w:val="es-MX"/>
        </w:rPr>
        <w:t>según se detalla más adelante</w:t>
      </w:r>
      <w:r w:rsidR="00AF1F1F">
        <w:rPr>
          <w:rFonts w:asciiTheme="minorHAnsi" w:eastAsia="Cambria" w:hAnsiTheme="minorHAnsi" w:cs="Cambria"/>
          <w:sz w:val="20"/>
          <w:szCs w:val="20"/>
          <w:lang w:val="es-MX"/>
        </w:rPr>
        <w:t>.</w:t>
      </w:r>
    </w:p>
    <w:p w14:paraId="1460698A" w14:textId="634E35DA" w:rsidR="002277F5" w:rsidRPr="00974833" w:rsidRDefault="007E25FF" w:rsidP="004D4248">
      <w:pPr>
        <w:numPr>
          <w:ilvl w:val="1"/>
          <w:numId w:val="10"/>
        </w:numPr>
        <w:shd w:val="clear" w:color="auto" w:fill="FFFFFF"/>
        <w:spacing w:after="240" w:line="240" w:lineRule="auto"/>
        <w:ind w:left="1069"/>
        <w:jc w:val="both"/>
        <w:rPr>
          <w:rFonts w:asciiTheme="minorHAnsi" w:eastAsia="Cambria" w:hAnsiTheme="minorHAnsi" w:cs="Cambria"/>
          <w:sz w:val="20"/>
          <w:szCs w:val="20"/>
          <w:lang w:val="es-MX"/>
        </w:rPr>
      </w:pPr>
      <w:r w:rsidRPr="00974833">
        <w:rPr>
          <w:rFonts w:ascii="Cambria" w:eastAsia="Cambria" w:hAnsi="Cambria" w:cs="Cambria"/>
          <w:sz w:val="20"/>
          <w:szCs w:val="20"/>
          <w:lang w:val="es-MX"/>
        </w:rPr>
        <w:t xml:space="preserve">Alerta AMBER: </w:t>
      </w:r>
      <w:r w:rsidR="004D4248" w:rsidRPr="00974833">
        <w:rPr>
          <w:rFonts w:ascii="Cambria" w:eastAsia="Cambria" w:hAnsi="Cambria" w:cs="Cambria"/>
          <w:sz w:val="20"/>
          <w:szCs w:val="20"/>
          <w:lang w:val="es-MX"/>
        </w:rPr>
        <w:t>El Estado señaló que la Alerta AMBER tiene retos relacionados con la falta de verdadera capacidad para la búsqueda de niñas, niños y adolescentes</w:t>
      </w:r>
      <w:r w:rsidR="00C27DD3" w:rsidRPr="00974833">
        <w:rPr>
          <w:rStyle w:val="FootnoteReference"/>
          <w:rFonts w:ascii="Cambria" w:eastAsia="Cambria" w:hAnsi="Cambria" w:cs="Cambria"/>
          <w:sz w:val="20"/>
          <w:szCs w:val="20"/>
          <w:lang w:val="es-MX"/>
        </w:rPr>
        <w:footnoteReference w:id="96"/>
      </w:r>
      <w:r w:rsidR="004D4248" w:rsidRPr="00974833">
        <w:rPr>
          <w:rFonts w:ascii="Cambria" w:eastAsia="Cambria" w:hAnsi="Cambria" w:cs="Cambria"/>
          <w:sz w:val="20"/>
          <w:szCs w:val="20"/>
          <w:lang w:val="es-MX"/>
        </w:rPr>
        <w:t xml:space="preserve">. </w:t>
      </w:r>
      <w:r w:rsidR="007B69C1" w:rsidRPr="00974833">
        <w:rPr>
          <w:rFonts w:asciiTheme="minorHAnsi" w:eastAsia="Cambria" w:hAnsiTheme="minorHAnsi" w:cs="Cambria"/>
          <w:sz w:val="20"/>
          <w:szCs w:val="20"/>
          <w:lang w:val="es-MX"/>
        </w:rPr>
        <w:t xml:space="preserve">En sus observaciones al proyecto del presente informe, el Estado indicó que </w:t>
      </w:r>
      <w:r w:rsidR="007B69C1" w:rsidRPr="00974833">
        <w:rPr>
          <w:rFonts w:asciiTheme="minorHAnsi" w:hAnsiTheme="minorHAnsi"/>
          <w:sz w:val="20"/>
          <w:szCs w:val="20"/>
          <w:lang w:val="es-MX"/>
        </w:rPr>
        <w:t>durante el 2021, la CNB, con el apoyo de organizaciones especializadas en el tema de la niñez, y  la participación activa de niñas, niños y adolescentes, elaboró el Proyecto de Protocolo Adicional de Búsqueda para Niñas, Niños y Adolescentes (PABNNA), el cual fue aprobado por el Sistema Nacional en abril y publicado en agosto del 2021. El PABNNA debe ser aplicado de manera conjunta con el PHB</w:t>
      </w:r>
      <w:r w:rsidR="007B69C1" w:rsidRPr="00974833">
        <w:rPr>
          <w:rStyle w:val="FootnoteReference"/>
          <w:rFonts w:asciiTheme="minorHAnsi" w:hAnsiTheme="minorHAnsi"/>
          <w:sz w:val="20"/>
          <w:szCs w:val="20"/>
          <w:lang w:val="es-MX"/>
        </w:rPr>
        <w:footnoteReference w:id="97"/>
      </w:r>
      <w:r w:rsidR="007B69C1" w:rsidRPr="00974833">
        <w:rPr>
          <w:rFonts w:asciiTheme="minorHAnsi" w:hAnsiTheme="minorHAnsi"/>
          <w:sz w:val="20"/>
          <w:szCs w:val="20"/>
          <w:lang w:val="es-MX"/>
        </w:rPr>
        <w:t>.</w:t>
      </w:r>
    </w:p>
    <w:p w14:paraId="1460698B" w14:textId="38381484" w:rsidR="002277F5" w:rsidRPr="004E3E07" w:rsidRDefault="007E25FF" w:rsidP="671B68A5">
      <w:pPr>
        <w:numPr>
          <w:ilvl w:val="1"/>
          <w:numId w:val="10"/>
        </w:numPr>
        <w:shd w:val="clear" w:color="auto" w:fill="FFFFFF" w:themeFill="background1"/>
        <w:spacing w:after="240" w:line="240" w:lineRule="auto"/>
        <w:ind w:left="1069"/>
        <w:jc w:val="both"/>
        <w:rPr>
          <w:rFonts w:ascii="Cambria" w:eastAsiaTheme="minorEastAsia" w:hAnsi="Cambria" w:cstheme="minorBidi"/>
          <w:sz w:val="20"/>
          <w:szCs w:val="20"/>
          <w:lang w:val="es-MX"/>
        </w:rPr>
      </w:pPr>
      <w:r w:rsidRPr="004E3E07">
        <w:rPr>
          <w:rFonts w:ascii="Cambria" w:eastAsia="Cambria" w:hAnsi="Cambria" w:cs="Cambria"/>
          <w:sz w:val="20"/>
          <w:szCs w:val="20"/>
          <w:lang w:val="es-MX"/>
        </w:rPr>
        <w:t xml:space="preserve">Protocolo Homologado de Búsqueda: </w:t>
      </w:r>
      <w:r w:rsidR="00770AF5" w:rsidRPr="004E3E07">
        <w:rPr>
          <w:rFonts w:ascii="Cambria" w:eastAsia="Cambria" w:hAnsi="Cambria" w:cs="Cambria"/>
          <w:sz w:val="20"/>
          <w:szCs w:val="20"/>
          <w:lang w:val="es-MX"/>
        </w:rPr>
        <w:t xml:space="preserve">En su informe de seguimiento de 2020, </w:t>
      </w:r>
      <w:r w:rsidRPr="004E3E07">
        <w:rPr>
          <w:rFonts w:ascii="Cambria" w:eastAsia="Cambria" w:hAnsi="Cambria" w:cs="Cambria"/>
          <w:sz w:val="20"/>
          <w:szCs w:val="20"/>
          <w:lang w:val="es-MX"/>
        </w:rPr>
        <w:t xml:space="preserve">la </w:t>
      </w:r>
      <w:r w:rsidR="391A75A6" w:rsidRPr="004E3E07">
        <w:rPr>
          <w:rFonts w:ascii="Cambria" w:eastAsia="Cambria" w:hAnsi="Cambria" w:cs="Cambria"/>
          <w:sz w:val="20"/>
          <w:szCs w:val="20"/>
          <w:lang w:val="es-MX"/>
        </w:rPr>
        <w:t>Comisión saludó la publicación de</w:t>
      </w:r>
      <w:r w:rsidR="001D2154" w:rsidRPr="004E3E07">
        <w:rPr>
          <w:rFonts w:ascii="Cambria" w:eastAsia="Cambria" w:hAnsi="Cambria" w:cs="Cambria"/>
          <w:sz w:val="20"/>
          <w:szCs w:val="20"/>
          <w:lang w:val="es-MX"/>
        </w:rPr>
        <w:t xml:space="preserve">l </w:t>
      </w:r>
      <w:r w:rsidRPr="004E3E07">
        <w:rPr>
          <w:rFonts w:ascii="Cambria" w:eastAsia="Cambria" w:hAnsi="Cambria" w:cs="Cambria"/>
          <w:sz w:val="20"/>
          <w:szCs w:val="20"/>
          <w:lang w:val="es-MX"/>
        </w:rPr>
        <w:t xml:space="preserve">PHB </w:t>
      </w:r>
      <w:r w:rsidR="5BCF6790" w:rsidRPr="004E3E07">
        <w:rPr>
          <w:rFonts w:ascii="Cambria" w:eastAsia="Cambria" w:hAnsi="Cambria" w:cs="Cambria"/>
          <w:sz w:val="20"/>
          <w:szCs w:val="20"/>
          <w:lang w:val="es-MX"/>
        </w:rPr>
        <w:t xml:space="preserve">en </w:t>
      </w:r>
      <w:r w:rsidR="00770AF5" w:rsidRPr="004E3E07">
        <w:rPr>
          <w:rFonts w:ascii="Cambria" w:eastAsia="Cambria" w:hAnsi="Cambria" w:cs="Cambria"/>
          <w:sz w:val="20"/>
          <w:szCs w:val="20"/>
          <w:lang w:val="es-MX"/>
        </w:rPr>
        <w:t>octubre de 2020, y destacó que esta herramienta prevé</w:t>
      </w:r>
      <w:r w:rsidR="0EB4FE84" w:rsidRPr="004E3E07">
        <w:rPr>
          <w:rFonts w:ascii="Cambria" w:eastAsia="Cambria" w:hAnsi="Cambria" w:cs="Cambria"/>
          <w:sz w:val="20"/>
          <w:szCs w:val="20"/>
          <w:lang w:val="es-MX"/>
        </w:rPr>
        <w:t xml:space="preserve"> un mecanismo de búsqueda inmediata</w:t>
      </w:r>
      <w:r w:rsidR="492E0FA0" w:rsidRPr="004E3E07">
        <w:rPr>
          <w:rFonts w:ascii="Cambria" w:eastAsia="Cambria" w:hAnsi="Cambria" w:cs="Cambria"/>
          <w:sz w:val="20"/>
          <w:szCs w:val="20"/>
          <w:lang w:val="es-MX"/>
        </w:rPr>
        <w:t xml:space="preserve"> </w:t>
      </w:r>
      <w:r w:rsidR="00770AF5" w:rsidRPr="004E3E07">
        <w:rPr>
          <w:rFonts w:ascii="Cambria" w:eastAsia="Cambria" w:hAnsi="Cambria" w:cs="Cambria"/>
          <w:sz w:val="20"/>
          <w:szCs w:val="20"/>
          <w:lang w:val="es-MX"/>
        </w:rPr>
        <w:t xml:space="preserve">y </w:t>
      </w:r>
      <w:r w:rsidR="0024370A" w:rsidRPr="004E3E07">
        <w:rPr>
          <w:rFonts w:ascii="Cambria" w:eastAsia="Cambria" w:hAnsi="Cambria" w:cs="Cambria"/>
          <w:sz w:val="20"/>
          <w:szCs w:val="20"/>
          <w:lang w:val="es-MX"/>
        </w:rPr>
        <w:t xml:space="preserve">las </w:t>
      </w:r>
      <w:r w:rsidR="0EB4FE84" w:rsidRPr="004E3E07">
        <w:rPr>
          <w:rFonts w:ascii="Cambria" w:eastAsia="Cambria" w:hAnsi="Cambria" w:cs="Cambria"/>
          <w:sz w:val="20"/>
          <w:szCs w:val="20"/>
          <w:lang w:val="es-MX"/>
        </w:rPr>
        <w:t>metodologías diferenciadas para la búsqueda</w:t>
      </w:r>
      <w:r w:rsidR="45BC873B" w:rsidRPr="004E3E07">
        <w:rPr>
          <w:rFonts w:ascii="Cambria" w:eastAsia="Cambria" w:hAnsi="Cambria" w:cs="Cambria"/>
          <w:sz w:val="20"/>
          <w:szCs w:val="20"/>
          <w:lang w:val="es-MX"/>
        </w:rPr>
        <w:t xml:space="preserve"> de personas desaparecidas</w:t>
      </w:r>
      <w:r w:rsidRPr="004E3E07">
        <w:rPr>
          <w:rStyle w:val="FootnoteReference"/>
          <w:rFonts w:ascii="Cambria" w:eastAsia="Cambria" w:hAnsi="Cambria" w:cs="Cambria"/>
          <w:sz w:val="20"/>
          <w:szCs w:val="20"/>
          <w:lang w:val="es-MX"/>
        </w:rPr>
        <w:footnoteReference w:id="98"/>
      </w:r>
      <w:r w:rsidRPr="004E3E07">
        <w:rPr>
          <w:rFonts w:ascii="Cambria" w:eastAsia="Cambria" w:hAnsi="Cambria" w:cs="Cambria"/>
          <w:sz w:val="20"/>
          <w:szCs w:val="20"/>
          <w:lang w:val="es-MX"/>
        </w:rPr>
        <w:t>.</w:t>
      </w:r>
      <w:r w:rsidR="00770AF5" w:rsidRPr="004E3E07">
        <w:rPr>
          <w:rFonts w:ascii="Cambria" w:eastAsia="Cambria" w:hAnsi="Cambria" w:cs="Cambria"/>
          <w:sz w:val="20"/>
          <w:szCs w:val="20"/>
          <w:lang w:val="es-MX"/>
        </w:rPr>
        <w:t xml:space="preserve"> Por otro lado, la CIDH celebra la adopción y publicación del PABNNA como herramienta diferenciada para la búsqueda de niñez desaparecida, y reitera sus observaciones consignadas en el presente informe</w:t>
      </w:r>
      <w:r w:rsidR="00B62272">
        <w:rPr>
          <w:rFonts w:ascii="Cambria" w:eastAsia="Cambria" w:hAnsi="Cambria" w:cs="Cambria"/>
          <w:sz w:val="20"/>
          <w:szCs w:val="20"/>
          <w:lang w:val="es-MX"/>
        </w:rPr>
        <w:t>.</w:t>
      </w:r>
    </w:p>
    <w:p w14:paraId="785EA5EB" w14:textId="3392F192" w:rsidR="00F96E68" w:rsidRPr="004B6023" w:rsidRDefault="007E25FF" w:rsidP="671B68A5">
      <w:pPr>
        <w:numPr>
          <w:ilvl w:val="1"/>
          <w:numId w:val="10"/>
        </w:numPr>
        <w:shd w:val="clear" w:color="auto" w:fill="FFFFFF" w:themeFill="background1"/>
        <w:spacing w:after="240" w:line="240" w:lineRule="auto"/>
        <w:ind w:left="1069"/>
        <w:jc w:val="both"/>
        <w:rPr>
          <w:rFonts w:ascii="Cambria" w:eastAsia="Cambria" w:hAnsi="Cambria" w:cs="Cambria"/>
          <w:sz w:val="20"/>
          <w:szCs w:val="20"/>
          <w:lang w:val="es-MX"/>
        </w:rPr>
      </w:pPr>
      <w:r w:rsidRPr="004E3E07">
        <w:rPr>
          <w:rFonts w:ascii="Cambria" w:eastAsia="Cambria" w:hAnsi="Cambria" w:cs="Cambria"/>
          <w:sz w:val="20"/>
          <w:szCs w:val="20"/>
          <w:lang w:val="es-MX"/>
        </w:rPr>
        <w:t>Protoc</w:t>
      </w:r>
      <w:r w:rsidR="00EA7407" w:rsidRPr="004E3E07">
        <w:rPr>
          <w:rFonts w:ascii="Cambria" w:eastAsia="Cambria" w:hAnsi="Cambria" w:cs="Cambria"/>
          <w:sz w:val="20"/>
          <w:szCs w:val="20"/>
          <w:lang w:val="es-MX"/>
        </w:rPr>
        <w:t>olo Homologado de Investigación:</w:t>
      </w:r>
      <w:r w:rsidR="002874A2" w:rsidRPr="004E3E07">
        <w:rPr>
          <w:rFonts w:ascii="Cambria" w:eastAsia="Cambria" w:hAnsi="Cambria" w:cs="Cambria"/>
          <w:sz w:val="20"/>
          <w:szCs w:val="20"/>
          <w:lang w:val="es-MX"/>
        </w:rPr>
        <w:t xml:space="preserve"> El Estado reiteró</w:t>
      </w:r>
      <w:r w:rsidR="00EA7407" w:rsidRPr="004E3E07">
        <w:rPr>
          <w:rFonts w:ascii="Cambria" w:eastAsia="Cambria" w:hAnsi="Cambria" w:cs="Cambria"/>
          <w:sz w:val="20"/>
          <w:szCs w:val="20"/>
          <w:lang w:val="es-MX"/>
        </w:rPr>
        <w:t xml:space="preserve"> </w:t>
      </w:r>
      <w:r w:rsidR="002874A2" w:rsidRPr="004E3E07">
        <w:rPr>
          <w:rFonts w:ascii="Cambria" w:eastAsia="Cambria" w:hAnsi="Cambria" w:cs="Cambria"/>
          <w:sz w:val="20"/>
          <w:szCs w:val="20"/>
          <w:lang w:val="es-MX"/>
        </w:rPr>
        <w:t>información sobre</w:t>
      </w:r>
      <w:r w:rsidR="00B22262" w:rsidRPr="004E3E07">
        <w:rPr>
          <w:rFonts w:ascii="Cambria" w:eastAsia="Cambria" w:hAnsi="Cambria" w:cs="Cambria"/>
          <w:sz w:val="20"/>
          <w:szCs w:val="20"/>
          <w:lang w:val="es-MX"/>
        </w:rPr>
        <w:t xml:space="preserve"> la </w:t>
      </w:r>
      <w:r w:rsidR="00EA7407" w:rsidRPr="004E3E07">
        <w:rPr>
          <w:rFonts w:ascii="Cambria" w:eastAsia="Cambria" w:hAnsi="Cambria" w:cs="Cambria"/>
          <w:sz w:val="20"/>
          <w:szCs w:val="20"/>
          <w:lang w:val="es-MX"/>
        </w:rPr>
        <w:t>adopción y publicación del Protocolo Homolo</w:t>
      </w:r>
      <w:r w:rsidR="002874A2" w:rsidRPr="004E3E07">
        <w:rPr>
          <w:rFonts w:ascii="Cambria" w:eastAsia="Cambria" w:hAnsi="Cambria" w:cs="Cambria"/>
          <w:sz w:val="20"/>
          <w:szCs w:val="20"/>
          <w:lang w:val="es-MX"/>
        </w:rPr>
        <w:t>gado de Investigación en 2018</w:t>
      </w:r>
      <w:r w:rsidR="008709D3" w:rsidRPr="004E3E07">
        <w:rPr>
          <w:rStyle w:val="FootnoteReference"/>
          <w:rFonts w:ascii="Cambria" w:eastAsia="Cambria" w:hAnsi="Cambria" w:cs="Cambria"/>
          <w:sz w:val="20"/>
          <w:szCs w:val="20"/>
          <w:lang w:val="es-MX"/>
        </w:rPr>
        <w:footnoteReference w:id="99"/>
      </w:r>
      <w:r w:rsidR="002874A2" w:rsidRPr="004E3E07">
        <w:rPr>
          <w:rFonts w:ascii="Cambria" w:eastAsia="Cambria" w:hAnsi="Cambria" w:cs="Cambria"/>
          <w:sz w:val="20"/>
          <w:szCs w:val="20"/>
          <w:lang w:val="es-MX"/>
        </w:rPr>
        <w:t xml:space="preserve">. Al respecto, la CIDH reitera sus observaciones consignadas en sus informes de seguimiento de 2019 y 2020 en relación con las </w:t>
      </w:r>
      <w:r w:rsidR="00B22262" w:rsidRPr="004E3E07">
        <w:rPr>
          <w:rFonts w:ascii="Cambria" w:eastAsia="Cambria" w:hAnsi="Cambria" w:cs="Cambria"/>
          <w:sz w:val="20"/>
          <w:szCs w:val="20"/>
          <w:lang w:val="es-MX"/>
        </w:rPr>
        <w:t xml:space="preserve">deficiencias </w:t>
      </w:r>
      <w:r w:rsidR="002874A2" w:rsidRPr="004E3E07">
        <w:rPr>
          <w:rFonts w:ascii="Cambria" w:eastAsia="Cambria" w:hAnsi="Cambria" w:cs="Cambria"/>
          <w:sz w:val="20"/>
          <w:szCs w:val="20"/>
          <w:lang w:val="es-MX"/>
        </w:rPr>
        <w:t>para garantizar el</w:t>
      </w:r>
      <w:r w:rsidR="00B22262" w:rsidRPr="004E3E07">
        <w:rPr>
          <w:rFonts w:ascii="Cambria" w:eastAsia="Cambria" w:hAnsi="Cambria" w:cs="Cambria"/>
          <w:sz w:val="20"/>
          <w:szCs w:val="20"/>
          <w:lang w:val="es-MX"/>
        </w:rPr>
        <w:t xml:space="preserve"> derecho </w:t>
      </w:r>
      <w:r w:rsidR="00F96E68" w:rsidRPr="004E3E07">
        <w:rPr>
          <w:rFonts w:ascii="Cambria" w:eastAsia="Cambria" w:hAnsi="Cambria" w:cs="Cambria"/>
          <w:sz w:val="20"/>
          <w:szCs w:val="20"/>
          <w:lang w:val="es-MX"/>
        </w:rPr>
        <w:t>de familiares y sociedad civil</w:t>
      </w:r>
      <w:r w:rsidR="00FA75A0" w:rsidRPr="004E3E07">
        <w:rPr>
          <w:rFonts w:ascii="Cambria" w:eastAsia="Cambria" w:hAnsi="Cambria" w:cs="Cambria"/>
          <w:sz w:val="20"/>
          <w:szCs w:val="20"/>
          <w:lang w:val="es-MX"/>
        </w:rPr>
        <w:t xml:space="preserve"> a participar en su diseño y </w:t>
      </w:r>
      <w:r w:rsidR="00FA75A0" w:rsidRPr="004B6023">
        <w:rPr>
          <w:rFonts w:ascii="Cambria" w:eastAsia="Cambria" w:hAnsi="Cambria" w:cs="Cambria"/>
          <w:sz w:val="20"/>
          <w:szCs w:val="20"/>
          <w:lang w:val="es-MX"/>
        </w:rPr>
        <w:t>elaboración</w:t>
      </w:r>
      <w:r w:rsidR="00FA75A0" w:rsidRPr="004B6023">
        <w:rPr>
          <w:rStyle w:val="FootnoteReference"/>
          <w:rFonts w:ascii="Cambria" w:eastAsia="Cambria" w:hAnsi="Cambria" w:cs="Cambria"/>
          <w:sz w:val="20"/>
          <w:szCs w:val="20"/>
          <w:lang w:val="es-MX"/>
        </w:rPr>
        <w:footnoteReference w:id="100"/>
      </w:r>
      <w:r w:rsidR="00FA75A0" w:rsidRPr="004B6023">
        <w:rPr>
          <w:rFonts w:ascii="Cambria" w:eastAsia="Cambria" w:hAnsi="Cambria" w:cs="Cambria"/>
          <w:sz w:val="20"/>
          <w:szCs w:val="20"/>
          <w:lang w:val="es-MX"/>
        </w:rPr>
        <w:t xml:space="preserve">. </w:t>
      </w:r>
    </w:p>
    <w:p w14:paraId="5B730C87" w14:textId="6DE2E3EF" w:rsidR="00365833" w:rsidRPr="007B69C1" w:rsidRDefault="00365833" w:rsidP="007B69C1">
      <w:pPr>
        <w:numPr>
          <w:ilvl w:val="0"/>
          <w:numId w:val="5"/>
        </w:numPr>
        <w:shd w:val="clear" w:color="auto" w:fill="FFFFFF" w:themeFill="background1"/>
        <w:spacing w:after="240" w:line="240" w:lineRule="auto"/>
        <w:ind w:left="0" w:firstLine="720"/>
        <w:jc w:val="both"/>
        <w:rPr>
          <w:rFonts w:ascii="Cambria" w:eastAsia="Cambria" w:hAnsi="Cambria" w:cs="Cambria"/>
          <w:sz w:val="20"/>
          <w:szCs w:val="20"/>
          <w:lang w:val="es-MX"/>
        </w:rPr>
      </w:pPr>
      <w:r w:rsidRPr="004B6023">
        <w:rPr>
          <w:rFonts w:ascii="Cambria" w:eastAsia="Cambria" w:hAnsi="Cambria" w:cs="Cambria"/>
          <w:sz w:val="20"/>
          <w:szCs w:val="20"/>
          <w:lang w:val="es-MX"/>
        </w:rPr>
        <w:t xml:space="preserve">Sin perjuicio de lo anterior, la Comisión observa con preocupación que las desapariciones y desapariciones forzadas continúan </w:t>
      </w:r>
      <w:r w:rsidR="1E6D412F" w:rsidRPr="004B6023">
        <w:rPr>
          <w:rFonts w:ascii="Cambria" w:eastAsia="Cambria" w:hAnsi="Cambria" w:cs="Cambria"/>
          <w:sz w:val="20"/>
          <w:szCs w:val="20"/>
          <w:lang w:val="es-MX"/>
        </w:rPr>
        <w:t>constituyendo</w:t>
      </w:r>
      <w:r w:rsidRPr="004B6023">
        <w:rPr>
          <w:rFonts w:ascii="Cambria" w:eastAsia="Cambria" w:hAnsi="Cambria" w:cs="Cambria"/>
          <w:sz w:val="20"/>
          <w:szCs w:val="20"/>
          <w:lang w:val="es-MX"/>
        </w:rPr>
        <w:t xml:space="preserve"> un </w:t>
      </w:r>
      <w:r w:rsidR="3ED8F344" w:rsidRPr="004B6023">
        <w:rPr>
          <w:rFonts w:ascii="Cambria" w:eastAsia="Cambria" w:hAnsi="Cambria" w:cs="Cambria"/>
          <w:sz w:val="20"/>
          <w:szCs w:val="20"/>
          <w:lang w:val="es-MX"/>
        </w:rPr>
        <w:t xml:space="preserve">alarmante </w:t>
      </w:r>
      <w:r w:rsidRPr="004B6023">
        <w:rPr>
          <w:rFonts w:ascii="Cambria" w:eastAsia="Cambria" w:hAnsi="Cambria" w:cs="Cambria"/>
          <w:sz w:val="20"/>
          <w:szCs w:val="20"/>
          <w:lang w:val="es-MX"/>
        </w:rPr>
        <w:t xml:space="preserve">fenómeno </w:t>
      </w:r>
      <w:r w:rsidR="7DBFB3C7" w:rsidRPr="004B6023">
        <w:rPr>
          <w:rFonts w:ascii="Cambria" w:eastAsia="Cambria" w:hAnsi="Cambria" w:cs="Cambria"/>
          <w:sz w:val="20"/>
          <w:szCs w:val="20"/>
          <w:lang w:val="es-MX"/>
        </w:rPr>
        <w:t xml:space="preserve">que afecta gravemente la situación de derechos humanos </w:t>
      </w:r>
      <w:r w:rsidR="00736E75" w:rsidRPr="004B6023">
        <w:rPr>
          <w:rFonts w:ascii="Cambria" w:eastAsia="Cambria" w:hAnsi="Cambria" w:cs="Cambria"/>
          <w:sz w:val="20"/>
          <w:szCs w:val="20"/>
          <w:lang w:val="es-MX"/>
        </w:rPr>
        <w:t>en México</w:t>
      </w:r>
      <w:r w:rsidRPr="008F0531">
        <w:rPr>
          <w:rFonts w:ascii="Cambria" w:eastAsia="Cambria" w:hAnsi="Cambria" w:cs="Cambria"/>
          <w:sz w:val="20"/>
          <w:szCs w:val="20"/>
          <w:lang w:val="es-MX"/>
        </w:rPr>
        <w:t xml:space="preserve">. </w:t>
      </w:r>
      <w:r w:rsidR="007B69C1" w:rsidRPr="008F0531">
        <w:rPr>
          <w:rFonts w:ascii="Cambria" w:eastAsia="Cambria" w:hAnsi="Cambria" w:cs="Cambria"/>
          <w:sz w:val="20"/>
          <w:szCs w:val="20"/>
          <w:lang w:val="es-MX"/>
        </w:rPr>
        <w:t>En sus observaciones al proyecto del presente informe, el Estado reitera que el Gobierno de México ha reconocido, desde diciembre de 2018, que enfrenta retos significativos en materia forense y de desaparición. A  partir de entonces, desde la CNBP y la SEGOB se ha comenzado a construir  el andamiaje institucional de búsqueda desde el Estado</w:t>
      </w:r>
      <w:r w:rsidR="007B69C1" w:rsidRPr="008F0531">
        <w:rPr>
          <w:rStyle w:val="FootnoteReference"/>
          <w:rFonts w:ascii="Cambria" w:eastAsia="Cambria" w:hAnsi="Cambria" w:cs="Cambria"/>
          <w:sz w:val="20"/>
          <w:szCs w:val="20"/>
          <w:lang w:val="es-MX"/>
        </w:rPr>
        <w:footnoteReference w:id="101"/>
      </w:r>
      <w:r w:rsidR="007B69C1" w:rsidRPr="008F0531">
        <w:rPr>
          <w:rFonts w:ascii="Cambria" w:eastAsia="Cambria" w:hAnsi="Cambria" w:cs="Cambria"/>
          <w:sz w:val="20"/>
          <w:szCs w:val="20"/>
          <w:lang w:val="es-MX"/>
        </w:rPr>
        <w:t xml:space="preserve">. </w:t>
      </w:r>
      <w:r w:rsidRPr="008F0531">
        <w:rPr>
          <w:rFonts w:ascii="Cambria" w:eastAsia="Cambria" w:hAnsi="Cambria" w:cs="Cambria"/>
          <w:sz w:val="20"/>
          <w:szCs w:val="20"/>
          <w:lang w:val="es-MX"/>
        </w:rPr>
        <w:t>Según información oficial, al</w:t>
      </w:r>
      <w:r w:rsidR="00736E75" w:rsidRPr="008F0531">
        <w:rPr>
          <w:rFonts w:ascii="Cambria" w:eastAsia="Cambria" w:hAnsi="Cambria" w:cs="Cambria"/>
          <w:sz w:val="20"/>
          <w:szCs w:val="20"/>
          <w:lang w:val="es-MX"/>
        </w:rPr>
        <w:t xml:space="preserve"> </w:t>
      </w:r>
      <w:r w:rsidRPr="008F0531">
        <w:rPr>
          <w:rFonts w:ascii="Cambria" w:eastAsia="Cambria" w:hAnsi="Cambria" w:cs="Cambria"/>
          <w:sz w:val="20"/>
          <w:szCs w:val="20"/>
          <w:lang w:val="es-MX"/>
        </w:rPr>
        <w:t>diciembre de 2021 se registraron más de 95.000 reportes y denuncias de personas</w:t>
      </w:r>
      <w:r w:rsidRPr="007B69C1">
        <w:rPr>
          <w:rFonts w:ascii="Cambria" w:eastAsia="Cambria" w:hAnsi="Cambria" w:cs="Cambria"/>
          <w:sz w:val="20"/>
          <w:szCs w:val="20"/>
          <w:lang w:val="es-MX"/>
        </w:rPr>
        <w:t xml:space="preserve"> desaparecidas</w:t>
      </w:r>
      <w:r w:rsidRPr="004B6023">
        <w:rPr>
          <w:rStyle w:val="FootnoteReference"/>
          <w:rFonts w:ascii="Cambria" w:eastAsia="Cambria" w:hAnsi="Cambria" w:cs="Cambria"/>
          <w:sz w:val="20"/>
          <w:szCs w:val="20"/>
          <w:lang w:val="es-MX"/>
        </w:rPr>
        <w:footnoteReference w:id="102"/>
      </w:r>
      <w:r w:rsidRPr="007B69C1">
        <w:rPr>
          <w:rFonts w:ascii="Cambria" w:eastAsia="Cambria" w:hAnsi="Cambria" w:cs="Cambria"/>
          <w:sz w:val="20"/>
          <w:szCs w:val="20"/>
          <w:lang w:val="es-MX"/>
        </w:rPr>
        <w:t>, mientras que en 2020 se registraron un poco más de 82.000</w:t>
      </w:r>
      <w:r w:rsidRPr="004B6023">
        <w:rPr>
          <w:rStyle w:val="FootnoteReference"/>
          <w:rFonts w:ascii="Cambria" w:eastAsia="Cambria" w:hAnsi="Cambria" w:cs="Cambria"/>
          <w:sz w:val="20"/>
          <w:szCs w:val="20"/>
          <w:lang w:val="es-MX"/>
        </w:rPr>
        <w:footnoteReference w:id="103"/>
      </w:r>
      <w:r w:rsidRPr="007B69C1">
        <w:rPr>
          <w:rFonts w:ascii="Cambria" w:eastAsia="Cambria" w:hAnsi="Cambria" w:cs="Cambria"/>
          <w:sz w:val="20"/>
          <w:szCs w:val="20"/>
          <w:lang w:val="es-MX"/>
        </w:rPr>
        <w:t>. Para la Comisión la plena implementación de la Ley General y el efectivo funcionamiento del andamiaje institucional especializado en búsqueda de personas e investigación de delitos de desaparición resulta indispensable no sólo para atender las desapariciones y desapariciones forzadas ya ocurridas, sino que también debe estar orientado a la adopción de las medidas necesarias para la prevención de futuras violaciones, de conformidad con las obligaciones internacionales asumidas por México.</w:t>
      </w:r>
    </w:p>
    <w:p w14:paraId="1460698D" w14:textId="1E1E468A" w:rsidR="002277F5" w:rsidRPr="004E3E07" w:rsidRDefault="00365833" w:rsidP="5258151B">
      <w:pPr>
        <w:numPr>
          <w:ilvl w:val="0"/>
          <w:numId w:val="5"/>
        </w:numPr>
        <w:shd w:val="clear" w:color="auto" w:fill="FFFFFF"/>
        <w:spacing w:after="240" w:line="240" w:lineRule="auto"/>
        <w:ind w:left="0" w:firstLine="720"/>
        <w:jc w:val="both"/>
        <w:rPr>
          <w:rFonts w:ascii="Cambria" w:eastAsia="Cambria" w:hAnsi="Cambria" w:cs="Cambria"/>
          <w:sz w:val="20"/>
          <w:szCs w:val="20"/>
          <w:lang w:val="es-MX"/>
        </w:rPr>
      </w:pPr>
      <w:r w:rsidRPr="004E3E07">
        <w:rPr>
          <w:rFonts w:ascii="Cambria" w:eastAsia="Cambria" w:hAnsi="Cambria" w:cs="Cambria"/>
          <w:sz w:val="20"/>
          <w:szCs w:val="20"/>
          <w:lang w:val="es-MX"/>
        </w:rPr>
        <w:t xml:space="preserve"> En resumen, l</w:t>
      </w:r>
      <w:r w:rsidR="00732B0A" w:rsidRPr="004E3E07">
        <w:rPr>
          <w:rFonts w:ascii="Cambria" w:eastAsia="Cambria" w:hAnsi="Cambria" w:cs="Cambria"/>
          <w:sz w:val="20"/>
          <w:szCs w:val="20"/>
          <w:lang w:val="es-MX"/>
        </w:rPr>
        <w:t xml:space="preserve">a </w:t>
      </w:r>
      <w:r w:rsidR="00B3266F" w:rsidRPr="004E3E07">
        <w:rPr>
          <w:rFonts w:ascii="Cambria" w:eastAsia="Cambria" w:hAnsi="Cambria" w:cs="Cambria"/>
          <w:sz w:val="20"/>
          <w:szCs w:val="20"/>
          <w:lang w:val="es-MX"/>
        </w:rPr>
        <w:t xml:space="preserve">Comisión </w:t>
      </w:r>
      <w:r w:rsidR="00823538" w:rsidRPr="004E3E07">
        <w:rPr>
          <w:rFonts w:ascii="Cambria" w:eastAsia="Cambria" w:hAnsi="Cambria" w:cs="Cambria"/>
          <w:sz w:val="20"/>
          <w:szCs w:val="20"/>
          <w:lang w:val="es-MX"/>
        </w:rPr>
        <w:t>valora</w:t>
      </w:r>
      <w:r w:rsidR="00732B0A" w:rsidRPr="004E3E07">
        <w:rPr>
          <w:rFonts w:ascii="Cambria" w:eastAsia="Cambria" w:hAnsi="Cambria" w:cs="Cambria"/>
          <w:sz w:val="20"/>
          <w:szCs w:val="20"/>
          <w:lang w:val="es-MX"/>
        </w:rPr>
        <w:t xml:space="preserve"> positivamente que </w:t>
      </w:r>
      <w:r w:rsidR="00955F77" w:rsidRPr="004E3E07">
        <w:rPr>
          <w:rFonts w:ascii="Cambria" w:eastAsia="Cambria" w:hAnsi="Cambria" w:cs="Cambria"/>
          <w:sz w:val="20"/>
          <w:szCs w:val="20"/>
          <w:lang w:val="es-MX"/>
        </w:rPr>
        <w:t>México</w:t>
      </w:r>
      <w:r w:rsidR="00732B0A" w:rsidRPr="004E3E07">
        <w:rPr>
          <w:rFonts w:ascii="Cambria" w:eastAsia="Cambria" w:hAnsi="Cambria" w:cs="Cambria"/>
          <w:sz w:val="20"/>
          <w:szCs w:val="20"/>
          <w:lang w:val="es-MX"/>
        </w:rPr>
        <w:t xml:space="preserve"> contin</w:t>
      </w:r>
      <w:r w:rsidR="00B3266F" w:rsidRPr="004E3E07">
        <w:rPr>
          <w:rFonts w:ascii="Cambria" w:eastAsia="Cambria" w:hAnsi="Cambria" w:cs="Cambria"/>
          <w:sz w:val="20"/>
          <w:szCs w:val="20"/>
          <w:lang w:val="es-MX"/>
        </w:rPr>
        <w:t>úe</w:t>
      </w:r>
      <w:r w:rsidR="00732B0A" w:rsidRPr="004E3E07">
        <w:rPr>
          <w:rFonts w:ascii="Cambria" w:eastAsia="Cambria" w:hAnsi="Cambria" w:cs="Cambria"/>
          <w:sz w:val="20"/>
          <w:szCs w:val="20"/>
          <w:lang w:val="es-MX"/>
        </w:rPr>
        <w:t xml:space="preserve"> </w:t>
      </w:r>
      <w:r w:rsidR="0087249C" w:rsidRPr="004E3E07">
        <w:rPr>
          <w:rFonts w:ascii="Cambria" w:eastAsia="Cambria" w:hAnsi="Cambria" w:cs="Cambria"/>
          <w:sz w:val="20"/>
          <w:szCs w:val="20"/>
          <w:lang w:val="es-MX"/>
        </w:rPr>
        <w:t xml:space="preserve">adoptando medidas tendientes a la </w:t>
      </w:r>
      <w:r w:rsidR="00BD4096" w:rsidRPr="004E3E07">
        <w:rPr>
          <w:rFonts w:ascii="Cambria" w:eastAsia="Cambria" w:hAnsi="Cambria" w:cs="Cambria"/>
          <w:sz w:val="20"/>
          <w:szCs w:val="20"/>
          <w:lang w:val="es-MX"/>
        </w:rPr>
        <w:t xml:space="preserve">plena </w:t>
      </w:r>
      <w:r w:rsidR="0087249C" w:rsidRPr="004E3E07">
        <w:rPr>
          <w:rFonts w:ascii="Cambria" w:eastAsia="Cambria" w:hAnsi="Cambria" w:cs="Cambria"/>
          <w:sz w:val="20"/>
          <w:szCs w:val="20"/>
          <w:lang w:val="es-MX"/>
        </w:rPr>
        <w:t>implementación de</w:t>
      </w:r>
      <w:r w:rsidR="00B802B1" w:rsidRPr="004E3E07">
        <w:rPr>
          <w:rFonts w:ascii="Cambria" w:eastAsia="Cambria" w:hAnsi="Cambria" w:cs="Cambria"/>
          <w:sz w:val="20"/>
          <w:szCs w:val="20"/>
          <w:lang w:val="es-MX"/>
        </w:rPr>
        <w:t xml:space="preserve"> la Ley G</w:t>
      </w:r>
      <w:r w:rsidR="00732B0A" w:rsidRPr="004E3E07">
        <w:rPr>
          <w:rFonts w:ascii="Cambria" w:eastAsia="Cambria" w:hAnsi="Cambria" w:cs="Cambria"/>
          <w:sz w:val="20"/>
          <w:szCs w:val="20"/>
          <w:lang w:val="es-MX"/>
        </w:rPr>
        <w:t>eneral de Desaparición</w:t>
      </w:r>
      <w:r w:rsidR="00BD01F3" w:rsidRPr="004E3E07">
        <w:rPr>
          <w:rFonts w:ascii="Cambria" w:eastAsia="Cambria" w:hAnsi="Cambria" w:cs="Cambria"/>
          <w:sz w:val="20"/>
          <w:szCs w:val="20"/>
          <w:lang w:val="es-MX"/>
        </w:rPr>
        <w:t>, en concreto,</w:t>
      </w:r>
      <w:r w:rsidR="00823538" w:rsidRPr="004E3E07">
        <w:rPr>
          <w:rFonts w:ascii="Cambria" w:eastAsia="Cambria" w:hAnsi="Cambria" w:cs="Cambria"/>
          <w:sz w:val="20"/>
          <w:szCs w:val="20"/>
          <w:lang w:val="es-MX"/>
        </w:rPr>
        <w:t xml:space="preserve"> la </w:t>
      </w:r>
      <w:r w:rsidR="009141FA" w:rsidRPr="004E3E07">
        <w:rPr>
          <w:rFonts w:ascii="Cambria" w:eastAsia="Cambria" w:hAnsi="Cambria" w:cs="Cambria"/>
          <w:sz w:val="20"/>
          <w:szCs w:val="20"/>
          <w:lang w:val="es-MX"/>
        </w:rPr>
        <w:t xml:space="preserve">instalación </w:t>
      </w:r>
      <w:r w:rsidR="00B3266F" w:rsidRPr="004E3E07">
        <w:rPr>
          <w:rFonts w:ascii="Cambria" w:eastAsia="Cambria" w:hAnsi="Cambria" w:cs="Cambria"/>
          <w:sz w:val="20"/>
          <w:szCs w:val="20"/>
          <w:lang w:val="es-MX"/>
        </w:rPr>
        <w:t xml:space="preserve">y funcionamiento de la </w:t>
      </w:r>
      <w:r w:rsidR="00823538" w:rsidRPr="004E3E07">
        <w:rPr>
          <w:rFonts w:ascii="Cambria" w:eastAsia="Cambria" w:hAnsi="Cambria" w:cs="Cambria"/>
          <w:sz w:val="20"/>
          <w:szCs w:val="20"/>
          <w:lang w:val="es-MX"/>
        </w:rPr>
        <w:t>total</w:t>
      </w:r>
      <w:r w:rsidR="00B3266F" w:rsidRPr="004E3E07">
        <w:rPr>
          <w:rFonts w:ascii="Cambria" w:eastAsia="Cambria" w:hAnsi="Cambria" w:cs="Cambria"/>
          <w:sz w:val="20"/>
          <w:szCs w:val="20"/>
          <w:lang w:val="es-MX"/>
        </w:rPr>
        <w:t xml:space="preserve">idad de </w:t>
      </w:r>
      <w:r w:rsidR="009141FA" w:rsidRPr="004E3E07">
        <w:rPr>
          <w:rFonts w:ascii="Cambria" w:eastAsia="Cambria" w:hAnsi="Cambria" w:cs="Cambria"/>
          <w:sz w:val="20"/>
          <w:szCs w:val="20"/>
          <w:lang w:val="es-MX"/>
        </w:rPr>
        <w:t>las Comisiones Locales de Búsqueda, la creaci</w:t>
      </w:r>
      <w:r w:rsidR="00F32F84" w:rsidRPr="004E3E07">
        <w:rPr>
          <w:rFonts w:ascii="Cambria" w:eastAsia="Cambria" w:hAnsi="Cambria" w:cs="Cambria"/>
          <w:sz w:val="20"/>
          <w:szCs w:val="20"/>
          <w:lang w:val="es-MX"/>
        </w:rPr>
        <w:t>ón de l</w:t>
      </w:r>
      <w:r w:rsidR="009141FA" w:rsidRPr="004E3E07">
        <w:rPr>
          <w:rFonts w:ascii="Cambria" w:eastAsia="Cambria" w:hAnsi="Cambria" w:cs="Cambria"/>
          <w:sz w:val="20"/>
          <w:szCs w:val="20"/>
          <w:lang w:val="es-MX"/>
        </w:rPr>
        <w:t>a Mesa Nacional de Búsqueda de Personas Migrantes Desaparecidas,</w:t>
      </w:r>
      <w:r w:rsidR="00955F77" w:rsidRPr="004E3E07">
        <w:rPr>
          <w:rFonts w:ascii="Cambria" w:eastAsia="Cambria" w:hAnsi="Cambria" w:cs="Cambria"/>
          <w:sz w:val="20"/>
          <w:szCs w:val="20"/>
          <w:lang w:val="es-MX"/>
        </w:rPr>
        <w:t xml:space="preserve"> así como </w:t>
      </w:r>
      <w:r w:rsidR="00137202" w:rsidRPr="004E3E07">
        <w:rPr>
          <w:rFonts w:ascii="Cambria" w:eastAsia="Cambria" w:hAnsi="Cambria" w:cs="Cambria"/>
          <w:sz w:val="20"/>
          <w:szCs w:val="20"/>
          <w:lang w:val="es-MX"/>
        </w:rPr>
        <w:t>la publicación del PABNNA</w:t>
      </w:r>
      <w:r w:rsidR="00987E5E" w:rsidRPr="004E3E07">
        <w:rPr>
          <w:rFonts w:ascii="Cambria" w:eastAsia="Cambria" w:hAnsi="Cambria" w:cs="Cambria"/>
          <w:sz w:val="20"/>
          <w:szCs w:val="20"/>
          <w:lang w:val="es-MX"/>
        </w:rPr>
        <w:t xml:space="preserve">. </w:t>
      </w:r>
      <w:r w:rsidR="00955F77" w:rsidRPr="004E3E07">
        <w:rPr>
          <w:rFonts w:ascii="Cambria" w:eastAsia="Cambria" w:hAnsi="Cambria" w:cs="Cambria"/>
          <w:sz w:val="20"/>
          <w:szCs w:val="20"/>
          <w:lang w:val="es-MX"/>
        </w:rPr>
        <w:t>Sumado a lo anterior</w:t>
      </w:r>
      <w:r w:rsidR="00BD01F3" w:rsidRPr="004E3E07">
        <w:rPr>
          <w:rFonts w:ascii="Cambria" w:eastAsia="Cambria" w:hAnsi="Cambria" w:cs="Cambria"/>
          <w:sz w:val="20"/>
          <w:szCs w:val="20"/>
          <w:lang w:val="es-MX"/>
        </w:rPr>
        <w:t>,</w:t>
      </w:r>
      <w:r w:rsidR="00294F6C" w:rsidRPr="004E3E07">
        <w:rPr>
          <w:rFonts w:ascii="Cambria" w:eastAsia="Cambria" w:hAnsi="Cambria" w:cs="Cambria"/>
          <w:sz w:val="20"/>
          <w:szCs w:val="20"/>
          <w:lang w:val="es-MX"/>
        </w:rPr>
        <w:t xml:space="preserve"> </w:t>
      </w:r>
      <w:r w:rsidR="00BD01F3" w:rsidRPr="004E3E07">
        <w:rPr>
          <w:rFonts w:ascii="Cambria" w:eastAsia="Cambria" w:hAnsi="Cambria" w:cs="Cambria"/>
          <w:sz w:val="20"/>
          <w:szCs w:val="20"/>
          <w:lang w:val="es-MX"/>
        </w:rPr>
        <w:t xml:space="preserve">la CIDH </w:t>
      </w:r>
      <w:r w:rsidR="00955F77" w:rsidRPr="004E3E07">
        <w:rPr>
          <w:rFonts w:ascii="Cambria" w:eastAsia="Cambria" w:hAnsi="Cambria" w:cs="Cambria"/>
          <w:sz w:val="20"/>
          <w:szCs w:val="20"/>
          <w:lang w:val="es-MX"/>
        </w:rPr>
        <w:t xml:space="preserve">reconoce </w:t>
      </w:r>
      <w:r w:rsidR="00BD4096" w:rsidRPr="004E3E07">
        <w:rPr>
          <w:rFonts w:ascii="Cambria" w:eastAsia="Cambria" w:hAnsi="Cambria" w:cs="Cambria"/>
          <w:sz w:val="20"/>
          <w:szCs w:val="20"/>
          <w:lang w:val="es-MX"/>
        </w:rPr>
        <w:t>la toma de</w:t>
      </w:r>
      <w:r w:rsidR="00955F77" w:rsidRPr="004E3E07">
        <w:rPr>
          <w:rFonts w:ascii="Cambria" w:eastAsia="Cambria" w:hAnsi="Cambria" w:cs="Cambria"/>
          <w:sz w:val="20"/>
          <w:szCs w:val="20"/>
          <w:lang w:val="es-MX"/>
        </w:rPr>
        <w:t xml:space="preserve"> </w:t>
      </w:r>
      <w:r w:rsidR="00987E5E" w:rsidRPr="004E3E07">
        <w:rPr>
          <w:rFonts w:ascii="Cambria" w:eastAsia="Cambria" w:hAnsi="Cambria" w:cs="Cambria"/>
          <w:sz w:val="20"/>
          <w:szCs w:val="20"/>
          <w:lang w:val="es-MX"/>
        </w:rPr>
        <w:t xml:space="preserve">medidas de </w:t>
      </w:r>
      <w:r w:rsidR="00BD4096" w:rsidRPr="004E3E07">
        <w:rPr>
          <w:rFonts w:ascii="Cambria" w:eastAsia="Cambria" w:hAnsi="Cambria" w:cs="Cambria"/>
          <w:sz w:val="20"/>
          <w:szCs w:val="20"/>
          <w:lang w:val="es-MX"/>
        </w:rPr>
        <w:t>extraordinarias</w:t>
      </w:r>
      <w:r w:rsidR="00955F77" w:rsidRPr="004E3E07">
        <w:rPr>
          <w:rFonts w:ascii="Cambria" w:eastAsia="Cambria" w:hAnsi="Cambria" w:cs="Cambria"/>
          <w:sz w:val="20"/>
          <w:szCs w:val="20"/>
          <w:lang w:val="es-MX"/>
        </w:rPr>
        <w:t xml:space="preserve"> para el fortalecimiento de las capacidades forenses </w:t>
      </w:r>
      <w:r w:rsidR="00BD4096" w:rsidRPr="004E3E07">
        <w:rPr>
          <w:rFonts w:ascii="Cambria" w:eastAsia="Cambria" w:hAnsi="Cambria" w:cs="Cambria"/>
          <w:sz w:val="20"/>
          <w:szCs w:val="20"/>
          <w:lang w:val="es-MX"/>
        </w:rPr>
        <w:t xml:space="preserve">de las distintas entidades federativas </w:t>
      </w:r>
      <w:r w:rsidR="00BD01F3" w:rsidRPr="004E3E07">
        <w:rPr>
          <w:rFonts w:ascii="Cambria" w:eastAsia="Cambria" w:hAnsi="Cambria" w:cs="Cambria"/>
          <w:sz w:val="20"/>
          <w:szCs w:val="20"/>
          <w:lang w:val="es-MX"/>
        </w:rPr>
        <w:t>a través de la</w:t>
      </w:r>
      <w:r w:rsidR="00987E5E" w:rsidRPr="004E3E07">
        <w:rPr>
          <w:rFonts w:ascii="Cambria" w:eastAsia="Cambria" w:hAnsi="Cambria" w:cs="Cambria"/>
          <w:sz w:val="20"/>
          <w:szCs w:val="20"/>
          <w:lang w:val="es-MX"/>
        </w:rPr>
        <w:t xml:space="preserve"> construcción </w:t>
      </w:r>
      <w:r w:rsidR="00BD01F3" w:rsidRPr="004E3E07">
        <w:rPr>
          <w:rFonts w:ascii="Cambria" w:eastAsia="Cambria" w:hAnsi="Cambria" w:cs="Cambria"/>
          <w:sz w:val="20"/>
          <w:szCs w:val="20"/>
          <w:lang w:val="es-MX"/>
        </w:rPr>
        <w:t>infraestructura para el desarrollo de actividades forenses</w:t>
      </w:r>
      <w:r w:rsidR="006A6C0A" w:rsidRPr="004E3E07">
        <w:rPr>
          <w:rFonts w:ascii="Cambria" w:eastAsia="Cambria" w:hAnsi="Cambria" w:cs="Cambria"/>
          <w:sz w:val="20"/>
          <w:szCs w:val="20"/>
          <w:lang w:val="es-MX"/>
        </w:rPr>
        <w:t xml:space="preserve">, así como </w:t>
      </w:r>
      <w:r w:rsidR="00BD4096" w:rsidRPr="004E3E07">
        <w:rPr>
          <w:rFonts w:ascii="Cambria" w:eastAsia="Cambria" w:hAnsi="Cambria" w:cs="Cambria"/>
          <w:sz w:val="20"/>
          <w:szCs w:val="20"/>
          <w:lang w:val="es-MX"/>
        </w:rPr>
        <w:t>la entrada en funciones de</w:t>
      </w:r>
      <w:r w:rsidR="006A6C0A" w:rsidRPr="004E3E07">
        <w:rPr>
          <w:rFonts w:ascii="Cambria" w:eastAsia="Cambria" w:hAnsi="Cambria" w:cs="Cambria"/>
          <w:sz w:val="20"/>
          <w:szCs w:val="20"/>
          <w:lang w:val="es-MX"/>
        </w:rPr>
        <w:t xml:space="preserve">l MEIF. </w:t>
      </w:r>
      <w:r w:rsidR="00BD01F3" w:rsidRPr="004E3E07">
        <w:rPr>
          <w:rFonts w:ascii="Cambria" w:eastAsia="Cambria" w:hAnsi="Cambria" w:cs="Cambria"/>
          <w:sz w:val="20"/>
          <w:szCs w:val="20"/>
          <w:lang w:val="es-MX"/>
        </w:rPr>
        <w:t>Asimismo</w:t>
      </w:r>
      <w:r w:rsidR="00BD4096" w:rsidRPr="004E3E07">
        <w:rPr>
          <w:rFonts w:ascii="Cambria" w:eastAsia="Cambria" w:hAnsi="Cambria" w:cs="Cambria"/>
          <w:sz w:val="20"/>
          <w:szCs w:val="20"/>
          <w:lang w:val="es-MX"/>
        </w:rPr>
        <w:t>, la Comisión toma nota de avances para la elaboración de</w:t>
      </w:r>
      <w:r w:rsidR="002D178D" w:rsidRPr="004E3E07">
        <w:rPr>
          <w:rFonts w:ascii="Cambria" w:eastAsia="Cambria" w:hAnsi="Cambria" w:cs="Cambria"/>
          <w:sz w:val="20"/>
          <w:szCs w:val="20"/>
          <w:lang w:val="es-MX"/>
        </w:rPr>
        <w:t>l Programa Nacional de Búsqueda y del Programa Nacional de Exhumación e Identificación, así como para la puesta en marcha de</w:t>
      </w:r>
      <w:r w:rsidR="00702E22" w:rsidRPr="004E3E07">
        <w:rPr>
          <w:rFonts w:ascii="Cambria" w:eastAsia="Cambria" w:hAnsi="Cambria" w:cs="Cambria"/>
          <w:sz w:val="20"/>
          <w:szCs w:val="20"/>
          <w:lang w:val="es-MX"/>
        </w:rPr>
        <w:t>l Banco Nacional de Datos Forenses, Registro Nacional de Personas Fallecidas No Identificadas, y el Registro Nacional de Fosas. Sin perjuicio de lo anterior, la CIDH observa que los programas y bases de datos antes mencionadas aún no han sido cread</w:t>
      </w:r>
      <w:r w:rsidR="00736E75">
        <w:rPr>
          <w:rFonts w:ascii="Cambria" w:eastAsia="Cambria" w:hAnsi="Cambria" w:cs="Cambria"/>
          <w:sz w:val="20"/>
          <w:szCs w:val="20"/>
          <w:lang w:val="es-MX"/>
        </w:rPr>
        <w:t>o</w:t>
      </w:r>
      <w:r w:rsidR="00702E22" w:rsidRPr="004E3E07">
        <w:rPr>
          <w:rFonts w:ascii="Cambria" w:eastAsia="Cambria" w:hAnsi="Cambria" w:cs="Cambria"/>
          <w:sz w:val="20"/>
          <w:szCs w:val="20"/>
          <w:lang w:val="es-MX"/>
        </w:rPr>
        <w:t>s</w:t>
      </w:r>
      <w:r w:rsidR="00AC2DA1" w:rsidRPr="004E3E07">
        <w:rPr>
          <w:rFonts w:ascii="Cambria" w:eastAsia="Cambria" w:hAnsi="Cambria" w:cs="Cambria"/>
          <w:sz w:val="20"/>
          <w:szCs w:val="20"/>
          <w:lang w:val="es-MX"/>
        </w:rPr>
        <w:t>, por</w:t>
      </w:r>
      <w:r w:rsidR="007E25FF" w:rsidRPr="004E3E07">
        <w:rPr>
          <w:rFonts w:ascii="Cambria" w:eastAsia="Cambria" w:hAnsi="Cambria" w:cs="Cambria"/>
          <w:sz w:val="20"/>
          <w:szCs w:val="20"/>
          <w:lang w:val="es-MX"/>
        </w:rPr>
        <w:t xml:space="preserve"> lo </w:t>
      </w:r>
      <w:r w:rsidR="00AC2DA1" w:rsidRPr="004E3E07">
        <w:rPr>
          <w:rFonts w:ascii="Cambria" w:eastAsia="Cambria" w:hAnsi="Cambria" w:cs="Cambria"/>
          <w:sz w:val="20"/>
          <w:szCs w:val="20"/>
          <w:lang w:val="es-MX"/>
        </w:rPr>
        <w:t xml:space="preserve">que </w:t>
      </w:r>
      <w:r w:rsidR="007E25FF" w:rsidRPr="004E3E07">
        <w:rPr>
          <w:rFonts w:ascii="Cambria" w:eastAsia="Cambria" w:hAnsi="Cambria" w:cs="Cambria"/>
          <w:sz w:val="20"/>
          <w:szCs w:val="20"/>
          <w:lang w:val="es-MX"/>
        </w:rPr>
        <w:t xml:space="preserve">llama </w:t>
      </w:r>
      <w:r w:rsidR="00AC2DA1" w:rsidRPr="004E3E07">
        <w:rPr>
          <w:rFonts w:ascii="Cambria" w:eastAsia="Cambria" w:hAnsi="Cambria" w:cs="Cambria"/>
          <w:sz w:val="20"/>
          <w:szCs w:val="20"/>
          <w:lang w:val="es-MX"/>
        </w:rPr>
        <w:t>al Estado</w:t>
      </w:r>
      <w:r w:rsidR="007E25FF" w:rsidRPr="004E3E07">
        <w:rPr>
          <w:rFonts w:ascii="Cambria" w:eastAsia="Cambria" w:hAnsi="Cambria" w:cs="Cambria"/>
          <w:sz w:val="20"/>
          <w:szCs w:val="20"/>
          <w:lang w:val="es-MX"/>
        </w:rPr>
        <w:t xml:space="preserve"> redoblar sus esfuerzos a fin de lograr cumplir cabalmente con sus obligaciones programáticas y normativas en materia de desaparición. En consideración de lo anterior, la Comisión encuentra que la recomendación se mantiene con cumplimiento parcial sustancial.</w:t>
      </w:r>
    </w:p>
    <w:p w14:paraId="1460698E" w14:textId="4E3992DD" w:rsidR="002277F5" w:rsidRPr="004E3E07" w:rsidRDefault="007E25FF" w:rsidP="5258151B">
      <w:pPr>
        <w:numPr>
          <w:ilvl w:val="0"/>
          <w:numId w:val="5"/>
        </w:numPr>
        <w:shd w:val="clear" w:color="auto" w:fill="FFFFFF"/>
        <w:spacing w:after="240" w:line="240" w:lineRule="auto"/>
        <w:ind w:left="0" w:firstLine="720"/>
        <w:jc w:val="both"/>
        <w:rPr>
          <w:rFonts w:ascii="Cambria" w:eastAsia="Cambria" w:hAnsi="Cambria" w:cs="Cambria"/>
          <w:sz w:val="20"/>
          <w:szCs w:val="20"/>
          <w:lang w:val="es-MX"/>
        </w:rPr>
      </w:pPr>
      <w:r w:rsidRPr="004E3E07">
        <w:rPr>
          <w:rFonts w:ascii="Cambria" w:eastAsia="Cambria" w:hAnsi="Cambria" w:cs="Cambria"/>
          <w:sz w:val="20"/>
          <w:szCs w:val="20"/>
          <w:lang w:val="es-MX"/>
        </w:rPr>
        <w:t xml:space="preserve">En lo relativo a la recomendación de </w:t>
      </w:r>
      <w:r w:rsidRPr="004E3E07">
        <w:rPr>
          <w:rFonts w:ascii="Cambria" w:eastAsia="Cambria" w:hAnsi="Cambria" w:cs="Cambria"/>
          <w:b/>
          <w:bCs/>
          <w:sz w:val="20"/>
          <w:szCs w:val="20"/>
          <w:lang w:val="es-MX"/>
        </w:rPr>
        <w:t>establecer mecanismos de búsqueda inmediata de personas desaparecidas</w:t>
      </w:r>
      <w:r w:rsidRPr="004E3E07">
        <w:rPr>
          <w:rFonts w:ascii="Cambria" w:eastAsia="Cambria" w:hAnsi="Cambria" w:cs="Cambria"/>
          <w:sz w:val="20"/>
          <w:szCs w:val="20"/>
          <w:lang w:val="es-MX"/>
        </w:rPr>
        <w:t xml:space="preserve">, el Estado </w:t>
      </w:r>
      <w:r w:rsidR="00835E12" w:rsidRPr="004E3E07">
        <w:rPr>
          <w:rFonts w:ascii="Cambria" w:eastAsia="Cambria" w:hAnsi="Cambria" w:cs="Cambria"/>
          <w:sz w:val="20"/>
          <w:szCs w:val="20"/>
          <w:lang w:val="es-MX"/>
        </w:rPr>
        <w:t>reiteró información indicando que</w:t>
      </w:r>
      <w:r w:rsidRPr="004E3E07">
        <w:rPr>
          <w:rFonts w:ascii="Cambria" w:eastAsia="Cambria" w:hAnsi="Cambria" w:cs="Cambria"/>
          <w:sz w:val="20"/>
          <w:szCs w:val="20"/>
          <w:lang w:val="es-MX"/>
        </w:rPr>
        <w:t xml:space="preserve"> el PHB </w:t>
      </w:r>
      <w:r w:rsidR="00835E12" w:rsidRPr="004E3E07">
        <w:rPr>
          <w:rFonts w:ascii="Cambria" w:eastAsia="Cambria" w:hAnsi="Cambria" w:cs="Cambria"/>
          <w:sz w:val="20"/>
          <w:szCs w:val="20"/>
          <w:lang w:val="es-MX"/>
        </w:rPr>
        <w:t xml:space="preserve">establece un mecanismo de búsqueda inmediata para </w:t>
      </w:r>
      <w:r w:rsidR="000B5E6B" w:rsidRPr="004E3E07">
        <w:rPr>
          <w:rFonts w:ascii="Cambria" w:eastAsia="Cambria" w:hAnsi="Cambria" w:cs="Cambria"/>
          <w:sz w:val="20"/>
          <w:szCs w:val="20"/>
          <w:lang w:val="es-MX"/>
        </w:rPr>
        <w:t xml:space="preserve">la búsqueda y localización de </w:t>
      </w:r>
      <w:r w:rsidR="00835E12" w:rsidRPr="004E3E07">
        <w:rPr>
          <w:rFonts w:ascii="Cambria" w:eastAsia="Cambria" w:hAnsi="Cambria" w:cs="Cambria"/>
          <w:sz w:val="20"/>
          <w:szCs w:val="20"/>
          <w:lang w:val="es-MX"/>
        </w:rPr>
        <w:t xml:space="preserve">personas desaparecidas </w:t>
      </w:r>
      <w:r w:rsidR="00825D99" w:rsidRPr="004E3E07">
        <w:rPr>
          <w:rFonts w:ascii="Cambria" w:eastAsia="Cambria" w:hAnsi="Cambria" w:cs="Cambria"/>
          <w:sz w:val="20"/>
          <w:szCs w:val="20"/>
          <w:lang w:val="es-MX"/>
        </w:rPr>
        <w:t>sin importar</w:t>
      </w:r>
      <w:r w:rsidR="00835E12" w:rsidRPr="004E3E07">
        <w:rPr>
          <w:rFonts w:ascii="Cambria" w:eastAsia="Cambria" w:hAnsi="Cambria" w:cs="Cambria"/>
          <w:sz w:val="20"/>
          <w:szCs w:val="20"/>
          <w:lang w:val="es-MX"/>
        </w:rPr>
        <w:t xml:space="preserve"> que exista la presunción de la probable comisión de un delito en su contra o no. Además, el </w:t>
      </w:r>
      <w:r w:rsidRPr="004E3E07">
        <w:rPr>
          <w:rFonts w:ascii="Cambria" w:eastAsia="Cambria" w:hAnsi="Cambria" w:cs="Cambria"/>
          <w:sz w:val="20"/>
          <w:szCs w:val="20"/>
          <w:lang w:val="es-MX"/>
        </w:rPr>
        <w:t xml:space="preserve">Estado </w:t>
      </w:r>
      <w:r w:rsidR="00835E12" w:rsidRPr="004E3E07">
        <w:rPr>
          <w:rFonts w:ascii="Cambria" w:eastAsia="Cambria" w:hAnsi="Cambria" w:cs="Cambria"/>
          <w:sz w:val="20"/>
          <w:szCs w:val="20"/>
          <w:lang w:val="es-MX"/>
        </w:rPr>
        <w:t>reportó</w:t>
      </w:r>
      <w:r w:rsidRPr="004E3E07">
        <w:rPr>
          <w:rFonts w:ascii="Cambria" w:eastAsia="Cambria" w:hAnsi="Cambria" w:cs="Cambria"/>
          <w:sz w:val="20"/>
          <w:szCs w:val="20"/>
          <w:lang w:val="es-MX"/>
        </w:rPr>
        <w:t xml:space="preserve"> que el PHB determina las acciones que deben realizar las distintas autoridades, clasificadas en primarias, transmisoras, informadas, difusoras, entre otras;</w:t>
      </w:r>
      <w:r w:rsidR="00825D99" w:rsidRPr="004E3E07">
        <w:rPr>
          <w:rFonts w:ascii="Cambria" w:eastAsia="Cambria" w:hAnsi="Cambria" w:cs="Cambria"/>
          <w:sz w:val="20"/>
          <w:szCs w:val="20"/>
          <w:lang w:val="es-MX"/>
        </w:rPr>
        <w:t xml:space="preserve"> </w:t>
      </w:r>
      <w:r w:rsidRPr="004E3E07">
        <w:rPr>
          <w:rFonts w:ascii="Cambria" w:eastAsia="Cambria" w:hAnsi="Cambria" w:cs="Cambria"/>
          <w:sz w:val="20"/>
          <w:szCs w:val="20"/>
          <w:lang w:val="es-MX"/>
        </w:rPr>
        <w:t>realiza un énfasis especial, atendiendo al enfoque diferenciado, enfoque de género y el enfoque de derechos humanos</w:t>
      </w:r>
      <w:r w:rsidR="005A7706" w:rsidRPr="004E3E07">
        <w:rPr>
          <w:rFonts w:ascii="Cambria" w:eastAsia="Cambria" w:hAnsi="Cambria" w:cs="Cambria"/>
          <w:sz w:val="20"/>
          <w:szCs w:val="20"/>
          <w:lang w:val="es-MX"/>
        </w:rPr>
        <w:t>, resalta</w:t>
      </w:r>
      <w:r w:rsidR="00491DEE" w:rsidRPr="004E3E07">
        <w:rPr>
          <w:rFonts w:ascii="Cambria" w:eastAsia="Cambria" w:hAnsi="Cambria" w:cs="Cambria"/>
          <w:sz w:val="20"/>
          <w:szCs w:val="20"/>
          <w:lang w:val="es-MX"/>
        </w:rPr>
        <w:t xml:space="preserve">ndo </w:t>
      </w:r>
      <w:r w:rsidR="005A7706" w:rsidRPr="004E3E07">
        <w:rPr>
          <w:rFonts w:ascii="Cambria" w:eastAsia="Cambria" w:hAnsi="Cambria" w:cs="Cambria"/>
          <w:sz w:val="20"/>
          <w:szCs w:val="20"/>
          <w:lang w:val="es-MX"/>
        </w:rPr>
        <w:t>que “las autoridades tienen un deber reforzado de diligencia cuando exista violencia de género, el cual aplica, en este Protocolo, cuando se trate de la desaparición de una persona por su condición o identidad de género, en específico, mujeres (niñas, adolescentes o adultas) y personas pertenecientes a la población de la diversidad sexual (…)</w:t>
      </w:r>
      <w:r w:rsidR="00491DEE" w:rsidRPr="004E3E07">
        <w:rPr>
          <w:rFonts w:ascii="Cambria" w:eastAsia="Cambria" w:hAnsi="Cambria" w:cs="Cambria"/>
          <w:sz w:val="20"/>
          <w:szCs w:val="20"/>
          <w:lang w:val="es-MX"/>
        </w:rPr>
        <w:t>”</w:t>
      </w:r>
      <w:r w:rsidR="005A7706" w:rsidRPr="004E3E07">
        <w:rPr>
          <w:rFonts w:ascii="Cambria" w:eastAsia="Cambria" w:hAnsi="Cambria" w:cs="Cambria"/>
          <w:sz w:val="20"/>
          <w:szCs w:val="20"/>
          <w:vertAlign w:val="superscript"/>
          <w:lang w:val="es-MX"/>
        </w:rPr>
        <w:footnoteReference w:id="104"/>
      </w:r>
      <w:r w:rsidR="005A7706" w:rsidRPr="004E3E07">
        <w:rPr>
          <w:rFonts w:ascii="Cambria" w:eastAsia="Cambria" w:hAnsi="Cambria" w:cs="Cambria"/>
          <w:sz w:val="20"/>
          <w:szCs w:val="20"/>
          <w:lang w:val="es-MX"/>
        </w:rPr>
        <w:t>.</w:t>
      </w:r>
    </w:p>
    <w:p w14:paraId="14606990" w14:textId="32F992AB" w:rsidR="002277F5" w:rsidRPr="004E3E07" w:rsidRDefault="00491DEE" w:rsidP="65FCB332">
      <w:pPr>
        <w:numPr>
          <w:ilvl w:val="0"/>
          <w:numId w:val="5"/>
        </w:numPr>
        <w:shd w:val="clear" w:color="auto" w:fill="FFFFFF" w:themeFill="background1"/>
        <w:spacing w:after="240" w:line="240" w:lineRule="auto"/>
        <w:ind w:left="0" w:firstLine="720"/>
        <w:jc w:val="both"/>
        <w:rPr>
          <w:rFonts w:ascii="Cambria" w:eastAsia="Cambria" w:hAnsi="Cambria" w:cs="Cambria"/>
          <w:sz w:val="20"/>
          <w:szCs w:val="20"/>
          <w:lang w:val="es-MX"/>
        </w:rPr>
      </w:pPr>
      <w:r w:rsidRPr="004E3E07">
        <w:rPr>
          <w:rFonts w:ascii="Cambria" w:eastAsia="Cambria" w:hAnsi="Cambria" w:cs="Cambria"/>
          <w:sz w:val="20"/>
          <w:szCs w:val="20"/>
          <w:lang w:val="es-MX"/>
        </w:rPr>
        <w:t>Al respecto, la Comisión reitera sus observaciones relacionadas con la adopción del P</w:t>
      </w:r>
      <w:r w:rsidR="00825D99" w:rsidRPr="004E3E07">
        <w:rPr>
          <w:rFonts w:ascii="Cambria" w:eastAsia="Cambria" w:hAnsi="Cambria" w:cs="Cambria"/>
          <w:sz w:val="20"/>
          <w:szCs w:val="20"/>
          <w:lang w:val="es-MX"/>
        </w:rPr>
        <w:t>rotocolo Homologado de Búsqueda</w:t>
      </w:r>
      <w:r w:rsidRPr="004E3E07">
        <w:rPr>
          <w:rFonts w:ascii="Cambria" w:eastAsia="Cambria" w:hAnsi="Cambria" w:cs="Cambria"/>
          <w:sz w:val="20"/>
          <w:szCs w:val="20"/>
          <w:lang w:val="es-MX"/>
        </w:rPr>
        <w:t xml:space="preserve"> en el sentido de que se prevé un mecanismo de búsqueda inmediata. </w:t>
      </w:r>
      <w:r w:rsidR="00B448E7" w:rsidRPr="004E3E07">
        <w:rPr>
          <w:rFonts w:ascii="Cambria" w:eastAsia="Cambria" w:hAnsi="Cambria" w:cs="Cambria"/>
          <w:sz w:val="20"/>
          <w:szCs w:val="20"/>
          <w:lang w:val="es-MX"/>
        </w:rPr>
        <w:t>Sin perjuicio de lo anterior</w:t>
      </w:r>
      <w:r w:rsidR="00EA218E" w:rsidRPr="004E3E07">
        <w:rPr>
          <w:rFonts w:ascii="Cambria" w:eastAsia="Cambria" w:hAnsi="Cambria" w:cs="Cambria"/>
          <w:sz w:val="20"/>
          <w:szCs w:val="20"/>
          <w:lang w:val="es-MX"/>
        </w:rPr>
        <w:t>, la Comisión continúa recibiendo denuncias sobre obstáculos en la coordinación</w:t>
      </w:r>
      <w:r w:rsidR="005F2802" w:rsidRPr="004E3E07">
        <w:rPr>
          <w:rFonts w:ascii="Cambria" w:eastAsia="Cambria" w:hAnsi="Cambria" w:cs="Cambria"/>
          <w:sz w:val="20"/>
          <w:szCs w:val="20"/>
          <w:lang w:val="es-MX"/>
        </w:rPr>
        <w:t xml:space="preserve"> interinstitucional para la implementación del PHB, </w:t>
      </w:r>
      <w:r w:rsidR="00525A99" w:rsidRPr="004E3E07">
        <w:rPr>
          <w:rFonts w:ascii="Cambria" w:eastAsia="Cambria" w:hAnsi="Cambria" w:cs="Cambria"/>
          <w:sz w:val="20"/>
          <w:szCs w:val="20"/>
          <w:lang w:val="es-MX"/>
        </w:rPr>
        <w:t xml:space="preserve">en especial respecto de </w:t>
      </w:r>
      <w:r w:rsidR="005F2802" w:rsidRPr="004E3E07">
        <w:rPr>
          <w:rFonts w:ascii="Cambria" w:eastAsia="Cambria" w:hAnsi="Cambria" w:cs="Cambria"/>
          <w:sz w:val="20"/>
          <w:szCs w:val="20"/>
          <w:lang w:val="es-MX"/>
        </w:rPr>
        <w:t xml:space="preserve">las autoridades de procuración de justicia. Estos desafíos se observan, por ejemplo, en </w:t>
      </w:r>
      <w:r w:rsidR="005F2802" w:rsidRPr="004E3E07">
        <w:rPr>
          <w:rFonts w:ascii="Cambria" w:hAnsi="Cambria" w:cs="Calibri Light"/>
          <w:sz w:val="20"/>
          <w:szCs w:val="20"/>
          <w:lang w:val="es-MX"/>
        </w:rPr>
        <w:t>la ausencia de la CNPJ en la Comisión de Implementación, Monitoreo, Evaluación y Actualización del PHB</w:t>
      </w:r>
      <w:r w:rsidR="008036EB">
        <w:rPr>
          <w:rFonts w:ascii="Cambria" w:hAnsi="Cambria" w:cs="Calibri Light"/>
          <w:sz w:val="20"/>
          <w:szCs w:val="20"/>
          <w:lang w:val="es-MX"/>
        </w:rPr>
        <w:t xml:space="preserve"> en la mayoría de sus sesiones celebradas en 2021, hasta la designación de una </w:t>
      </w:r>
      <w:r w:rsidR="6C166827" w:rsidRPr="00BA6325">
        <w:rPr>
          <w:rFonts w:ascii="Cambria" w:hAnsi="Cambria" w:cs="Calibri Light"/>
          <w:sz w:val="20"/>
          <w:szCs w:val="20"/>
          <w:lang w:val="es-MX"/>
        </w:rPr>
        <w:t>persona</w:t>
      </w:r>
      <w:r w:rsidR="008036EB">
        <w:rPr>
          <w:rFonts w:ascii="Cambria" w:hAnsi="Cambria" w:cs="Calibri Light"/>
          <w:sz w:val="20"/>
          <w:szCs w:val="20"/>
          <w:lang w:val="es-MX"/>
        </w:rPr>
        <w:t xml:space="preserve"> representante en diciembre de 2021</w:t>
      </w:r>
      <w:r w:rsidR="005F2802" w:rsidRPr="004E3E07">
        <w:rPr>
          <w:rStyle w:val="FootnoteReference"/>
          <w:rFonts w:ascii="Cambria" w:hAnsi="Cambria" w:cs="Calibri Light"/>
          <w:sz w:val="20"/>
          <w:szCs w:val="20"/>
          <w:lang w:val="es-MX"/>
        </w:rPr>
        <w:footnoteReference w:id="105"/>
      </w:r>
      <w:r w:rsidR="005F2802" w:rsidRPr="004E3E07">
        <w:rPr>
          <w:rFonts w:ascii="Cambria" w:eastAsia="Cambria" w:hAnsi="Cambria" w:cs="Cambria"/>
          <w:sz w:val="20"/>
          <w:szCs w:val="20"/>
          <w:lang w:val="es-MX"/>
        </w:rPr>
        <w:t>. Por tales motivos</w:t>
      </w:r>
      <w:r w:rsidR="007E25FF" w:rsidRPr="004E3E07">
        <w:rPr>
          <w:rFonts w:ascii="Cambria" w:eastAsia="Cambria" w:hAnsi="Cambria" w:cs="Cambria"/>
          <w:sz w:val="20"/>
          <w:szCs w:val="20"/>
          <w:lang w:val="es-MX"/>
        </w:rPr>
        <w:t xml:space="preserve">, </w:t>
      </w:r>
      <w:r w:rsidRPr="004E3E07">
        <w:rPr>
          <w:rFonts w:ascii="Cambria" w:eastAsia="Cambria" w:hAnsi="Cambria" w:cs="Cambria"/>
          <w:sz w:val="20"/>
          <w:szCs w:val="20"/>
          <w:lang w:val="es-MX"/>
        </w:rPr>
        <w:t xml:space="preserve">la CIDH </w:t>
      </w:r>
      <w:r w:rsidR="005F2802" w:rsidRPr="004E3E07">
        <w:rPr>
          <w:rFonts w:ascii="Cambria" w:eastAsia="Cambria" w:hAnsi="Cambria" w:cs="Cambria"/>
          <w:sz w:val="20"/>
          <w:szCs w:val="20"/>
          <w:lang w:val="es-MX"/>
        </w:rPr>
        <w:t xml:space="preserve">considera importante </w:t>
      </w:r>
      <w:r w:rsidRPr="004E3E07">
        <w:rPr>
          <w:rFonts w:ascii="Cambria" w:eastAsia="Cambria" w:hAnsi="Cambria" w:cs="Cambria"/>
          <w:sz w:val="20"/>
          <w:szCs w:val="20"/>
          <w:lang w:val="es-MX"/>
        </w:rPr>
        <w:t>continuar dando</w:t>
      </w:r>
      <w:r w:rsidR="007E25FF" w:rsidRPr="004E3E07">
        <w:rPr>
          <w:rFonts w:ascii="Cambria" w:eastAsia="Cambria" w:hAnsi="Cambria" w:cs="Cambria"/>
          <w:sz w:val="20"/>
          <w:szCs w:val="20"/>
          <w:lang w:val="es-MX"/>
        </w:rPr>
        <w:t xml:space="preserve"> seguimiento a la </w:t>
      </w:r>
      <w:r w:rsidR="005F2802" w:rsidRPr="004E3E07">
        <w:rPr>
          <w:rFonts w:ascii="Cambria" w:eastAsia="Cambria" w:hAnsi="Cambria" w:cs="Cambria"/>
          <w:sz w:val="20"/>
          <w:szCs w:val="20"/>
          <w:lang w:val="es-MX"/>
        </w:rPr>
        <w:t xml:space="preserve">implementación del PHB durante el </w:t>
      </w:r>
      <w:r w:rsidR="007E25FF" w:rsidRPr="004E3E07">
        <w:rPr>
          <w:rFonts w:ascii="Cambria" w:eastAsia="Cambria" w:hAnsi="Cambria" w:cs="Cambria"/>
          <w:sz w:val="20"/>
          <w:szCs w:val="20"/>
          <w:lang w:val="es-MX"/>
        </w:rPr>
        <w:t>año próximo,</w:t>
      </w:r>
      <w:r w:rsidR="005F2802" w:rsidRPr="004E3E07">
        <w:rPr>
          <w:rFonts w:ascii="Cambria" w:eastAsia="Cambria" w:hAnsi="Cambria" w:cs="Cambria"/>
          <w:sz w:val="20"/>
          <w:szCs w:val="20"/>
          <w:lang w:val="es-MX"/>
        </w:rPr>
        <w:t xml:space="preserve"> </w:t>
      </w:r>
      <w:r w:rsidR="00F734A7" w:rsidRPr="004E3E07">
        <w:rPr>
          <w:rFonts w:ascii="Cambria" w:eastAsia="Cambria" w:hAnsi="Cambria" w:cs="Cambria"/>
          <w:sz w:val="20"/>
          <w:szCs w:val="20"/>
          <w:lang w:val="es-MX"/>
        </w:rPr>
        <w:t>en particular</w:t>
      </w:r>
      <w:r w:rsidR="005F2802" w:rsidRPr="004E3E07">
        <w:rPr>
          <w:rFonts w:ascii="Cambria" w:eastAsia="Cambria" w:hAnsi="Cambria" w:cs="Cambria"/>
          <w:sz w:val="20"/>
          <w:szCs w:val="20"/>
          <w:lang w:val="es-MX"/>
        </w:rPr>
        <w:t xml:space="preserve"> respecto de las acciones de </w:t>
      </w:r>
      <w:r w:rsidR="007E25FF" w:rsidRPr="004E3E07">
        <w:rPr>
          <w:rFonts w:ascii="Cambria" w:eastAsia="Cambria" w:hAnsi="Cambria" w:cs="Cambria"/>
          <w:sz w:val="20"/>
          <w:szCs w:val="20"/>
          <w:lang w:val="es-MX"/>
        </w:rPr>
        <w:t>búsqueda inmediata</w:t>
      </w:r>
      <w:r w:rsidR="005F2802" w:rsidRPr="004E3E07">
        <w:rPr>
          <w:rFonts w:ascii="Cambria" w:eastAsia="Cambria" w:hAnsi="Cambria" w:cs="Cambria"/>
          <w:sz w:val="20"/>
          <w:szCs w:val="20"/>
          <w:lang w:val="es-MX"/>
        </w:rPr>
        <w:t xml:space="preserve"> desplegadas por las autoridades obligadas</w:t>
      </w:r>
      <w:r w:rsidR="007E25FF" w:rsidRPr="004E3E07">
        <w:rPr>
          <w:rFonts w:ascii="Cambria" w:eastAsia="Cambria" w:hAnsi="Cambria" w:cs="Cambria"/>
          <w:sz w:val="20"/>
          <w:szCs w:val="20"/>
          <w:lang w:val="es-MX"/>
        </w:rPr>
        <w:t xml:space="preserve"> </w:t>
      </w:r>
      <w:r w:rsidR="002F634C" w:rsidRPr="004E3E07">
        <w:rPr>
          <w:rFonts w:ascii="Cambria" w:eastAsia="Cambria" w:hAnsi="Cambria" w:cs="Cambria"/>
          <w:sz w:val="20"/>
          <w:szCs w:val="20"/>
          <w:lang w:val="es-MX"/>
        </w:rPr>
        <w:t xml:space="preserve">en el ámbito de sus </w:t>
      </w:r>
      <w:r w:rsidR="007E25FF" w:rsidRPr="004E3E07">
        <w:rPr>
          <w:rFonts w:ascii="Cambria" w:eastAsia="Cambria" w:hAnsi="Cambria" w:cs="Cambria"/>
          <w:sz w:val="20"/>
          <w:szCs w:val="20"/>
          <w:lang w:val="es-MX"/>
        </w:rPr>
        <w:t>competencias</w:t>
      </w:r>
      <w:r w:rsidR="002F634C" w:rsidRPr="004E3E07">
        <w:rPr>
          <w:rFonts w:ascii="Cambria" w:eastAsia="Cambria" w:hAnsi="Cambria" w:cs="Cambria"/>
          <w:sz w:val="20"/>
          <w:szCs w:val="20"/>
          <w:lang w:val="es-MX"/>
        </w:rPr>
        <w:t xml:space="preserve">, y espera que el Estado reporte </w:t>
      </w:r>
      <w:r w:rsidR="00F734A7" w:rsidRPr="004E3E07">
        <w:rPr>
          <w:rFonts w:ascii="Cambria" w:eastAsia="Cambria" w:hAnsi="Cambria" w:cs="Cambria"/>
          <w:sz w:val="20"/>
          <w:szCs w:val="20"/>
          <w:lang w:val="es-MX"/>
        </w:rPr>
        <w:t xml:space="preserve">en su siguiente informe </w:t>
      </w:r>
      <w:r w:rsidR="002F634C" w:rsidRPr="004E3E07">
        <w:rPr>
          <w:rFonts w:ascii="Cambria" w:eastAsia="Cambria" w:hAnsi="Cambria" w:cs="Cambria"/>
          <w:sz w:val="20"/>
          <w:szCs w:val="20"/>
          <w:lang w:val="es-MX"/>
        </w:rPr>
        <w:t>las medidas adoptadas a este respecto</w:t>
      </w:r>
      <w:r w:rsidR="007E25FF" w:rsidRPr="004E3E07">
        <w:rPr>
          <w:rFonts w:ascii="Cambria" w:eastAsia="Cambria" w:hAnsi="Cambria" w:cs="Cambria"/>
          <w:sz w:val="20"/>
          <w:szCs w:val="20"/>
          <w:lang w:val="es-MX"/>
        </w:rPr>
        <w:t>. En virtud de lo anterior, la CIDH considera que la recomendación se encuentra en cumplimiento parcial sustancial.</w:t>
      </w:r>
    </w:p>
    <w:p w14:paraId="5BBC5DB9" w14:textId="77777777" w:rsidR="00836522" w:rsidRPr="004E3E07" w:rsidRDefault="007E25FF" w:rsidP="00082E5B">
      <w:pPr>
        <w:numPr>
          <w:ilvl w:val="0"/>
          <w:numId w:val="5"/>
        </w:numPr>
        <w:shd w:val="clear" w:color="auto" w:fill="FFFFFF"/>
        <w:spacing w:after="240" w:line="240" w:lineRule="auto"/>
        <w:ind w:left="0" w:firstLine="720"/>
        <w:jc w:val="both"/>
        <w:rPr>
          <w:rFonts w:ascii="Cambria" w:eastAsia="Cambria" w:hAnsi="Cambria" w:cs="Cambria"/>
          <w:sz w:val="20"/>
          <w:szCs w:val="20"/>
          <w:lang w:val="es-MX"/>
        </w:rPr>
      </w:pPr>
      <w:r w:rsidRPr="004E3E07">
        <w:rPr>
          <w:rFonts w:ascii="Cambria" w:eastAsia="Cambria" w:hAnsi="Cambria" w:cs="Cambria"/>
          <w:sz w:val="20"/>
          <w:szCs w:val="20"/>
          <w:lang w:val="es-MX"/>
        </w:rPr>
        <w:t xml:space="preserve">En cuanto a la recomendación de </w:t>
      </w:r>
      <w:r w:rsidRPr="004E3E07">
        <w:rPr>
          <w:rFonts w:ascii="Cambria" w:eastAsia="Cambria" w:hAnsi="Cambria" w:cs="Cambria"/>
          <w:b/>
          <w:bCs/>
          <w:sz w:val="20"/>
          <w:szCs w:val="20"/>
          <w:lang w:val="es-MX"/>
        </w:rPr>
        <w:t>mejorar el Registro Nacional de Personas Desaparecidas como un registro único de desapariciones con información genética y protegida</w:t>
      </w:r>
      <w:r w:rsidR="000618A4" w:rsidRPr="004E3E07">
        <w:rPr>
          <w:rFonts w:ascii="Cambria" w:eastAsia="Cambria" w:hAnsi="Cambria" w:cs="Cambria"/>
          <w:sz w:val="20"/>
          <w:szCs w:val="20"/>
          <w:lang w:val="es-MX"/>
        </w:rPr>
        <w:t xml:space="preserve">, el Estado reiteró </w:t>
      </w:r>
      <w:r w:rsidR="00EF5AAF" w:rsidRPr="004E3E07">
        <w:rPr>
          <w:rFonts w:ascii="Cambria" w:eastAsia="Cambria" w:hAnsi="Cambria" w:cs="Cambria"/>
          <w:sz w:val="20"/>
          <w:szCs w:val="20"/>
          <w:lang w:val="es-MX"/>
        </w:rPr>
        <w:t xml:space="preserve">que </w:t>
      </w:r>
      <w:r w:rsidR="00584413" w:rsidRPr="004E3E07">
        <w:rPr>
          <w:rFonts w:ascii="Cambria" w:eastAsia="Cambria" w:hAnsi="Cambria" w:cs="Cambria"/>
          <w:sz w:val="20"/>
          <w:szCs w:val="20"/>
          <w:lang w:val="es-MX"/>
        </w:rPr>
        <w:t xml:space="preserve">la CNB ha venido implementando una </w:t>
      </w:r>
      <w:r w:rsidR="00584413" w:rsidRPr="004E3E07">
        <w:rPr>
          <w:rFonts w:ascii="Cambria" w:hAnsi="Cambria"/>
          <w:sz w:val="20"/>
          <w:szCs w:val="20"/>
          <w:lang w:val="es-MX"/>
        </w:rPr>
        <w:t>estrategia tecnológica para la incorporación de información al</w:t>
      </w:r>
      <w:r w:rsidR="000618A4" w:rsidRPr="004E3E07">
        <w:rPr>
          <w:rFonts w:ascii="Cambria" w:eastAsia="Cambria" w:hAnsi="Cambria" w:cs="Cambria"/>
          <w:sz w:val="20"/>
          <w:szCs w:val="20"/>
          <w:lang w:val="es-MX"/>
        </w:rPr>
        <w:t xml:space="preserve"> </w:t>
      </w:r>
      <w:r w:rsidRPr="004E3E07">
        <w:rPr>
          <w:rFonts w:ascii="Cambria" w:eastAsia="Cambria" w:hAnsi="Cambria" w:cs="Cambria"/>
          <w:sz w:val="20"/>
          <w:szCs w:val="20"/>
          <w:lang w:val="es-MX"/>
        </w:rPr>
        <w:t>R</w:t>
      </w:r>
      <w:r w:rsidR="000618A4" w:rsidRPr="004E3E07">
        <w:rPr>
          <w:rFonts w:ascii="Cambria" w:eastAsia="Cambria" w:hAnsi="Cambria" w:cs="Cambria"/>
          <w:sz w:val="20"/>
          <w:szCs w:val="20"/>
          <w:lang w:val="es-MX"/>
        </w:rPr>
        <w:t>N</w:t>
      </w:r>
      <w:r w:rsidRPr="004E3E07">
        <w:rPr>
          <w:rFonts w:ascii="Cambria" w:eastAsia="Cambria" w:hAnsi="Cambria" w:cs="Cambria"/>
          <w:sz w:val="20"/>
          <w:szCs w:val="20"/>
          <w:lang w:val="es-MX"/>
        </w:rPr>
        <w:t>P</w:t>
      </w:r>
      <w:r w:rsidR="000618A4" w:rsidRPr="004E3E07">
        <w:rPr>
          <w:rFonts w:ascii="Cambria" w:eastAsia="Cambria" w:hAnsi="Cambria" w:cs="Cambria"/>
          <w:sz w:val="20"/>
          <w:szCs w:val="20"/>
          <w:lang w:val="es-MX"/>
        </w:rPr>
        <w:t>DNO</w:t>
      </w:r>
      <w:r w:rsidR="00EF5AAF" w:rsidRPr="004E3E07">
        <w:rPr>
          <w:rFonts w:ascii="Cambria" w:eastAsia="Cambria" w:hAnsi="Cambria" w:cs="Cambria"/>
          <w:sz w:val="20"/>
          <w:szCs w:val="20"/>
          <w:lang w:val="es-MX"/>
        </w:rPr>
        <w:t xml:space="preserve"> desde 2019 hasta la actualidad, y agregó que dicho registro</w:t>
      </w:r>
      <w:r w:rsidR="00584413" w:rsidRPr="004E3E07">
        <w:rPr>
          <w:rFonts w:ascii="Cambria" w:eastAsia="Cambria" w:hAnsi="Cambria" w:cs="Cambria"/>
          <w:sz w:val="20"/>
          <w:szCs w:val="20"/>
          <w:lang w:val="es-MX"/>
        </w:rPr>
        <w:t xml:space="preserve"> cuenta con un sistema </w:t>
      </w:r>
      <w:r w:rsidR="00EF5AAF" w:rsidRPr="004E3E07">
        <w:rPr>
          <w:rFonts w:ascii="Cambria" w:eastAsia="Cambria" w:hAnsi="Cambria" w:cs="Cambria"/>
          <w:sz w:val="20"/>
          <w:szCs w:val="20"/>
          <w:lang w:val="es-MX"/>
        </w:rPr>
        <w:t xml:space="preserve">de </w:t>
      </w:r>
      <w:r w:rsidR="00584413" w:rsidRPr="004E3E07">
        <w:rPr>
          <w:rFonts w:ascii="Cambria" w:eastAsia="Cambria" w:hAnsi="Cambria" w:cs="Cambria"/>
          <w:sz w:val="20"/>
          <w:szCs w:val="20"/>
          <w:lang w:val="es-MX"/>
        </w:rPr>
        <w:t>interoperabilidad con otras</w:t>
      </w:r>
      <w:r w:rsidR="000618A4" w:rsidRPr="004E3E07">
        <w:rPr>
          <w:rFonts w:ascii="Cambria" w:eastAsia="Cambria" w:hAnsi="Cambria" w:cs="Cambria"/>
          <w:sz w:val="20"/>
          <w:szCs w:val="20"/>
          <w:lang w:val="es-MX"/>
        </w:rPr>
        <w:t xml:space="preserve"> bases de datos </w:t>
      </w:r>
      <w:r w:rsidR="00584413" w:rsidRPr="004E3E07">
        <w:rPr>
          <w:rFonts w:ascii="Cambria" w:eastAsia="Cambria" w:hAnsi="Cambria" w:cs="Cambria"/>
          <w:sz w:val="20"/>
          <w:szCs w:val="20"/>
          <w:lang w:val="es-MX"/>
        </w:rPr>
        <w:t>de</w:t>
      </w:r>
      <w:r w:rsidRPr="004E3E07">
        <w:rPr>
          <w:rFonts w:ascii="Cambria" w:eastAsia="Cambria" w:hAnsi="Cambria" w:cs="Cambria"/>
          <w:sz w:val="20"/>
          <w:szCs w:val="20"/>
          <w:lang w:val="es-MX"/>
        </w:rPr>
        <w:t xml:space="preserve"> autoridades </w:t>
      </w:r>
      <w:r w:rsidR="00584413" w:rsidRPr="004E3E07">
        <w:rPr>
          <w:rFonts w:ascii="Cambria" w:eastAsia="Cambria" w:hAnsi="Cambria" w:cs="Cambria"/>
          <w:sz w:val="20"/>
          <w:szCs w:val="20"/>
          <w:lang w:val="es-MX"/>
        </w:rPr>
        <w:t xml:space="preserve">estatales </w:t>
      </w:r>
      <w:r w:rsidR="000618A4" w:rsidRPr="004E3E07">
        <w:rPr>
          <w:rFonts w:ascii="Cambria" w:eastAsia="Cambria" w:hAnsi="Cambria" w:cs="Cambria"/>
          <w:sz w:val="20"/>
          <w:szCs w:val="20"/>
          <w:lang w:val="es-MX"/>
        </w:rPr>
        <w:t>de diferentes órdenes de gobierno.</w:t>
      </w:r>
      <w:r w:rsidR="00584413" w:rsidRPr="004E3E07">
        <w:rPr>
          <w:rFonts w:ascii="Cambria" w:eastAsia="Cambria" w:hAnsi="Cambria" w:cs="Cambria"/>
          <w:sz w:val="20"/>
          <w:szCs w:val="20"/>
          <w:lang w:val="es-MX"/>
        </w:rPr>
        <w:t xml:space="preserve"> Adicionalmente, el Estado </w:t>
      </w:r>
      <w:r w:rsidR="00EF5AAF" w:rsidRPr="004E3E07">
        <w:rPr>
          <w:rFonts w:ascii="Cambria" w:eastAsia="Cambria" w:hAnsi="Cambria" w:cs="Cambria"/>
          <w:sz w:val="20"/>
          <w:szCs w:val="20"/>
          <w:lang w:val="es-MX"/>
        </w:rPr>
        <w:t xml:space="preserve">indicó </w:t>
      </w:r>
      <w:r w:rsidR="00584413" w:rsidRPr="004E3E07">
        <w:rPr>
          <w:rFonts w:ascii="Cambria" w:eastAsia="Cambria" w:hAnsi="Cambria" w:cs="Cambria"/>
          <w:sz w:val="20"/>
          <w:szCs w:val="20"/>
          <w:lang w:val="es-MX"/>
        </w:rPr>
        <w:t xml:space="preserve">que el RNPDNO cuenta con herramientas tecnológicas para la carga masiva de denuncias y reportes de personas desaparecidas, </w:t>
      </w:r>
      <w:r w:rsidR="00082E5B" w:rsidRPr="004E3E07">
        <w:rPr>
          <w:rFonts w:ascii="Cambria" w:eastAsia="Cambria" w:hAnsi="Cambria" w:cs="Cambria"/>
          <w:sz w:val="20"/>
          <w:szCs w:val="20"/>
          <w:lang w:val="es-MX"/>
        </w:rPr>
        <w:t xml:space="preserve">además de que cuenta con herramientas </w:t>
      </w:r>
      <w:r w:rsidR="00584413" w:rsidRPr="004E3E07">
        <w:rPr>
          <w:rFonts w:ascii="Cambria" w:eastAsia="Cambria" w:hAnsi="Cambria" w:cs="Cambria"/>
          <w:sz w:val="20"/>
          <w:szCs w:val="20"/>
          <w:lang w:val="es-MX"/>
        </w:rPr>
        <w:t xml:space="preserve">para realizar reportes de personas desaparecidas y no localizadas en una página </w:t>
      </w:r>
      <w:r w:rsidRPr="004E3E07">
        <w:rPr>
          <w:rFonts w:ascii="Cambria" w:eastAsia="Cambria" w:hAnsi="Cambria" w:cs="Cambria"/>
          <w:sz w:val="20"/>
          <w:szCs w:val="20"/>
          <w:lang w:val="es-MX"/>
        </w:rPr>
        <w:t>web</w:t>
      </w:r>
      <w:r w:rsidR="00584413" w:rsidRPr="004E3E07">
        <w:rPr>
          <w:rFonts w:ascii="Cambria" w:eastAsia="Cambria" w:hAnsi="Cambria" w:cs="Cambria"/>
          <w:sz w:val="20"/>
          <w:szCs w:val="20"/>
          <w:lang w:val="es-MX"/>
        </w:rPr>
        <w:t xml:space="preserve"> pública</w:t>
      </w:r>
      <w:r w:rsidR="00082E5B" w:rsidRPr="004E3E07">
        <w:rPr>
          <w:rFonts w:ascii="Cambria" w:eastAsia="Cambria" w:hAnsi="Cambria" w:cs="Cambria"/>
          <w:sz w:val="20"/>
          <w:szCs w:val="20"/>
          <w:lang w:val="es-MX"/>
        </w:rPr>
        <w:t xml:space="preserve"> y</w:t>
      </w:r>
      <w:r w:rsidR="00584413" w:rsidRPr="004E3E07">
        <w:rPr>
          <w:rFonts w:ascii="Cambria" w:eastAsia="Cambria" w:hAnsi="Cambria" w:cs="Cambria"/>
          <w:sz w:val="20"/>
          <w:szCs w:val="20"/>
          <w:lang w:val="es-MX"/>
        </w:rPr>
        <w:t xml:space="preserve"> una</w:t>
      </w:r>
      <w:r w:rsidRPr="004E3E07">
        <w:rPr>
          <w:rFonts w:ascii="Cambria" w:eastAsia="Cambria" w:hAnsi="Cambria" w:cs="Cambria"/>
          <w:sz w:val="20"/>
          <w:szCs w:val="20"/>
          <w:lang w:val="es-MX"/>
        </w:rPr>
        <w:t xml:space="preserve"> versión pública </w:t>
      </w:r>
      <w:r w:rsidR="00584413" w:rsidRPr="004E3E07">
        <w:rPr>
          <w:rFonts w:ascii="Cambria" w:eastAsia="Cambria" w:hAnsi="Cambria" w:cs="Cambria"/>
          <w:sz w:val="20"/>
          <w:szCs w:val="20"/>
          <w:lang w:val="es-MX"/>
        </w:rPr>
        <w:t>que permite la consulta de información sobre personas desaparecidas y no localizadas en México en tiempo real</w:t>
      </w:r>
      <w:r w:rsidR="00584413" w:rsidRPr="004E3E07">
        <w:rPr>
          <w:rStyle w:val="FootnoteReference"/>
          <w:rFonts w:ascii="Cambria" w:eastAsia="Cambria" w:hAnsi="Cambria" w:cs="Cambria"/>
          <w:sz w:val="20"/>
          <w:szCs w:val="20"/>
          <w:lang w:val="es-MX"/>
        </w:rPr>
        <w:footnoteReference w:id="106"/>
      </w:r>
      <w:r w:rsidRPr="004E3E07">
        <w:rPr>
          <w:rFonts w:ascii="Cambria" w:eastAsia="Cambria" w:hAnsi="Cambria" w:cs="Cambria"/>
          <w:sz w:val="20"/>
          <w:szCs w:val="20"/>
          <w:lang w:val="es-MX"/>
        </w:rPr>
        <w:t>.</w:t>
      </w:r>
      <w:r w:rsidR="000726AD" w:rsidRPr="004E3E07">
        <w:rPr>
          <w:rFonts w:ascii="Cambria" w:eastAsia="Cambria" w:hAnsi="Cambria" w:cs="Cambria"/>
          <w:sz w:val="20"/>
          <w:szCs w:val="20"/>
          <w:lang w:val="es-MX"/>
        </w:rPr>
        <w:t xml:space="preserve"> </w:t>
      </w:r>
    </w:p>
    <w:p w14:paraId="7DCF543D" w14:textId="0B2F2BD5" w:rsidR="00584413" w:rsidRPr="004E3E07" w:rsidRDefault="00082E5B" w:rsidP="000726AD">
      <w:pPr>
        <w:numPr>
          <w:ilvl w:val="0"/>
          <w:numId w:val="5"/>
        </w:numPr>
        <w:shd w:val="clear" w:color="auto" w:fill="FFFFFF"/>
        <w:spacing w:after="240" w:line="240" w:lineRule="auto"/>
        <w:ind w:left="0" w:firstLine="720"/>
        <w:jc w:val="both"/>
        <w:rPr>
          <w:rFonts w:ascii="Cambria" w:eastAsia="Cambria" w:hAnsi="Cambria" w:cs="Cambria"/>
          <w:sz w:val="20"/>
          <w:szCs w:val="20"/>
          <w:lang w:val="es-MX"/>
        </w:rPr>
      </w:pPr>
      <w:r w:rsidRPr="004E3E07">
        <w:rPr>
          <w:rFonts w:ascii="Cambria" w:eastAsia="Cambria" w:hAnsi="Cambria" w:cs="Cambria"/>
          <w:sz w:val="20"/>
          <w:szCs w:val="20"/>
          <w:lang w:val="es-MX"/>
        </w:rPr>
        <w:t>A pesar de lo anterior, el Estado subrayó que, no sólo por la naturaleza misma de este tipo de registros, los datos son dinámicos, sino que, además, la información proporcionada se verá modificada tan pronto las fiscalías faltantes aporten la información en</w:t>
      </w:r>
      <w:r w:rsidR="000726AD" w:rsidRPr="004E3E07">
        <w:rPr>
          <w:rFonts w:ascii="Cambria" w:eastAsia="Cambria" w:hAnsi="Cambria" w:cs="Cambria"/>
          <w:sz w:val="20"/>
          <w:szCs w:val="20"/>
          <w:lang w:val="es-MX"/>
        </w:rPr>
        <w:t xml:space="preserve"> su </w:t>
      </w:r>
      <w:r w:rsidRPr="004E3E07">
        <w:rPr>
          <w:rFonts w:ascii="Cambria" w:eastAsia="Cambria" w:hAnsi="Cambria" w:cs="Cambria"/>
          <w:sz w:val="20"/>
          <w:szCs w:val="20"/>
          <w:lang w:val="es-MX"/>
        </w:rPr>
        <w:t>posesión</w:t>
      </w:r>
      <w:r w:rsidRPr="004E3E07">
        <w:rPr>
          <w:rStyle w:val="FootnoteReference"/>
          <w:rFonts w:ascii="Cambria" w:eastAsia="Cambria" w:hAnsi="Cambria" w:cs="Cambria"/>
          <w:sz w:val="20"/>
          <w:szCs w:val="20"/>
          <w:lang w:val="es-MX"/>
        </w:rPr>
        <w:footnoteReference w:id="107"/>
      </w:r>
      <w:r w:rsidRPr="004E3E07">
        <w:rPr>
          <w:rFonts w:ascii="Cambria" w:eastAsia="Cambria" w:hAnsi="Cambria" w:cs="Cambria"/>
          <w:sz w:val="20"/>
          <w:szCs w:val="20"/>
          <w:lang w:val="es-MX"/>
        </w:rPr>
        <w:t xml:space="preserve">. En este sentido, la Comisión considera importante continuar supervisando los avances y desafíos en la alimentación del RNPDNO por </w:t>
      </w:r>
      <w:r w:rsidR="000726AD" w:rsidRPr="004E3E07">
        <w:rPr>
          <w:rFonts w:ascii="Cambria" w:eastAsia="Cambria" w:hAnsi="Cambria" w:cs="Cambria"/>
          <w:sz w:val="20"/>
          <w:szCs w:val="20"/>
          <w:lang w:val="es-MX"/>
        </w:rPr>
        <w:t>parte</w:t>
      </w:r>
      <w:r w:rsidRPr="004E3E07">
        <w:rPr>
          <w:rFonts w:ascii="Cambria" w:eastAsia="Cambria" w:hAnsi="Cambria" w:cs="Cambria"/>
          <w:sz w:val="20"/>
          <w:szCs w:val="20"/>
          <w:lang w:val="es-MX"/>
        </w:rPr>
        <w:t xml:space="preserve"> de las autoridades obligadas a fin de consolidar </w:t>
      </w:r>
      <w:r w:rsidR="00836522" w:rsidRPr="004E3E07">
        <w:rPr>
          <w:rFonts w:ascii="Cambria" w:eastAsia="Cambria" w:hAnsi="Cambria" w:cs="Cambria"/>
          <w:sz w:val="20"/>
          <w:szCs w:val="20"/>
          <w:lang w:val="es-MX"/>
        </w:rPr>
        <w:t xml:space="preserve">un registro único de desapariciones </w:t>
      </w:r>
      <w:r w:rsidR="00CE5BCC">
        <w:rPr>
          <w:rFonts w:ascii="Cambria" w:eastAsia="Cambria" w:hAnsi="Cambria" w:cs="Cambria"/>
          <w:sz w:val="20"/>
          <w:szCs w:val="20"/>
          <w:lang w:val="es-MX"/>
        </w:rPr>
        <w:t xml:space="preserve">con datos </w:t>
      </w:r>
      <w:r w:rsidR="00836522" w:rsidRPr="004E3E07">
        <w:rPr>
          <w:rFonts w:ascii="Cambria" w:eastAsia="Cambria" w:hAnsi="Cambria" w:cs="Cambria"/>
          <w:sz w:val="20"/>
          <w:szCs w:val="20"/>
          <w:lang w:val="es-MX"/>
        </w:rPr>
        <w:t xml:space="preserve">más </w:t>
      </w:r>
      <w:r w:rsidR="00CE5BCC">
        <w:rPr>
          <w:rFonts w:ascii="Cambria" w:eastAsia="Cambria" w:hAnsi="Cambria" w:cs="Cambria"/>
          <w:sz w:val="20"/>
          <w:szCs w:val="20"/>
          <w:lang w:val="es-MX"/>
        </w:rPr>
        <w:t>sólidos</w:t>
      </w:r>
      <w:r w:rsidR="00836522" w:rsidRPr="004E3E07">
        <w:rPr>
          <w:rFonts w:ascii="Cambria" w:eastAsia="Cambria" w:hAnsi="Cambria" w:cs="Cambria"/>
          <w:sz w:val="20"/>
          <w:szCs w:val="20"/>
          <w:lang w:val="es-MX"/>
        </w:rPr>
        <w:t>. Por otro lado</w:t>
      </w:r>
      <w:r w:rsidR="00584413" w:rsidRPr="004E3E07">
        <w:rPr>
          <w:rFonts w:ascii="Cambria" w:eastAsia="Cambria" w:hAnsi="Cambria" w:cs="Cambria"/>
          <w:sz w:val="20"/>
          <w:szCs w:val="20"/>
          <w:lang w:val="es-MX"/>
        </w:rPr>
        <w:t>, la C</w:t>
      </w:r>
      <w:r w:rsidR="00C14DF7" w:rsidRPr="004E3E07">
        <w:rPr>
          <w:rFonts w:ascii="Cambria" w:eastAsia="Cambria" w:hAnsi="Cambria" w:cs="Cambria"/>
          <w:sz w:val="20"/>
          <w:szCs w:val="20"/>
          <w:lang w:val="es-MX"/>
        </w:rPr>
        <w:t>IDH</w:t>
      </w:r>
      <w:r w:rsidR="00584413" w:rsidRPr="004E3E07">
        <w:rPr>
          <w:rFonts w:ascii="Cambria" w:eastAsia="Cambria" w:hAnsi="Cambria" w:cs="Cambria"/>
          <w:sz w:val="20"/>
          <w:szCs w:val="20"/>
          <w:lang w:val="es-MX"/>
        </w:rPr>
        <w:t xml:space="preserve"> </w:t>
      </w:r>
      <w:r w:rsidR="00C14DF7" w:rsidRPr="004E3E07">
        <w:rPr>
          <w:rFonts w:ascii="Cambria" w:eastAsia="Cambria" w:hAnsi="Cambria" w:cs="Cambria"/>
          <w:sz w:val="20"/>
          <w:szCs w:val="20"/>
          <w:lang w:val="es-MX"/>
        </w:rPr>
        <w:t xml:space="preserve">toma nota de </w:t>
      </w:r>
      <w:r w:rsidR="00584413" w:rsidRPr="004E3E07">
        <w:rPr>
          <w:rFonts w:ascii="Cambria" w:eastAsia="Cambria" w:hAnsi="Cambria" w:cs="Cambria"/>
          <w:sz w:val="20"/>
          <w:szCs w:val="20"/>
          <w:lang w:val="es-MX"/>
        </w:rPr>
        <w:t>la creación del Comité del Sistema Único de Información Tecnológica e Informática</w:t>
      </w:r>
      <w:r w:rsidR="00C14DF7" w:rsidRPr="004E3E07">
        <w:rPr>
          <w:rFonts w:ascii="Cambria" w:eastAsia="Cambria" w:hAnsi="Cambria" w:cs="Cambria"/>
          <w:sz w:val="20"/>
          <w:szCs w:val="20"/>
          <w:lang w:val="es-MX"/>
        </w:rPr>
        <w:t xml:space="preserve">, </w:t>
      </w:r>
      <w:r w:rsidR="00EF5AAF" w:rsidRPr="004E3E07">
        <w:rPr>
          <w:rFonts w:ascii="Cambria" w:eastAsia="Cambria" w:hAnsi="Cambria" w:cs="Cambria"/>
          <w:sz w:val="20"/>
          <w:szCs w:val="20"/>
          <w:lang w:val="es-MX"/>
        </w:rPr>
        <w:t>cuyo objeto es</w:t>
      </w:r>
      <w:r w:rsidR="00C14DF7" w:rsidRPr="004E3E07">
        <w:rPr>
          <w:rFonts w:ascii="Cambria" w:eastAsia="Cambria" w:hAnsi="Cambria" w:cs="Cambria"/>
          <w:sz w:val="20"/>
          <w:szCs w:val="20"/>
          <w:lang w:val="es-MX"/>
        </w:rPr>
        <w:t xml:space="preserve"> </w:t>
      </w:r>
      <w:r w:rsidR="00EF5AAF" w:rsidRPr="004E3E07">
        <w:rPr>
          <w:rFonts w:ascii="Cambria" w:eastAsia="Cambria" w:hAnsi="Cambria" w:cs="Cambria"/>
          <w:sz w:val="20"/>
          <w:szCs w:val="20"/>
          <w:lang w:val="es-MX"/>
        </w:rPr>
        <w:t xml:space="preserve">la coordinación de </w:t>
      </w:r>
      <w:r w:rsidR="00584413" w:rsidRPr="004E3E07">
        <w:rPr>
          <w:rFonts w:ascii="Cambria" w:eastAsia="Cambria" w:hAnsi="Cambria" w:cs="Cambria"/>
          <w:sz w:val="20"/>
          <w:szCs w:val="20"/>
          <w:lang w:val="es-MX"/>
        </w:rPr>
        <w:t xml:space="preserve">las </w:t>
      </w:r>
      <w:r w:rsidR="00C14DF7" w:rsidRPr="004E3E07">
        <w:rPr>
          <w:rFonts w:ascii="Cambria" w:eastAsia="Cambria" w:hAnsi="Cambria" w:cs="Cambria"/>
          <w:sz w:val="20"/>
          <w:szCs w:val="20"/>
          <w:lang w:val="es-MX"/>
        </w:rPr>
        <w:t xml:space="preserve">distintas autoridades </w:t>
      </w:r>
      <w:r w:rsidR="00EF5AAF" w:rsidRPr="004E3E07">
        <w:rPr>
          <w:rFonts w:ascii="Cambria" w:eastAsia="Cambria" w:hAnsi="Cambria" w:cs="Cambria"/>
          <w:sz w:val="20"/>
          <w:szCs w:val="20"/>
          <w:lang w:val="es-MX"/>
        </w:rPr>
        <w:t>del SNB pa</w:t>
      </w:r>
      <w:r w:rsidR="000726AD" w:rsidRPr="004E3E07">
        <w:rPr>
          <w:rFonts w:ascii="Cambria" w:eastAsia="Cambria" w:hAnsi="Cambria" w:cs="Cambria"/>
          <w:sz w:val="20"/>
          <w:szCs w:val="20"/>
          <w:lang w:val="es-MX"/>
        </w:rPr>
        <w:t>ra la implementación del SUITI que permitirá</w:t>
      </w:r>
      <w:r w:rsidR="00EF5AAF" w:rsidRPr="004E3E07">
        <w:rPr>
          <w:rFonts w:ascii="Cambria" w:eastAsia="Cambria" w:hAnsi="Cambria" w:cs="Cambria"/>
          <w:sz w:val="20"/>
          <w:szCs w:val="20"/>
          <w:lang w:val="es-MX"/>
        </w:rPr>
        <w:t xml:space="preserve"> la interoperabilidad del </w:t>
      </w:r>
      <w:r w:rsidR="00584413" w:rsidRPr="004E3E07">
        <w:rPr>
          <w:rFonts w:ascii="Cambria" w:eastAsia="Cambria" w:hAnsi="Cambria" w:cs="Cambria"/>
          <w:sz w:val="20"/>
          <w:szCs w:val="20"/>
          <w:lang w:val="es-MX"/>
        </w:rPr>
        <w:t>RNPDNO con otras bases de datos relevantes de investigación, búsqueda e identificación de personas desaparecidas</w:t>
      </w:r>
      <w:r w:rsidR="00584413" w:rsidRPr="004E3E07">
        <w:rPr>
          <w:rStyle w:val="FootnoteReference"/>
          <w:rFonts w:ascii="Cambria" w:eastAsia="Cambria" w:hAnsi="Cambria" w:cs="Cambria"/>
          <w:sz w:val="20"/>
          <w:szCs w:val="20"/>
          <w:lang w:val="es-MX"/>
        </w:rPr>
        <w:footnoteReference w:id="108"/>
      </w:r>
      <w:r w:rsidR="00584413" w:rsidRPr="004E3E07">
        <w:rPr>
          <w:rFonts w:ascii="Cambria" w:eastAsia="Cambria" w:hAnsi="Cambria" w:cs="Cambria"/>
          <w:sz w:val="20"/>
          <w:szCs w:val="20"/>
          <w:lang w:val="es-MX"/>
        </w:rPr>
        <w:t xml:space="preserve">. </w:t>
      </w:r>
    </w:p>
    <w:p w14:paraId="14606994" w14:textId="2AE2F5B3" w:rsidR="002277F5" w:rsidRPr="004E3E07" w:rsidRDefault="00C14DF7" w:rsidP="5258151B">
      <w:pPr>
        <w:numPr>
          <w:ilvl w:val="0"/>
          <w:numId w:val="5"/>
        </w:numPr>
        <w:shd w:val="clear" w:color="auto" w:fill="FFFFFF"/>
        <w:spacing w:after="240" w:line="240" w:lineRule="auto"/>
        <w:ind w:left="0" w:firstLine="720"/>
        <w:jc w:val="both"/>
        <w:rPr>
          <w:rFonts w:ascii="Cambria" w:eastAsia="Cambria" w:hAnsi="Cambria" w:cs="Cambria"/>
          <w:sz w:val="20"/>
          <w:szCs w:val="20"/>
          <w:lang w:val="es-MX"/>
        </w:rPr>
      </w:pPr>
      <w:r w:rsidRPr="004E3E07">
        <w:rPr>
          <w:rFonts w:ascii="Cambria" w:eastAsia="Cambria" w:hAnsi="Cambria" w:cs="Cambria"/>
          <w:sz w:val="20"/>
          <w:szCs w:val="20"/>
          <w:lang w:val="es-MX"/>
        </w:rPr>
        <w:t>La</w:t>
      </w:r>
      <w:r w:rsidR="00DB4E6E" w:rsidRPr="004E3E07">
        <w:rPr>
          <w:rFonts w:ascii="Cambria" w:eastAsia="Cambria" w:hAnsi="Cambria" w:cs="Cambria"/>
          <w:sz w:val="20"/>
          <w:szCs w:val="20"/>
          <w:lang w:val="es-MX"/>
        </w:rPr>
        <w:t xml:space="preserve"> Comisión </w:t>
      </w:r>
      <w:r w:rsidR="007E25FF" w:rsidRPr="004E3E07">
        <w:rPr>
          <w:rFonts w:ascii="Cambria" w:eastAsia="Cambria" w:hAnsi="Cambria" w:cs="Cambria"/>
          <w:sz w:val="20"/>
          <w:szCs w:val="20"/>
          <w:lang w:val="es-MX"/>
        </w:rPr>
        <w:t>va</w:t>
      </w:r>
      <w:r w:rsidR="00DB4E6E" w:rsidRPr="004E3E07">
        <w:rPr>
          <w:rFonts w:ascii="Cambria" w:eastAsia="Cambria" w:hAnsi="Cambria" w:cs="Cambria"/>
          <w:sz w:val="20"/>
          <w:szCs w:val="20"/>
          <w:lang w:val="es-MX"/>
        </w:rPr>
        <w:t xml:space="preserve">lora positivamente los avances antes </w:t>
      </w:r>
      <w:r w:rsidR="007E25FF" w:rsidRPr="004E3E07">
        <w:rPr>
          <w:rFonts w:ascii="Cambria" w:eastAsia="Cambria" w:hAnsi="Cambria" w:cs="Cambria"/>
          <w:sz w:val="20"/>
          <w:szCs w:val="20"/>
          <w:lang w:val="es-MX"/>
        </w:rPr>
        <w:t xml:space="preserve">reportados, </w:t>
      </w:r>
      <w:r w:rsidR="00967FD1" w:rsidRPr="004E3E07">
        <w:rPr>
          <w:rFonts w:ascii="Cambria" w:eastAsia="Cambria" w:hAnsi="Cambria" w:cs="Cambria"/>
          <w:sz w:val="20"/>
          <w:szCs w:val="20"/>
          <w:lang w:val="es-MX"/>
        </w:rPr>
        <w:t xml:space="preserve">aunque </w:t>
      </w:r>
      <w:r w:rsidR="00DB4E6E" w:rsidRPr="004E3E07">
        <w:rPr>
          <w:rFonts w:ascii="Cambria" w:eastAsia="Cambria" w:hAnsi="Cambria" w:cs="Cambria"/>
          <w:sz w:val="20"/>
          <w:szCs w:val="20"/>
          <w:lang w:val="es-MX"/>
        </w:rPr>
        <w:t>entiende</w:t>
      </w:r>
      <w:r w:rsidR="007E25FF" w:rsidRPr="004E3E07">
        <w:rPr>
          <w:rFonts w:ascii="Cambria" w:eastAsia="Cambria" w:hAnsi="Cambria" w:cs="Cambria"/>
          <w:sz w:val="20"/>
          <w:szCs w:val="20"/>
          <w:lang w:val="es-MX"/>
        </w:rPr>
        <w:t xml:space="preserve"> que la presente recomendación está dirigida a la integración de la información genética</w:t>
      </w:r>
      <w:r w:rsidR="00DB4E6E" w:rsidRPr="004E3E07">
        <w:rPr>
          <w:rFonts w:ascii="Cambria" w:eastAsia="Cambria" w:hAnsi="Cambria" w:cs="Cambria"/>
          <w:sz w:val="20"/>
          <w:szCs w:val="20"/>
          <w:lang w:val="es-MX"/>
        </w:rPr>
        <w:t xml:space="preserve"> y protegida</w:t>
      </w:r>
      <w:r w:rsidR="007E25FF" w:rsidRPr="004E3E07">
        <w:rPr>
          <w:rFonts w:ascii="Cambria" w:eastAsia="Cambria" w:hAnsi="Cambria" w:cs="Cambria"/>
          <w:sz w:val="20"/>
          <w:szCs w:val="20"/>
          <w:lang w:val="es-MX"/>
        </w:rPr>
        <w:t xml:space="preserve"> </w:t>
      </w:r>
      <w:r w:rsidRPr="004E3E07">
        <w:rPr>
          <w:rFonts w:ascii="Cambria" w:eastAsia="Cambria" w:hAnsi="Cambria" w:cs="Cambria"/>
          <w:sz w:val="20"/>
          <w:szCs w:val="20"/>
          <w:lang w:val="es-MX"/>
        </w:rPr>
        <w:t xml:space="preserve">con el </w:t>
      </w:r>
      <w:r w:rsidR="00DB4E6E" w:rsidRPr="004E3E07">
        <w:rPr>
          <w:rFonts w:ascii="Cambria" w:eastAsia="Cambria" w:hAnsi="Cambria" w:cs="Cambria"/>
          <w:sz w:val="20"/>
          <w:szCs w:val="20"/>
          <w:lang w:val="es-MX"/>
        </w:rPr>
        <w:t xml:space="preserve">RNPDNO, </w:t>
      </w:r>
      <w:r w:rsidR="00836522" w:rsidRPr="004E3E07">
        <w:rPr>
          <w:rFonts w:ascii="Cambria" w:eastAsia="Cambria" w:hAnsi="Cambria" w:cs="Cambria"/>
          <w:sz w:val="20"/>
          <w:szCs w:val="20"/>
          <w:lang w:val="es-MX"/>
        </w:rPr>
        <w:t>tal como lo prevé</w:t>
      </w:r>
      <w:r w:rsidR="00DB4E6E" w:rsidRPr="004E3E07">
        <w:rPr>
          <w:rFonts w:ascii="Cambria" w:eastAsia="Cambria" w:hAnsi="Cambria" w:cs="Cambria"/>
          <w:sz w:val="20"/>
          <w:szCs w:val="20"/>
          <w:lang w:val="es-MX"/>
        </w:rPr>
        <w:t xml:space="preserve"> la Ley General </w:t>
      </w:r>
      <w:r w:rsidR="00CE5BCC">
        <w:rPr>
          <w:rFonts w:ascii="Cambria" w:eastAsia="Cambria" w:hAnsi="Cambria" w:cs="Cambria"/>
          <w:sz w:val="20"/>
          <w:szCs w:val="20"/>
          <w:lang w:val="es-MX"/>
        </w:rPr>
        <w:t>con</w:t>
      </w:r>
      <w:r w:rsidR="00DB4E6E" w:rsidRPr="004E3E07">
        <w:rPr>
          <w:rFonts w:ascii="Cambria" w:eastAsia="Cambria" w:hAnsi="Cambria" w:cs="Cambria"/>
          <w:sz w:val="20"/>
          <w:szCs w:val="20"/>
          <w:lang w:val="es-MX"/>
        </w:rPr>
        <w:t xml:space="preserve"> </w:t>
      </w:r>
      <w:r w:rsidR="00836522" w:rsidRPr="004E3E07">
        <w:rPr>
          <w:rFonts w:ascii="Cambria" w:eastAsia="Cambria" w:hAnsi="Cambria" w:cs="Cambria"/>
          <w:sz w:val="20"/>
          <w:szCs w:val="20"/>
          <w:lang w:val="es-MX"/>
        </w:rPr>
        <w:t>la implementación de</w:t>
      </w:r>
      <w:r w:rsidR="00DB4E6E" w:rsidRPr="004E3E07">
        <w:rPr>
          <w:rFonts w:ascii="Cambria" w:eastAsia="Cambria" w:hAnsi="Cambria" w:cs="Cambria"/>
          <w:sz w:val="20"/>
          <w:szCs w:val="20"/>
          <w:lang w:val="es-MX"/>
        </w:rPr>
        <w:t xml:space="preserve"> un sistema de interoperabilidad con el</w:t>
      </w:r>
      <w:r w:rsidR="007E25FF" w:rsidRPr="004E3E07">
        <w:rPr>
          <w:rFonts w:ascii="Cambria" w:eastAsia="Cambria" w:hAnsi="Cambria" w:cs="Cambria"/>
          <w:sz w:val="20"/>
          <w:szCs w:val="20"/>
          <w:lang w:val="es-MX"/>
        </w:rPr>
        <w:t xml:space="preserve"> Ba</w:t>
      </w:r>
      <w:r w:rsidR="00DB4E6E" w:rsidRPr="004E3E07">
        <w:rPr>
          <w:rFonts w:ascii="Cambria" w:eastAsia="Cambria" w:hAnsi="Cambria" w:cs="Cambria"/>
          <w:sz w:val="20"/>
          <w:szCs w:val="20"/>
          <w:lang w:val="es-MX"/>
        </w:rPr>
        <w:t>nco Nacional de Datos Forenses</w:t>
      </w:r>
      <w:r w:rsidR="00836522" w:rsidRPr="004E3E07">
        <w:rPr>
          <w:rFonts w:ascii="Cambria" w:eastAsia="Cambria" w:hAnsi="Cambria" w:cs="Cambria"/>
          <w:sz w:val="20"/>
          <w:szCs w:val="20"/>
          <w:lang w:val="es-MX"/>
        </w:rPr>
        <w:t xml:space="preserve"> y</w:t>
      </w:r>
      <w:r w:rsidR="007E25FF" w:rsidRPr="004E3E07">
        <w:rPr>
          <w:rFonts w:ascii="Cambria" w:eastAsia="Cambria" w:hAnsi="Cambria" w:cs="Cambria"/>
          <w:sz w:val="20"/>
          <w:szCs w:val="20"/>
          <w:lang w:val="es-MX"/>
        </w:rPr>
        <w:t xml:space="preserve"> el Registro Nacional de Personas Fallecidas No Identificadas y No Reclamadas. </w:t>
      </w:r>
      <w:r w:rsidR="00DB4E6E" w:rsidRPr="004E3E07">
        <w:rPr>
          <w:rFonts w:ascii="Cambria" w:eastAsia="Cambria" w:hAnsi="Cambria" w:cs="Cambria"/>
          <w:sz w:val="20"/>
          <w:szCs w:val="20"/>
          <w:lang w:val="es-MX"/>
        </w:rPr>
        <w:t>Sin embargo,</w:t>
      </w:r>
      <w:r w:rsidR="007E25FF" w:rsidRPr="004E3E07">
        <w:rPr>
          <w:rFonts w:ascii="Cambria" w:eastAsia="Cambria" w:hAnsi="Cambria" w:cs="Cambria"/>
          <w:sz w:val="20"/>
          <w:szCs w:val="20"/>
          <w:lang w:val="es-MX"/>
        </w:rPr>
        <w:t xml:space="preserve"> como se detalló anteriormente, estas herramientas aún no están en funcionamiento</w:t>
      </w:r>
      <w:r w:rsidR="00DB4E6E" w:rsidRPr="004E3E07">
        <w:rPr>
          <w:rFonts w:ascii="Cambria" w:eastAsia="Cambria" w:hAnsi="Cambria" w:cs="Cambria"/>
          <w:sz w:val="20"/>
          <w:szCs w:val="20"/>
          <w:lang w:val="es-MX"/>
        </w:rPr>
        <w:t>. En estos términos</w:t>
      </w:r>
      <w:r w:rsidR="007E25FF" w:rsidRPr="004E3E07">
        <w:rPr>
          <w:rFonts w:ascii="Cambria" w:eastAsia="Cambria" w:hAnsi="Cambria" w:cs="Cambria"/>
          <w:sz w:val="20"/>
          <w:szCs w:val="20"/>
          <w:lang w:val="es-MX"/>
        </w:rPr>
        <w:t xml:space="preserve">, la CIDH advierte </w:t>
      </w:r>
      <w:r w:rsidR="00836522" w:rsidRPr="004E3E07">
        <w:rPr>
          <w:rFonts w:ascii="Cambria" w:eastAsia="Cambria" w:hAnsi="Cambria" w:cs="Cambria"/>
          <w:sz w:val="20"/>
          <w:szCs w:val="20"/>
          <w:lang w:val="es-MX"/>
        </w:rPr>
        <w:t>entonces</w:t>
      </w:r>
      <w:r w:rsidR="007E25FF" w:rsidRPr="004E3E07">
        <w:rPr>
          <w:rFonts w:ascii="Cambria" w:eastAsia="Cambria" w:hAnsi="Cambria" w:cs="Cambria"/>
          <w:sz w:val="20"/>
          <w:szCs w:val="20"/>
          <w:lang w:val="es-MX"/>
        </w:rPr>
        <w:t xml:space="preserve"> la falta </w:t>
      </w:r>
      <w:r w:rsidR="00DB4E6E" w:rsidRPr="004E3E07">
        <w:rPr>
          <w:rFonts w:ascii="Cambria" w:eastAsia="Cambria" w:hAnsi="Cambria" w:cs="Cambria"/>
          <w:sz w:val="20"/>
          <w:szCs w:val="20"/>
          <w:lang w:val="es-MX"/>
        </w:rPr>
        <w:t xml:space="preserve">de </w:t>
      </w:r>
      <w:r w:rsidR="007E25FF" w:rsidRPr="004E3E07">
        <w:rPr>
          <w:rFonts w:ascii="Cambria" w:eastAsia="Cambria" w:hAnsi="Cambria" w:cs="Cambria"/>
          <w:sz w:val="20"/>
          <w:szCs w:val="20"/>
          <w:lang w:val="es-MX"/>
        </w:rPr>
        <w:t>un registro nacional, unificado</w:t>
      </w:r>
      <w:r w:rsidR="00836522" w:rsidRPr="004E3E07">
        <w:rPr>
          <w:rFonts w:ascii="Cambria" w:eastAsia="Cambria" w:hAnsi="Cambria" w:cs="Cambria"/>
          <w:sz w:val="20"/>
          <w:szCs w:val="20"/>
          <w:lang w:val="es-MX"/>
        </w:rPr>
        <w:t>,</w:t>
      </w:r>
      <w:r w:rsidR="007E25FF" w:rsidRPr="004E3E07">
        <w:rPr>
          <w:rFonts w:ascii="Cambria" w:eastAsia="Cambria" w:hAnsi="Cambria" w:cs="Cambria"/>
          <w:sz w:val="20"/>
          <w:szCs w:val="20"/>
          <w:lang w:val="es-MX"/>
        </w:rPr>
        <w:t xml:space="preserve"> actualizado e integrado con el Banco de Datos Forenses y su correspondiente Registro Nacional de Personas Fallecidas No identificadas y No reclamadas. En atención a esta situación, la CIDH entiende que la recomendación se encuentra en cumplimiento parcial. </w:t>
      </w:r>
    </w:p>
    <w:p w14:paraId="14606996" w14:textId="47755A6A" w:rsidR="002277F5" w:rsidRPr="004E3E07" w:rsidRDefault="007E25FF" w:rsidP="5258151B">
      <w:pPr>
        <w:numPr>
          <w:ilvl w:val="0"/>
          <w:numId w:val="5"/>
        </w:numPr>
        <w:shd w:val="clear" w:color="auto" w:fill="FFFFFF"/>
        <w:spacing w:after="240" w:line="240" w:lineRule="auto"/>
        <w:ind w:left="0" w:firstLine="720"/>
        <w:jc w:val="both"/>
        <w:rPr>
          <w:rFonts w:ascii="Cambria" w:hAnsi="Cambria"/>
          <w:sz w:val="20"/>
          <w:szCs w:val="20"/>
          <w:lang w:val="es-MX"/>
        </w:rPr>
      </w:pPr>
      <w:r w:rsidRPr="004E3E07">
        <w:rPr>
          <w:rFonts w:ascii="Cambria" w:eastAsia="Cambria" w:hAnsi="Cambria" w:cs="Cambria"/>
          <w:sz w:val="20"/>
          <w:szCs w:val="20"/>
          <w:lang w:val="es-MX"/>
        </w:rPr>
        <w:t xml:space="preserve">En cuanto a la recomendación de </w:t>
      </w:r>
      <w:r w:rsidRPr="004E3E07">
        <w:rPr>
          <w:rFonts w:ascii="Cambria" w:eastAsia="Cambria" w:hAnsi="Cambria" w:cs="Cambria"/>
          <w:b/>
          <w:bCs/>
          <w:sz w:val="20"/>
          <w:szCs w:val="20"/>
          <w:lang w:val="es-MX"/>
        </w:rPr>
        <w:t>fortalecer los mecanismos existentes</w:t>
      </w:r>
      <w:r w:rsidRPr="004E3E07">
        <w:rPr>
          <w:rFonts w:ascii="Cambria" w:eastAsia="Cambria" w:hAnsi="Cambria" w:cs="Cambria"/>
          <w:sz w:val="20"/>
          <w:szCs w:val="20"/>
          <w:lang w:val="es-MX"/>
        </w:rPr>
        <w:t xml:space="preserve"> </w:t>
      </w:r>
      <w:r w:rsidRPr="004E3E07">
        <w:rPr>
          <w:rFonts w:ascii="Cambria" w:eastAsia="Cambria" w:hAnsi="Cambria" w:cs="Cambria"/>
          <w:b/>
          <w:bCs/>
          <w:sz w:val="20"/>
          <w:szCs w:val="20"/>
          <w:lang w:val="es-MX"/>
        </w:rPr>
        <w:t>de alerta temprana y búsqueda urgente en casos de desaparición de mujeres y niñas</w:t>
      </w:r>
      <w:r w:rsidRPr="004E3E07">
        <w:rPr>
          <w:rFonts w:ascii="Cambria" w:eastAsia="Cambria" w:hAnsi="Cambria" w:cs="Cambria"/>
          <w:sz w:val="20"/>
          <w:szCs w:val="20"/>
          <w:lang w:val="es-MX"/>
        </w:rPr>
        <w:t xml:space="preserve">, y </w:t>
      </w:r>
      <w:r w:rsidRPr="004E3E07">
        <w:rPr>
          <w:rFonts w:ascii="Cambria" w:eastAsia="Cambria" w:hAnsi="Cambria" w:cs="Cambria"/>
          <w:b/>
          <w:bCs/>
          <w:sz w:val="20"/>
          <w:szCs w:val="20"/>
          <w:lang w:val="es-MX"/>
        </w:rPr>
        <w:t>fortalecer el Registro Nacional de Datos de Personas Extraviadas o Desaparecidas para que proporcione información precisa y confiable sobre mujeres y niñas</w:t>
      </w:r>
      <w:r w:rsidR="00103F0C" w:rsidRPr="004E3E07">
        <w:rPr>
          <w:rFonts w:ascii="Cambria" w:eastAsia="Cambria" w:hAnsi="Cambria" w:cs="Cambria"/>
          <w:b/>
          <w:bCs/>
          <w:sz w:val="20"/>
          <w:szCs w:val="20"/>
          <w:lang w:val="es-MX"/>
        </w:rPr>
        <w:t xml:space="preserve">, </w:t>
      </w:r>
      <w:r w:rsidR="00103F0C" w:rsidRPr="004E3E07">
        <w:rPr>
          <w:rFonts w:ascii="Cambria" w:eastAsia="Cambria" w:hAnsi="Cambria" w:cs="Cambria"/>
          <w:sz w:val="20"/>
          <w:szCs w:val="20"/>
          <w:lang w:val="es-MX"/>
        </w:rPr>
        <w:t xml:space="preserve">el Estado recordó </w:t>
      </w:r>
      <w:r w:rsidR="000726AD" w:rsidRPr="004E3E07">
        <w:rPr>
          <w:rFonts w:ascii="Cambria" w:eastAsia="Cambria" w:hAnsi="Cambria" w:cs="Cambria"/>
          <w:sz w:val="20"/>
          <w:szCs w:val="20"/>
          <w:lang w:val="es-MX"/>
        </w:rPr>
        <w:t xml:space="preserve">que se cuenta con una </w:t>
      </w:r>
      <w:r w:rsidR="00103F0C" w:rsidRPr="004E3E07">
        <w:rPr>
          <w:rFonts w:ascii="Cambria" w:eastAsia="Cambria" w:hAnsi="Cambria" w:cs="Cambria"/>
          <w:sz w:val="20"/>
          <w:szCs w:val="20"/>
          <w:lang w:val="es-MX"/>
        </w:rPr>
        <w:t xml:space="preserve">versión pública del RNPDNO, cuyas herramientas tecnológicas permiten desagregar la información sobre personas desaparecidas, no localizadas y </w:t>
      </w:r>
      <w:r w:rsidR="000726AD" w:rsidRPr="004E3E07">
        <w:rPr>
          <w:rFonts w:ascii="Cambria" w:eastAsia="Cambria" w:hAnsi="Cambria" w:cs="Cambria"/>
          <w:sz w:val="20"/>
          <w:szCs w:val="20"/>
          <w:lang w:val="es-MX"/>
        </w:rPr>
        <w:t xml:space="preserve">localizadas por </w:t>
      </w:r>
      <w:r w:rsidR="00103F0C" w:rsidRPr="004E3E07">
        <w:rPr>
          <w:rFonts w:ascii="Cambria" w:eastAsia="Cambria" w:hAnsi="Cambria" w:cs="Cambria"/>
          <w:sz w:val="20"/>
          <w:szCs w:val="20"/>
          <w:lang w:val="es-MX"/>
        </w:rPr>
        <w:t>condición de género y edad</w:t>
      </w:r>
      <w:r w:rsidR="000726AD" w:rsidRPr="004E3E07">
        <w:rPr>
          <w:rFonts w:ascii="Cambria" w:eastAsia="Cambria" w:hAnsi="Cambria" w:cs="Cambria"/>
          <w:sz w:val="20"/>
          <w:szCs w:val="20"/>
          <w:lang w:val="es-MX"/>
        </w:rPr>
        <w:t>, entre otros</w:t>
      </w:r>
      <w:r w:rsidR="001C0832" w:rsidRPr="004E3E07">
        <w:rPr>
          <w:rFonts w:ascii="Cambria" w:hAnsi="Cambria"/>
          <w:lang w:val="es-MX"/>
        </w:rPr>
        <w:t>.</w:t>
      </w:r>
      <w:r w:rsidR="00DB4E6E" w:rsidRPr="004E3E07">
        <w:rPr>
          <w:rFonts w:ascii="Cambria" w:hAnsi="Cambria"/>
          <w:lang w:val="es-MX"/>
        </w:rPr>
        <w:t xml:space="preserve"> </w:t>
      </w:r>
      <w:r w:rsidR="007968AA" w:rsidRPr="004E3E07">
        <w:rPr>
          <w:rFonts w:ascii="Cambria" w:eastAsia="Cambria" w:hAnsi="Cambria" w:cs="Cambria"/>
          <w:sz w:val="20"/>
          <w:szCs w:val="20"/>
          <w:lang w:val="es-MX"/>
        </w:rPr>
        <w:t>Agregó</w:t>
      </w:r>
      <w:r w:rsidR="00DB4E6E" w:rsidRPr="004E3E07">
        <w:rPr>
          <w:rFonts w:ascii="Cambria" w:eastAsia="Cambria" w:hAnsi="Cambria" w:cs="Cambria"/>
          <w:sz w:val="20"/>
          <w:szCs w:val="20"/>
          <w:lang w:val="es-MX"/>
        </w:rPr>
        <w:t xml:space="preserve"> que el PABNNA </w:t>
      </w:r>
      <w:r w:rsidRPr="004E3E07">
        <w:rPr>
          <w:rFonts w:ascii="Cambria" w:eastAsia="Cambria" w:hAnsi="Cambria" w:cs="Cambria"/>
          <w:sz w:val="20"/>
          <w:szCs w:val="20"/>
          <w:lang w:val="es-MX"/>
        </w:rPr>
        <w:t>toma en consideración las condicio</w:t>
      </w:r>
      <w:r w:rsidR="001C0832" w:rsidRPr="004E3E07">
        <w:rPr>
          <w:rFonts w:ascii="Cambria" w:eastAsia="Cambria" w:hAnsi="Cambria" w:cs="Cambria"/>
          <w:sz w:val="20"/>
          <w:szCs w:val="20"/>
          <w:lang w:val="es-MX"/>
        </w:rPr>
        <w:t xml:space="preserve">nes de vulnerabilidad de niñas y </w:t>
      </w:r>
      <w:r w:rsidR="007968AA" w:rsidRPr="004E3E07">
        <w:rPr>
          <w:rFonts w:ascii="Cambria" w:eastAsia="Cambria" w:hAnsi="Cambria" w:cs="Cambria"/>
          <w:sz w:val="20"/>
          <w:szCs w:val="20"/>
          <w:lang w:val="es-MX"/>
        </w:rPr>
        <w:t xml:space="preserve">mujeres </w:t>
      </w:r>
      <w:r w:rsidR="001C0832" w:rsidRPr="004E3E07">
        <w:rPr>
          <w:rFonts w:ascii="Cambria" w:eastAsia="Cambria" w:hAnsi="Cambria" w:cs="Cambria"/>
          <w:sz w:val="20"/>
          <w:szCs w:val="20"/>
          <w:lang w:val="es-MX"/>
        </w:rPr>
        <w:t>adolescentes</w:t>
      </w:r>
      <w:r w:rsidRPr="004E3E07">
        <w:rPr>
          <w:rFonts w:ascii="Cambria" w:eastAsia="Cambria" w:hAnsi="Cambria" w:cs="Cambria"/>
          <w:sz w:val="20"/>
          <w:szCs w:val="20"/>
          <w:lang w:val="es-MX"/>
        </w:rPr>
        <w:t xml:space="preserve"> da</w:t>
      </w:r>
      <w:r w:rsidR="001C0832" w:rsidRPr="004E3E07">
        <w:rPr>
          <w:rFonts w:ascii="Cambria" w:eastAsia="Cambria" w:hAnsi="Cambria" w:cs="Cambria"/>
          <w:sz w:val="20"/>
          <w:szCs w:val="20"/>
          <w:lang w:val="es-MX"/>
        </w:rPr>
        <w:t>ndo un especial é</w:t>
      </w:r>
      <w:r w:rsidR="000726AD" w:rsidRPr="004E3E07">
        <w:rPr>
          <w:rFonts w:ascii="Cambria" w:eastAsia="Cambria" w:hAnsi="Cambria" w:cs="Cambria"/>
          <w:sz w:val="20"/>
          <w:szCs w:val="20"/>
          <w:lang w:val="es-MX"/>
        </w:rPr>
        <w:t>nfasis al análisis de contexto</w:t>
      </w:r>
      <w:r w:rsidR="00D96EAC" w:rsidRPr="004E3E07">
        <w:rPr>
          <w:rFonts w:ascii="Cambria" w:eastAsia="Cambria" w:hAnsi="Cambria" w:cs="Cambria"/>
          <w:sz w:val="20"/>
          <w:szCs w:val="20"/>
          <w:lang w:val="es-MX"/>
        </w:rPr>
        <w:t>, en particular la hipótesis de trata con fines de explotación sexual</w:t>
      </w:r>
      <w:r w:rsidR="000726AD" w:rsidRPr="004E3E07">
        <w:rPr>
          <w:rFonts w:ascii="Cambria" w:eastAsia="Cambria" w:hAnsi="Cambria" w:cs="Cambria"/>
          <w:sz w:val="20"/>
          <w:szCs w:val="20"/>
          <w:lang w:val="es-MX"/>
        </w:rPr>
        <w:t xml:space="preserve">, </w:t>
      </w:r>
      <w:r w:rsidR="007968AA" w:rsidRPr="004E3E07">
        <w:rPr>
          <w:rFonts w:ascii="Cambria" w:eastAsia="Cambria" w:hAnsi="Cambria" w:cs="Cambria"/>
          <w:sz w:val="20"/>
          <w:szCs w:val="20"/>
          <w:lang w:val="es-MX"/>
        </w:rPr>
        <w:t>aunado a que en todos los</w:t>
      </w:r>
      <w:r w:rsidR="000726AD" w:rsidRPr="004E3E07">
        <w:rPr>
          <w:rFonts w:ascii="Cambria" w:eastAsia="Cambria" w:hAnsi="Cambria" w:cs="Cambria"/>
          <w:sz w:val="20"/>
          <w:szCs w:val="20"/>
          <w:lang w:val="es-MX"/>
        </w:rPr>
        <w:t xml:space="preserve"> casos de desaparición de niñas y mujeres adolescentes las autoridades están obligadas a desplegar todos l</w:t>
      </w:r>
      <w:r w:rsidR="007968AA" w:rsidRPr="004E3E07">
        <w:rPr>
          <w:rFonts w:ascii="Cambria" w:eastAsia="Cambria" w:hAnsi="Cambria" w:cs="Cambria"/>
          <w:sz w:val="20"/>
          <w:szCs w:val="20"/>
          <w:lang w:val="es-MX"/>
        </w:rPr>
        <w:t>os mecanismos para su búsqueda e iniciar una carpeta de investigación desde el momento en que tengan conocimiento de los hechos</w:t>
      </w:r>
      <w:r w:rsidR="00D96EAC" w:rsidRPr="004E3E07">
        <w:rPr>
          <w:rStyle w:val="FootnoteReference"/>
          <w:rFonts w:ascii="Cambria" w:eastAsia="Cambria" w:hAnsi="Cambria" w:cs="Cambria"/>
          <w:sz w:val="20"/>
          <w:szCs w:val="20"/>
          <w:lang w:val="es-MX"/>
        </w:rPr>
        <w:footnoteReference w:id="109"/>
      </w:r>
      <w:r w:rsidR="007968AA" w:rsidRPr="004E3E07">
        <w:rPr>
          <w:rFonts w:ascii="Cambria" w:eastAsia="Cambria" w:hAnsi="Cambria" w:cs="Cambria"/>
          <w:sz w:val="20"/>
          <w:szCs w:val="20"/>
          <w:lang w:val="es-MX"/>
        </w:rPr>
        <w:t>.</w:t>
      </w:r>
    </w:p>
    <w:p w14:paraId="50593DD9" w14:textId="28623FC2" w:rsidR="00DC13B5" w:rsidRPr="004E3E07" w:rsidRDefault="00DC13B5" w:rsidP="5258151B">
      <w:pPr>
        <w:numPr>
          <w:ilvl w:val="0"/>
          <w:numId w:val="5"/>
        </w:numPr>
        <w:shd w:val="clear" w:color="auto" w:fill="FFFFFF"/>
        <w:spacing w:after="240" w:line="240" w:lineRule="auto"/>
        <w:ind w:left="0" w:firstLine="720"/>
        <w:jc w:val="both"/>
        <w:rPr>
          <w:rFonts w:ascii="Cambria" w:hAnsi="Cambria"/>
          <w:sz w:val="20"/>
          <w:szCs w:val="20"/>
          <w:lang w:val="es-MX"/>
        </w:rPr>
      </w:pPr>
      <w:r>
        <w:rPr>
          <w:rFonts w:ascii="Cambria" w:eastAsia="Cambria" w:hAnsi="Cambria" w:cs="Cambria"/>
          <w:sz w:val="20"/>
          <w:szCs w:val="20"/>
          <w:lang w:val="es-MX"/>
        </w:rPr>
        <w:t>La CNDH informó a la Comisión que</w:t>
      </w:r>
      <w:r w:rsidR="001B5A56">
        <w:rPr>
          <w:rFonts w:ascii="Cambria" w:eastAsia="Cambria" w:hAnsi="Cambria" w:cs="Cambria"/>
          <w:sz w:val="20"/>
          <w:szCs w:val="20"/>
          <w:lang w:val="es-MX"/>
        </w:rPr>
        <w:t xml:space="preserve"> su </w:t>
      </w:r>
      <w:r w:rsidR="001B5A56" w:rsidRPr="001B5A56">
        <w:rPr>
          <w:rFonts w:ascii="Cambria" w:eastAsia="Cambria" w:hAnsi="Cambria" w:cs="Cambria"/>
          <w:sz w:val="20"/>
          <w:szCs w:val="20"/>
          <w:lang w:val="es-MX"/>
        </w:rPr>
        <w:t>rograma Especial de Personas Desaparecidas, adscrito a la Primera Visitaduría General</w:t>
      </w:r>
      <w:r w:rsidR="00102822">
        <w:rPr>
          <w:rFonts w:ascii="Cambria" w:eastAsia="Cambria" w:hAnsi="Cambria" w:cs="Cambria"/>
          <w:sz w:val="20"/>
          <w:szCs w:val="20"/>
          <w:lang w:val="es-MX"/>
        </w:rPr>
        <w:t>,</w:t>
      </w:r>
      <w:r w:rsidR="00D16CB7" w:rsidRPr="00D16CB7">
        <w:t xml:space="preserve"> </w:t>
      </w:r>
      <w:r w:rsidR="00D16CB7">
        <w:t>rea</w:t>
      </w:r>
      <w:r w:rsidR="008B64FD">
        <w:t>lizó 1</w:t>
      </w:r>
      <w:r w:rsidR="008B64FD">
        <w:rPr>
          <w:rFonts w:ascii="Cambria" w:eastAsia="Cambria" w:hAnsi="Cambria" w:cs="Cambria"/>
          <w:sz w:val="20"/>
          <w:szCs w:val="20"/>
        </w:rPr>
        <w:t xml:space="preserve">00 </w:t>
      </w:r>
      <w:r w:rsidR="00D16CB7" w:rsidRPr="00D16CB7">
        <w:rPr>
          <w:rFonts w:ascii="Cambria" w:eastAsia="Cambria" w:hAnsi="Cambria" w:cs="Cambria"/>
          <w:sz w:val="20"/>
          <w:szCs w:val="20"/>
          <w:lang w:val="es-MX"/>
        </w:rPr>
        <w:t>acompañamientos a</w:t>
      </w:r>
      <w:r w:rsidR="009A478C">
        <w:rPr>
          <w:rFonts w:ascii="Cambria" w:eastAsia="Cambria" w:hAnsi="Cambria" w:cs="Cambria"/>
          <w:sz w:val="20"/>
          <w:szCs w:val="20"/>
          <w:lang w:val="es-MX"/>
        </w:rPr>
        <w:t xml:space="preserve"> familias y personas buscadoras </w:t>
      </w:r>
      <w:r w:rsidR="00D16CB7" w:rsidRPr="00D16CB7">
        <w:rPr>
          <w:rFonts w:ascii="Cambria" w:eastAsia="Cambria" w:hAnsi="Cambria" w:cs="Cambria"/>
          <w:sz w:val="20"/>
          <w:szCs w:val="20"/>
          <w:lang w:val="es-MX"/>
        </w:rPr>
        <w:t>en campo</w:t>
      </w:r>
      <w:r w:rsidR="00980330">
        <w:rPr>
          <w:rFonts w:ascii="Cambria" w:eastAsia="Cambria" w:hAnsi="Cambria" w:cs="Cambria"/>
          <w:sz w:val="20"/>
          <w:szCs w:val="20"/>
          <w:lang w:val="es-MX"/>
        </w:rPr>
        <w:t xml:space="preserve">, y que brindó </w:t>
      </w:r>
      <w:r w:rsidR="00980330" w:rsidRPr="00980330">
        <w:rPr>
          <w:rFonts w:ascii="Cambria" w:eastAsia="Cambria" w:hAnsi="Cambria" w:cs="Cambria"/>
          <w:sz w:val="20"/>
          <w:szCs w:val="20"/>
          <w:lang w:val="es-MX"/>
        </w:rPr>
        <w:t>atención directa a 1</w:t>
      </w:r>
      <w:r w:rsidR="00980330">
        <w:rPr>
          <w:rFonts w:ascii="Cambria" w:eastAsia="Cambria" w:hAnsi="Cambria" w:cs="Cambria"/>
          <w:sz w:val="20"/>
          <w:szCs w:val="20"/>
          <w:lang w:val="es-MX"/>
        </w:rPr>
        <w:t>.</w:t>
      </w:r>
      <w:r w:rsidR="00980330" w:rsidRPr="00980330">
        <w:rPr>
          <w:rFonts w:ascii="Cambria" w:eastAsia="Cambria" w:hAnsi="Cambria" w:cs="Cambria"/>
          <w:sz w:val="20"/>
          <w:szCs w:val="20"/>
          <w:lang w:val="es-MX"/>
        </w:rPr>
        <w:t xml:space="preserve">325 familiares y allegados de </w:t>
      </w:r>
      <w:r w:rsidR="00980330">
        <w:rPr>
          <w:rFonts w:ascii="Cambria" w:eastAsia="Cambria" w:hAnsi="Cambria" w:cs="Cambria"/>
          <w:sz w:val="20"/>
          <w:szCs w:val="20"/>
          <w:lang w:val="es-MX"/>
        </w:rPr>
        <w:t xml:space="preserve">personas </w:t>
      </w:r>
      <w:r w:rsidR="00980330" w:rsidRPr="00980330">
        <w:rPr>
          <w:rFonts w:ascii="Cambria" w:eastAsia="Cambria" w:hAnsi="Cambria" w:cs="Cambria"/>
          <w:sz w:val="20"/>
          <w:szCs w:val="20"/>
          <w:lang w:val="es-MX"/>
        </w:rPr>
        <w:t xml:space="preserve">víctimas de desaparición. Asimismo, se </w:t>
      </w:r>
      <w:r w:rsidR="00980330">
        <w:rPr>
          <w:rFonts w:ascii="Cambria" w:eastAsia="Cambria" w:hAnsi="Cambria" w:cs="Cambria"/>
          <w:sz w:val="20"/>
          <w:szCs w:val="20"/>
          <w:lang w:val="es-MX"/>
        </w:rPr>
        <w:t>prestó</w:t>
      </w:r>
      <w:r w:rsidR="00A350A5">
        <w:rPr>
          <w:rFonts w:ascii="Cambria" w:eastAsia="Cambria" w:hAnsi="Cambria" w:cs="Cambria"/>
          <w:sz w:val="20"/>
          <w:szCs w:val="20"/>
          <w:lang w:val="es-MX"/>
        </w:rPr>
        <w:t xml:space="preserve"> </w:t>
      </w:r>
      <w:r w:rsidR="00980330" w:rsidRPr="00980330">
        <w:rPr>
          <w:rFonts w:ascii="Cambria" w:eastAsia="Cambria" w:hAnsi="Cambria" w:cs="Cambria"/>
          <w:sz w:val="20"/>
          <w:szCs w:val="20"/>
          <w:lang w:val="es-MX"/>
        </w:rPr>
        <w:t>530 asesorías</w:t>
      </w:r>
      <w:r w:rsidR="00A350A5">
        <w:rPr>
          <w:rFonts w:ascii="Cambria" w:eastAsia="Cambria" w:hAnsi="Cambria" w:cs="Cambria"/>
          <w:sz w:val="20"/>
          <w:szCs w:val="20"/>
          <w:lang w:val="es-MX"/>
        </w:rPr>
        <w:t xml:space="preserve"> jurídicas</w:t>
      </w:r>
      <w:r w:rsidR="00980330" w:rsidRPr="00980330">
        <w:rPr>
          <w:rFonts w:ascii="Cambria" w:eastAsia="Cambria" w:hAnsi="Cambria" w:cs="Cambria"/>
          <w:sz w:val="20"/>
          <w:szCs w:val="20"/>
          <w:lang w:val="es-MX"/>
        </w:rPr>
        <w:t xml:space="preserve"> a familiares y allegados de personas desaparecidas</w:t>
      </w:r>
      <w:r w:rsidR="00814A61">
        <w:rPr>
          <w:rStyle w:val="FootnoteReference"/>
          <w:rFonts w:ascii="Cambria" w:eastAsia="Cambria" w:hAnsi="Cambria" w:cs="Cambria"/>
          <w:sz w:val="20"/>
          <w:szCs w:val="20"/>
          <w:lang w:val="es-MX"/>
        </w:rPr>
        <w:footnoteReference w:id="110"/>
      </w:r>
      <w:r w:rsidR="00980330" w:rsidRPr="00980330">
        <w:rPr>
          <w:rFonts w:ascii="Cambria" w:eastAsia="Cambria" w:hAnsi="Cambria" w:cs="Cambria"/>
          <w:sz w:val="20"/>
          <w:szCs w:val="20"/>
          <w:lang w:val="es-MX"/>
        </w:rPr>
        <w:t>.</w:t>
      </w:r>
    </w:p>
    <w:p w14:paraId="14606997" w14:textId="3AF25041" w:rsidR="002277F5" w:rsidRPr="004E3E07" w:rsidRDefault="007E25FF" w:rsidP="65FCB332">
      <w:pPr>
        <w:numPr>
          <w:ilvl w:val="0"/>
          <w:numId w:val="5"/>
        </w:numPr>
        <w:shd w:val="clear" w:color="auto" w:fill="FFFFFF" w:themeFill="background1"/>
        <w:spacing w:after="240" w:line="240" w:lineRule="auto"/>
        <w:ind w:left="0" w:firstLine="720"/>
        <w:jc w:val="both"/>
        <w:rPr>
          <w:rFonts w:ascii="Cambria" w:hAnsi="Cambria"/>
          <w:sz w:val="20"/>
          <w:szCs w:val="20"/>
          <w:lang w:val="es-MX"/>
        </w:rPr>
      </w:pPr>
      <w:r w:rsidRPr="004E3E07">
        <w:rPr>
          <w:rFonts w:ascii="Cambria" w:eastAsia="Cambria" w:hAnsi="Cambria" w:cs="Cambria"/>
          <w:sz w:val="20"/>
          <w:szCs w:val="20"/>
          <w:lang w:val="es-MX"/>
        </w:rPr>
        <w:t xml:space="preserve">En relación con las desapariciones de mujeres, </w:t>
      </w:r>
      <w:r w:rsidR="008C2BA5" w:rsidRPr="004E3E07">
        <w:rPr>
          <w:rFonts w:ascii="Cambria" w:eastAsia="Cambria" w:hAnsi="Cambria" w:cs="Cambria"/>
          <w:sz w:val="20"/>
          <w:szCs w:val="20"/>
          <w:lang w:val="es-MX"/>
        </w:rPr>
        <w:t>la Comisión recibió información estatal indicando que</w:t>
      </w:r>
      <w:r w:rsidRPr="004E3E07">
        <w:rPr>
          <w:rFonts w:ascii="Cambria" w:eastAsia="Cambria" w:hAnsi="Cambria" w:cs="Cambria"/>
          <w:sz w:val="20"/>
          <w:szCs w:val="20"/>
          <w:lang w:val="es-MX"/>
        </w:rPr>
        <w:t xml:space="preserve"> el PHB establece un enfoque diferenciado para la búsqueda de niñas, mujeres adolescentes y </w:t>
      </w:r>
      <w:r w:rsidR="008C2BA5" w:rsidRPr="004E3E07">
        <w:rPr>
          <w:rFonts w:ascii="Cambria" w:eastAsia="Cambria" w:hAnsi="Cambria" w:cs="Cambria"/>
          <w:sz w:val="20"/>
          <w:szCs w:val="20"/>
          <w:lang w:val="es-MX"/>
        </w:rPr>
        <w:t>mujeres, tales como la activación complementaria del Protocolo Alba, así como la consideración de que la desaparición pudo tener motivaciones por razones de género en las hipótesis de búsqueda. El Estado a</w:t>
      </w:r>
      <w:r w:rsidRPr="004E3E07">
        <w:rPr>
          <w:rFonts w:ascii="Cambria" w:eastAsia="Cambria" w:hAnsi="Cambria" w:cs="Cambria"/>
          <w:sz w:val="20"/>
          <w:szCs w:val="20"/>
          <w:lang w:val="es-MX"/>
        </w:rPr>
        <w:t xml:space="preserve">gregó que </w:t>
      </w:r>
      <w:r w:rsidR="001C0832" w:rsidRPr="004E3E07">
        <w:rPr>
          <w:rFonts w:ascii="Cambria" w:eastAsia="Cambria" w:hAnsi="Cambria" w:cs="Cambria"/>
          <w:sz w:val="20"/>
          <w:szCs w:val="20"/>
          <w:lang w:val="es-MX"/>
        </w:rPr>
        <w:t>la CNB</w:t>
      </w:r>
      <w:r w:rsidRPr="004E3E07">
        <w:rPr>
          <w:rFonts w:ascii="Cambria" w:eastAsia="Cambria" w:hAnsi="Cambria" w:cs="Cambria"/>
          <w:sz w:val="20"/>
          <w:szCs w:val="20"/>
          <w:lang w:val="es-MX"/>
        </w:rPr>
        <w:t xml:space="preserve"> y la Comisión Nacional para Prevenir y Erradicar la Violenc</w:t>
      </w:r>
      <w:r w:rsidR="001C0832" w:rsidRPr="004E3E07">
        <w:rPr>
          <w:rFonts w:ascii="Cambria" w:eastAsia="Cambria" w:hAnsi="Cambria" w:cs="Cambria"/>
          <w:sz w:val="20"/>
          <w:szCs w:val="20"/>
          <w:lang w:val="es-MX"/>
        </w:rPr>
        <w:t>ia contra las Mujeres (CONAVIM)</w:t>
      </w:r>
      <w:r w:rsidRPr="004E3E07">
        <w:rPr>
          <w:rFonts w:ascii="Cambria" w:eastAsia="Cambria" w:hAnsi="Cambria" w:cs="Cambria"/>
          <w:sz w:val="20"/>
          <w:szCs w:val="20"/>
          <w:lang w:val="es-MX"/>
        </w:rPr>
        <w:t xml:space="preserve"> acordaron iniciar conjuntamente un proceso de armonización de</w:t>
      </w:r>
      <w:r w:rsidR="008C2BA5" w:rsidRPr="004E3E07">
        <w:rPr>
          <w:rFonts w:ascii="Cambria" w:eastAsia="Cambria" w:hAnsi="Cambria" w:cs="Cambria"/>
          <w:sz w:val="20"/>
          <w:szCs w:val="20"/>
          <w:lang w:val="es-MX"/>
        </w:rPr>
        <w:t xml:space="preserve"> los Protocolos Alba en el país. Al respecto, la CIDH toma nota de la instalación de una</w:t>
      </w:r>
      <w:r w:rsidRPr="004E3E07">
        <w:rPr>
          <w:rFonts w:ascii="Cambria" w:eastAsia="Cambria" w:hAnsi="Cambria" w:cs="Cambria"/>
          <w:sz w:val="20"/>
          <w:szCs w:val="20"/>
          <w:lang w:val="es-MX"/>
        </w:rPr>
        <w:t xml:space="preserve"> Comisión Nacional Técnica para la Armonización de Protocolos Alba </w:t>
      </w:r>
      <w:r w:rsidR="008C2BA5" w:rsidRPr="004E3E07">
        <w:rPr>
          <w:rFonts w:ascii="Cambria" w:eastAsia="Cambria" w:hAnsi="Cambria" w:cs="Cambria"/>
          <w:sz w:val="20"/>
          <w:szCs w:val="20"/>
          <w:lang w:val="es-MX"/>
        </w:rPr>
        <w:t>en agosto 2021, la cual se integra</w:t>
      </w:r>
      <w:r w:rsidRPr="004E3E07">
        <w:rPr>
          <w:rFonts w:ascii="Cambria" w:eastAsia="Cambria" w:hAnsi="Cambria" w:cs="Cambria"/>
          <w:sz w:val="20"/>
          <w:szCs w:val="20"/>
          <w:lang w:val="es-MX"/>
        </w:rPr>
        <w:t xml:space="preserve"> por 64 enlaces a nivel nacional, uno por cada </w:t>
      </w:r>
      <w:r w:rsidR="008C2BA5" w:rsidRPr="004E3E07">
        <w:rPr>
          <w:rFonts w:ascii="Cambria" w:eastAsia="Cambria" w:hAnsi="Cambria" w:cs="Cambria"/>
          <w:sz w:val="20"/>
          <w:szCs w:val="20"/>
          <w:lang w:val="es-MX"/>
        </w:rPr>
        <w:t xml:space="preserve">CLB y otro por cada </w:t>
      </w:r>
      <w:r w:rsidR="32EE047A" w:rsidRPr="00BA6325">
        <w:rPr>
          <w:rFonts w:ascii="Cambria" w:eastAsia="Cambria" w:hAnsi="Cambria" w:cs="Cambria"/>
          <w:sz w:val="20"/>
          <w:szCs w:val="20"/>
          <w:lang w:val="es-MX"/>
        </w:rPr>
        <w:t>fiscalía</w:t>
      </w:r>
      <w:r w:rsidR="008C2BA5" w:rsidRPr="004E3E07">
        <w:rPr>
          <w:rFonts w:ascii="Cambria" w:eastAsia="Cambria" w:hAnsi="Cambria" w:cs="Cambria"/>
          <w:sz w:val="20"/>
          <w:szCs w:val="20"/>
          <w:lang w:val="es-MX"/>
        </w:rPr>
        <w:t xml:space="preserve"> de las </w:t>
      </w:r>
      <w:r w:rsidRPr="004E3E07">
        <w:rPr>
          <w:rFonts w:ascii="Cambria" w:eastAsia="Cambria" w:hAnsi="Cambria" w:cs="Cambria"/>
          <w:sz w:val="20"/>
          <w:szCs w:val="20"/>
          <w:lang w:val="es-MX"/>
        </w:rPr>
        <w:t>distintas Entidades Federativas</w:t>
      </w:r>
      <w:r w:rsidR="008C2BA5" w:rsidRPr="004E3E07">
        <w:rPr>
          <w:rStyle w:val="FootnoteReference"/>
          <w:rFonts w:ascii="Cambria" w:eastAsia="Cambria" w:hAnsi="Cambria" w:cs="Cambria"/>
          <w:sz w:val="20"/>
          <w:szCs w:val="20"/>
          <w:lang w:val="es-MX"/>
        </w:rPr>
        <w:footnoteReference w:id="111"/>
      </w:r>
      <w:r w:rsidRPr="004E3E07">
        <w:rPr>
          <w:rFonts w:ascii="Cambria" w:eastAsia="Cambria" w:hAnsi="Cambria" w:cs="Cambria"/>
          <w:sz w:val="20"/>
          <w:szCs w:val="20"/>
          <w:lang w:val="es-MX"/>
        </w:rPr>
        <w:t>.</w:t>
      </w:r>
    </w:p>
    <w:p w14:paraId="49C6D781" w14:textId="24313E4D" w:rsidR="007306F5" w:rsidRDefault="00D96EAC" w:rsidP="007B69C1">
      <w:pPr>
        <w:numPr>
          <w:ilvl w:val="0"/>
          <w:numId w:val="5"/>
        </w:numPr>
        <w:shd w:val="clear" w:color="auto" w:fill="FFFFFF" w:themeFill="background1"/>
        <w:spacing w:after="240" w:line="240" w:lineRule="auto"/>
        <w:ind w:left="0" w:firstLine="720"/>
        <w:jc w:val="both"/>
        <w:rPr>
          <w:rFonts w:ascii="Cambria" w:eastAsia="Cambria" w:hAnsi="Cambria" w:cs="Cambria"/>
          <w:sz w:val="20"/>
          <w:szCs w:val="20"/>
          <w:lang w:val="es-MX"/>
        </w:rPr>
      </w:pPr>
      <w:r w:rsidRPr="004E3E07">
        <w:rPr>
          <w:rFonts w:ascii="Cambria" w:eastAsia="Cambria" w:hAnsi="Cambria" w:cs="Cambria"/>
          <w:sz w:val="20"/>
          <w:szCs w:val="20"/>
          <w:lang w:val="es-MX"/>
        </w:rPr>
        <w:t>La CIDH saluda que el PABNNA contemple metodologías diferenciadas para la búsqueda de niñas y mujeres adolescentes desaparecidas con especial énfasis en el análisis de contexto, y destaca las medidas estatales encaminadas a la actualización y homologación de los Pr</w:t>
      </w:r>
      <w:r w:rsidR="007306F5" w:rsidRPr="004E3E07">
        <w:rPr>
          <w:rFonts w:ascii="Cambria" w:eastAsia="Cambria" w:hAnsi="Cambria" w:cs="Cambria"/>
          <w:sz w:val="20"/>
          <w:szCs w:val="20"/>
          <w:lang w:val="es-MX"/>
        </w:rPr>
        <w:t xml:space="preserve">otocolos Alba a nivel nacional, por lo que </w:t>
      </w:r>
      <w:r w:rsidRPr="004E3E07">
        <w:rPr>
          <w:rFonts w:ascii="Cambria" w:eastAsia="Cambria" w:hAnsi="Cambria" w:cs="Cambria"/>
          <w:sz w:val="20"/>
          <w:szCs w:val="20"/>
          <w:lang w:val="es-MX"/>
        </w:rPr>
        <w:t>considera relevante continuar dando seguimiento</w:t>
      </w:r>
      <w:r w:rsidR="00CE5BCC">
        <w:rPr>
          <w:rFonts w:ascii="Cambria" w:eastAsia="Cambria" w:hAnsi="Cambria" w:cs="Cambria"/>
          <w:sz w:val="20"/>
          <w:szCs w:val="20"/>
          <w:lang w:val="es-MX"/>
        </w:rPr>
        <w:t xml:space="preserve"> a estas acciones</w:t>
      </w:r>
      <w:r w:rsidRPr="004E3E07">
        <w:rPr>
          <w:rFonts w:ascii="Cambria" w:eastAsia="Cambria" w:hAnsi="Cambria" w:cs="Cambria"/>
          <w:sz w:val="20"/>
          <w:szCs w:val="20"/>
          <w:lang w:val="es-MX"/>
        </w:rPr>
        <w:t>. Además, reitera sus observaciones sobre la importancia de que el PHB cuente con disposiciones especializadas, diferenciadas y con perspectiva de género para casos de desaparición de mujeres, mujeres adolescentes y niñas</w:t>
      </w:r>
      <w:r w:rsidR="00CE5BCC">
        <w:rPr>
          <w:rFonts w:ascii="Cambria" w:eastAsia="Cambria" w:hAnsi="Cambria" w:cs="Cambria"/>
          <w:sz w:val="20"/>
          <w:szCs w:val="20"/>
          <w:lang w:val="es-MX"/>
        </w:rPr>
        <w:t>, las cuales</w:t>
      </w:r>
      <w:r w:rsidRPr="004E3E07">
        <w:rPr>
          <w:rFonts w:ascii="Cambria" w:eastAsia="Cambria" w:hAnsi="Cambria" w:cs="Cambria"/>
          <w:sz w:val="20"/>
          <w:szCs w:val="20"/>
          <w:lang w:val="es-MX"/>
        </w:rPr>
        <w:t xml:space="preserve"> fueron consignadas en su informe de 2020</w:t>
      </w:r>
      <w:r w:rsidRPr="00E538B3">
        <w:rPr>
          <w:rStyle w:val="FootnoteReference"/>
          <w:rFonts w:ascii="Cambria" w:eastAsia="Cambria" w:hAnsi="Cambria" w:cs="Cambria"/>
          <w:sz w:val="20"/>
          <w:szCs w:val="20"/>
          <w:lang w:val="es-MX"/>
        </w:rPr>
        <w:footnoteReference w:id="112"/>
      </w:r>
      <w:r w:rsidRPr="00E538B3">
        <w:rPr>
          <w:rFonts w:ascii="Cambria" w:eastAsia="Cambria" w:hAnsi="Cambria" w:cs="Cambria"/>
          <w:sz w:val="20"/>
          <w:szCs w:val="20"/>
          <w:lang w:val="es-MX"/>
        </w:rPr>
        <w:t xml:space="preserve">. </w:t>
      </w:r>
      <w:r w:rsidR="007B69C1" w:rsidRPr="00E538B3">
        <w:rPr>
          <w:rFonts w:ascii="Cambria" w:eastAsia="Cambria" w:hAnsi="Cambria" w:cs="Cambria"/>
          <w:sz w:val="20"/>
          <w:szCs w:val="20"/>
          <w:lang w:val="es-MX"/>
        </w:rPr>
        <w:t>En sus observaciones al proyecto del presente informe el Estado informó que la CNB, junto con la Comisión Nacional para Prevenir y Erradicar la Violencia contra las Mujeres, (CONAVIM), inició en 2021 un proceso de implementación del Programa Nacional de Armonización y Aplicación del Protocolo Alba a fin de alinear este mecanismo de reacción inmediata y coordinación para la búsqueda e investigación de casos de desaparición de mujeres, niñas y adolescentes. En agosto de 2021, se instaló la Coordinadora Nacional Técnica para la Armonización de Protocolos Alba, integrada por enlaces de las CLB y FE de las 32 entidades federativas, con el objetivo de trabajar en conjunto el documento de criterios mínimos. Este proceso es apoyado por ONU Mujeres</w:t>
      </w:r>
      <w:r w:rsidR="007B69C1" w:rsidRPr="00E538B3">
        <w:rPr>
          <w:rStyle w:val="FootnoteReference"/>
          <w:rFonts w:ascii="Cambria" w:eastAsia="Cambria" w:hAnsi="Cambria" w:cs="Cambria"/>
          <w:sz w:val="20"/>
          <w:szCs w:val="20"/>
          <w:lang w:val="es-MX"/>
        </w:rPr>
        <w:footnoteReference w:id="113"/>
      </w:r>
      <w:r w:rsidR="007B69C1" w:rsidRPr="00E538B3">
        <w:rPr>
          <w:rFonts w:ascii="Cambria" w:eastAsia="Cambria" w:hAnsi="Cambria" w:cs="Cambria"/>
          <w:sz w:val="20"/>
          <w:szCs w:val="20"/>
          <w:lang w:val="es-MX"/>
        </w:rPr>
        <w:t>.</w:t>
      </w:r>
      <w:r w:rsidR="007B69C1">
        <w:rPr>
          <w:rFonts w:ascii="Cambria" w:eastAsia="Cambria" w:hAnsi="Cambria" w:cs="Cambria"/>
          <w:sz w:val="20"/>
          <w:szCs w:val="20"/>
          <w:lang w:val="es-MX"/>
        </w:rPr>
        <w:t xml:space="preserve"> </w:t>
      </w:r>
      <w:r w:rsidR="007306F5" w:rsidRPr="007B69C1">
        <w:rPr>
          <w:rFonts w:ascii="Cambria" w:eastAsia="Cambria" w:hAnsi="Cambria" w:cs="Cambria"/>
          <w:sz w:val="20"/>
          <w:szCs w:val="20"/>
          <w:lang w:val="es-MX"/>
        </w:rPr>
        <w:t>Sin perjuicio de lo anterior, la CIDH observa con preocupación que</w:t>
      </w:r>
      <w:r w:rsidR="12EF2EFF" w:rsidRPr="007B69C1">
        <w:rPr>
          <w:rFonts w:ascii="Cambria" w:eastAsia="Cambria" w:hAnsi="Cambria" w:cs="Cambria"/>
          <w:sz w:val="20"/>
          <w:szCs w:val="20"/>
          <w:lang w:val="es-MX"/>
        </w:rPr>
        <w:t>,</w:t>
      </w:r>
      <w:r w:rsidR="007306F5" w:rsidRPr="007B69C1">
        <w:rPr>
          <w:rFonts w:ascii="Cambria" w:eastAsia="Cambria" w:hAnsi="Cambria" w:cs="Cambria"/>
          <w:sz w:val="20"/>
          <w:szCs w:val="20"/>
          <w:lang w:val="es-MX"/>
        </w:rPr>
        <w:t xml:space="preserve"> al 7 de diciembre de 2021, más de 23.500 niñas, mujeres adolescentes y mujeres están reportadas como desaparecidas en México, de las cuales más del 50 % se enc</w:t>
      </w:r>
      <w:r w:rsidR="00CE5BCC" w:rsidRPr="007B69C1">
        <w:rPr>
          <w:rFonts w:ascii="Cambria" w:eastAsia="Cambria" w:hAnsi="Cambria" w:cs="Cambria"/>
          <w:sz w:val="20"/>
          <w:szCs w:val="20"/>
          <w:lang w:val="es-MX"/>
        </w:rPr>
        <w:t xml:space="preserve">ontraría </w:t>
      </w:r>
      <w:r w:rsidR="007306F5" w:rsidRPr="007B69C1">
        <w:rPr>
          <w:rFonts w:ascii="Cambria" w:eastAsia="Cambria" w:hAnsi="Cambria" w:cs="Cambria"/>
          <w:sz w:val="20"/>
          <w:szCs w:val="20"/>
          <w:lang w:val="es-MX"/>
        </w:rPr>
        <w:t xml:space="preserve">en el rango de 10 </w:t>
      </w:r>
      <w:r w:rsidR="00CE5BCC" w:rsidRPr="007B69C1">
        <w:rPr>
          <w:rFonts w:ascii="Cambria" w:eastAsia="Cambria" w:hAnsi="Cambria" w:cs="Cambria"/>
          <w:sz w:val="20"/>
          <w:szCs w:val="20"/>
          <w:lang w:val="es-MX"/>
        </w:rPr>
        <w:t>a</w:t>
      </w:r>
      <w:r w:rsidR="007306F5" w:rsidRPr="007B69C1">
        <w:rPr>
          <w:rFonts w:ascii="Cambria" w:eastAsia="Cambria" w:hAnsi="Cambria" w:cs="Cambria"/>
          <w:sz w:val="20"/>
          <w:szCs w:val="20"/>
          <w:lang w:val="es-MX"/>
        </w:rPr>
        <w:t xml:space="preserve"> 24 años de edad</w:t>
      </w:r>
      <w:r w:rsidR="007306F5" w:rsidRPr="004E3E07">
        <w:rPr>
          <w:rFonts w:ascii="Cambria" w:eastAsia="Cambria" w:hAnsi="Cambria" w:cs="Cambria"/>
          <w:sz w:val="20"/>
          <w:szCs w:val="20"/>
          <w:vertAlign w:val="superscript"/>
          <w:lang w:val="es-MX"/>
        </w:rPr>
        <w:footnoteReference w:id="114"/>
      </w:r>
      <w:r w:rsidR="007306F5" w:rsidRPr="007B69C1">
        <w:rPr>
          <w:rFonts w:ascii="Cambria" w:eastAsia="Cambria" w:hAnsi="Cambria" w:cs="Cambria"/>
          <w:sz w:val="20"/>
          <w:szCs w:val="20"/>
          <w:lang w:val="es-MX"/>
        </w:rPr>
        <w:t xml:space="preserve">. </w:t>
      </w:r>
    </w:p>
    <w:p w14:paraId="77E4D50E" w14:textId="24AFC6A1" w:rsidR="0022706D" w:rsidRPr="004E3E07" w:rsidRDefault="00D96EAC" w:rsidP="00AB2DB9">
      <w:pPr>
        <w:numPr>
          <w:ilvl w:val="0"/>
          <w:numId w:val="5"/>
        </w:numPr>
        <w:shd w:val="clear" w:color="auto" w:fill="FFFFFF"/>
        <w:spacing w:after="240" w:line="240" w:lineRule="auto"/>
        <w:ind w:left="0" w:firstLine="720"/>
        <w:jc w:val="both"/>
        <w:rPr>
          <w:rFonts w:ascii="Cambria" w:eastAsia="Cambria" w:hAnsi="Cambria" w:cs="Cambria"/>
          <w:sz w:val="20"/>
          <w:szCs w:val="20"/>
          <w:lang w:val="es-MX"/>
        </w:rPr>
      </w:pPr>
      <w:r w:rsidRPr="004E3E07">
        <w:rPr>
          <w:rFonts w:ascii="Cambria" w:eastAsia="Cambria" w:hAnsi="Cambria" w:cs="Cambria"/>
          <w:sz w:val="20"/>
          <w:szCs w:val="20"/>
          <w:lang w:val="es-MX"/>
        </w:rPr>
        <w:t>En vista de lo anterior</w:t>
      </w:r>
      <w:r w:rsidR="007306F5" w:rsidRPr="004E3E07">
        <w:rPr>
          <w:rFonts w:ascii="Cambria" w:eastAsia="Cambria" w:hAnsi="Cambria" w:cs="Cambria"/>
          <w:sz w:val="20"/>
          <w:szCs w:val="20"/>
          <w:lang w:val="es-MX"/>
        </w:rPr>
        <w:t>mente expuesto</w:t>
      </w:r>
      <w:r w:rsidRPr="004E3E07">
        <w:rPr>
          <w:rFonts w:ascii="Cambria" w:eastAsia="Cambria" w:hAnsi="Cambria" w:cs="Cambria"/>
          <w:sz w:val="20"/>
          <w:szCs w:val="20"/>
          <w:lang w:val="es-MX"/>
        </w:rPr>
        <w:t xml:space="preserve">, </w:t>
      </w:r>
      <w:r w:rsidR="007E25FF" w:rsidRPr="004E3E07">
        <w:rPr>
          <w:rFonts w:ascii="Cambria" w:eastAsia="Cambria" w:hAnsi="Cambria" w:cs="Cambria"/>
          <w:sz w:val="20"/>
          <w:szCs w:val="20"/>
          <w:lang w:val="es-MX"/>
        </w:rPr>
        <w:t xml:space="preserve">la CIDH considera que la presente recomendación se </w:t>
      </w:r>
      <w:r w:rsidRPr="004E3E07">
        <w:rPr>
          <w:rFonts w:ascii="Cambria" w:eastAsia="Cambria" w:hAnsi="Cambria" w:cs="Cambria"/>
          <w:sz w:val="20"/>
          <w:szCs w:val="20"/>
          <w:lang w:val="es-MX"/>
        </w:rPr>
        <w:t>mantiene en</w:t>
      </w:r>
      <w:r w:rsidR="007E25FF" w:rsidRPr="004E3E07">
        <w:rPr>
          <w:rFonts w:ascii="Cambria" w:eastAsia="Cambria" w:hAnsi="Cambria" w:cs="Cambria"/>
          <w:sz w:val="20"/>
          <w:szCs w:val="20"/>
          <w:lang w:val="es-MX"/>
        </w:rPr>
        <w:t xml:space="preserve"> c</w:t>
      </w:r>
      <w:r w:rsidRPr="004E3E07">
        <w:rPr>
          <w:rFonts w:ascii="Cambria" w:eastAsia="Cambria" w:hAnsi="Cambria" w:cs="Cambria"/>
          <w:sz w:val="20"/>
          <w:szCs w:val="20"/>
          <w:lang w:val="es-MX"/>
        </w:rPr>
        <w:t xml:space="preserve">umplimiento parcial sustancial, y continuará dando seguimiento a la implementación </w:t>
      </w:r>
      <w:r w:rsidR="00821F60" w:rsidRPr="004E3E07">
        <w:rPr>
          <w:rFonts w:ascii="Cambria" w:eastAsia="Cambria" w:hAnsi="Cambria" w:cs="Cambria"/>
          <w:sz w:val="20"/>
          <w:szCs w:val="20"/>
          <w:lang w:val="es-MX"/>
        </w:rPr>
        <w:t>de las acciones de búsqueda contempladas en el</w:t>
      </w:r>
      <w:r w:rsidRPr="004E3E07">
        <w:rPr>
          <w:rFonts w:ascii="Cambria" w:eastAsia="Cambria" w:hAnsi="Cambria" w:cs="Cambria"/>
          <w:sz w:val="20"/>
          <w:szCs w:val="20"/>
          <w:lang w:val="es-MX"/>
        </w:rPr>
        <w:t xml:space="preserve"> PHB</w:t>
      </w:r>
      <w:r w:rsidR="00821F60" w:rsidRPr="004E3E07">
        <w:rPr>
          <w:rFonts w:ascii="Cambria" w:eastAsia="Cambria" w:hAnsi="Cambria" w:cs="Cambria"/>
          <w:sz w:val="20"/>
          <w:szCs w:val="20"/>
          <w:lang w:val="es-MX"/>
        </w:rPr>
        <w:t xml:space="preserve"> y el</w:t>
      </w:r>
      <w:r w:rsidRPr="004E3E07">
        <w:rPr>
          <w:rFonts w:ascii="Cambria" w:eastAsia="Cambria" w:hAnsi="Cambria" w:cs="Cambria"/>
          <w:sz w:val="20"/>
          <w:szCs w:val="20"/>
          <w:lang w:val="es-MX"/>
        </w:rPr>
        <w:t xml:space="preserve"> PABNNA</w:t>
      </w:r>
      <w:r w:rsidR="00821F60" w:rsidRPr="004E3E07">
        <w:rPr>
          <w:rFonts w:ascii="Cambria" w:eastAsia="Cambria" w:hAnsi="Cambria" w:cs="Cambria"/>
          <w:sz w:val="20"/>
          <w:szCs w:val="20"/>
          <w:lang w:val="es-MX"/>
        </w:rPr>
        <w:t>, además de que monitoreará los avances en la</w:t>
      </w:r>
      <w:r w:rsidRPr="004E3E07">
        <w:rPr>
          <w:rFonts w:ascii="Cambria" w:eastAsia="Cambria" w:hAnsi="Cambria" w:cs="Cambria"/>
          <w:sz w:val="20"/>
          <w:szCs w:val="20"/>
          <w:lang w:val="es-MX"/>
        </w:rPr>
        <w:t xml:space="preserve"> homologación de los Protocolos Alba a nivel nacional.</w:t>
      </w:r>
    </w:p>
    <w:p w14:paraId="62CF23CC" w14:textId="01E26247" w:rsidR="007A3156" w:rsidRPr="004E3E07" w:rsidRDefault="007E25FF" w:rsidP="007A3156">
      <w:pPr>
        <w:spacing w:after="240" w:line="240" w:lineRule="auto"/>
        <w:ind w:firstLine="709"/>
        <w:jc w:val="both"/>
        <w:rPr>
          <w:rFonts w:ascii="Cambria" w:eastAsia="Cambria" w:hAnsi="Cambria" w:cs="Cambria"/>
          <w:sz w:val="20"/>
          <w:szCs w:val="20"/>
          <w:lang w:val="es-MX"/>
        </w:rPr>
      </w:pPr>
      <w:r w:rsidRPr="004E3E07">
        <w:rPr>
          <w:rFonts w:ascii="Cambria" w:eastAsia="Cambria" w:hAnsi="Cambria" w:cs="Cambria"/>
          <w:b/>
          <w:sz w:val="20"/>
          <w:szCs w:val="20"/>
          <w:lang w:val="es-MX"/>
        </w:rPr>
        <w:t>Seguimiento al Asunto Ayotzinapa</w:t>
      </w:r>
    </w:p>
    <w:p w14:paraId="568C3F1D" w14:textId="26FD1EC1" w:rsidR="00AB2DB9" w:rsidRPr="004E3E07" w:rsidRDefault="009241F8" w:rsidP="00AB2DB9">
      <w:pPr>
        <w:numPr>
          <w:ilvl w:val="0"/>
          <w:numId w:val="5"/>
        </w:numPr>
        <w:shd w:val="clear" w:color="auto" w:fill="FFFFFF"/>
        <w:spacing w:after="240" w:line="240" w:lineRule="auto"/>
        <w:ind w:left="0" w:firstLine="720"/>
        <w:jc w:val="both"/>
        <w:rPr>
          <w:rFonts w:ascii="Cambria" w:eastAsia="Cambria" w:hAnsi="Cambria" w:cs="Cambria"/>
          <w:sz w:val="20"/>
          <w:szCs w:val="20"/>
          <w:lang w:val="es-MX"/>
        </w:rPr>
      </w:pPr>
      <w:r w:rsidRPr="004E3E07">
        <w:rPr>
          <w:rFonts w:ascii="Cambria" w:eastAsia="Cambria" w:hAnsi="Cambria" w:cs="Cambria"/>
          <w:sz w:val="20"/>
          <w:szCs w:val="20"/>
          <w:lang w:val="es-MX"/>
        </w:rPr>
        <w:t>Durante</w:t>
      </w:r>
      <w:r w:rsidR="00AB2DB9" w:rsidRPr="004E3E07">
        <w:rPr>
          <w:rFonts w:ascii="Cambria" w:eastAsia="Cambria" w:hAnsi="Cambria" w:cs="Cambria"/>
          <w:sz w:val="20"/>
          <w:szCs w:val="20"/>
          <w:lang w:val="es-MX"/>
        </w:rPr>
        <w:t xml:space="preserve"> 2021, la CIDH </w:t>
      </w:r>
      <w:r w:rsidR="00FA6194" w:rsidRPr="004E3E07">
        <w:rPr>
          <w:rFonts w:ascii="Cambria" w:eastAsia="Cambria" w:hAnsi="Cambria" w:cs="Cambria"/>
          <w:sz w:val="20"/>
          <w:szCs w:val="20"/>
          <w:lang w:val="es-MX"/>
        </w:rPr>
        <w:t xml:space="preserve">continúo </w:t>
      </w:r>
      <w:r w:rsidR="00AB2DB9" w:rsidRPr="004E3E07">
        <w:rPr>
          <w:rFonts w:ascii="Cambria" w:eastAsia="Cambria" w:hAnsi="Cambria" w:cs="Cambria"/>
          <w:sz w:val="20"/>
          <w:szCs w:val="20"/>
          <w:lang w:val="es-MX"/>
        </w:rPr>
        <w:t>supervisa</w:t>
      </w:r>
      <w:r w:rsidR="00FA6194" w:rsidRPr="004E3E07">
        <w:rPr>
          <w:rFonts w:ascii="Cambria" w:eastAsia="Cambria" w:hAnsi="Cambria" w:cs="Cambria"/>
          <w:sz w:val="20"/>
          <w:szCs w:val="20"/>
          <w:lang w:val="es-MX"/>
        </w:rPr>
        <w:t>n</w:t>
      </w:r>
      <w:r w:rsidR="00AB2DB9" w:rsidRPr="004E3E07">
        <w:rPr>
          <w:rFonts w:ascii="Cambria" w:eastAsia="Cambria" w:hAnsi="Cambria" w:cs="Cambria"/>
          <w:sz w:val="20"/>
          <w:szCs w:val="20"/>
          <w:lang w:val="es-MX"/>
        </w:rPr>
        <w:t>do el cumplimiento de la</w:t>
      </w:r>
      <w:r w:rsidR="004029D5" w:rsidRPr="004E3E07">
        <w:rPr>
          <w:rFonts w:ascii="Cambria" w:eastAsia="Cambria" w:hAnsi="Cambria" w:cs="Cambria"/>
          <w:sz w:val="20"/>
          <w:szCs w:val="20"/>
          <w:lang w:val="es-MX"/>
        </w:rPr>
        <w:t xml:space="preserve"> Medida Cautelar </w:t>
      </w:r>
      <w:r w:rsidR="00AB2DB9" w:rsidRPr="004E3E07">
        <w:rPr>
          <w:rFonts w:ascii="Cambria" w:eastAsia="Cambria" w:hAnsi="Cambria" w:cs="Cambria"/>
          <w:sz w:val="20"/>
          <w:szCs w:val="20"/>
          <w:lang w:val="es-MX"/>
        </w:rPr>
        <w:t>409/14</w:t>
      </w:r>
      <w:r w:rsidR="00FA6194" w:rsidRPr="004E3E07">
        <w:rPr>
          <w:rFonts w:ascii="Cambria" w:eastAsia="Cambria" w:hAnsi="Cambria" w:cs="Cambria"/>
          <w:sz w:val="20"/>
          <w:szCs w:val="20"/>
          <w:lang w:val="es-MX"/>
        </w:rPr>
        <w:t>,</w:t>
      </w:r>
      <w:r w:rsidR="00AB2DB9" w:rsidRPr="004E3E07">
        <w:rPr>
          <w:rFonts w:ascii="Cambria" w:eastAsia="Cambria" w:hAnsi="Cambria" w:cs="Cambria"/>
          <w:sz w:val="20"/>
          <w:szCs w:val="20"/>
          <w:lang w:val="es-MX"/>
        </w:rPr>
        <w:t xml:space="preserve"> así como de las recomendaciones formuladas por el Grupo Interdisciplinario de Expertos Independientes (GIEI) y por el Mecanismo Especial de Seguimiento al asunto Ayotzinapa (MESA) en sus respectivos informes. Para ello, el MESA continuó ejecutando su plan de trabajo 2020</w:t>
      </w:r>
      <w:r w:rsidR="00FA6194" w:rsidRPr="004E3E07">
        <w:rPr>
          <w:rFonts w:ascii="Cambria" w:eastAsia="Cambria" w:hAnsi="Cambria" w:cs="Cambria"/>
          <w:sz w:val="20"/>
          <w:szCs w:val="20"/>
          <w:lang w:val="es-MX"/>
        </w:rPr>
        <w:t>,</w:t>
      </w:r>
      <w:r w:rsidR="00AB2DB9" w:rsidRPr="004E3E07">
        <w:rPr>
          <w:rFonts w:ascii="Cambria" w:eastAsia="Cambria" w:hAnsi="Cambria" w:cs="Cambria"/>
          <w:sz w:val="20"/>
          <w:szCs w:val="20"/>
          <w:lang w:val="es-MX"/>
        </w:rPr>
        <w:t xml:space="preserve"> y adoptó un nuevo plan de trabajo 2021-2022 </w:t>
      </w:r>
      <w:r w:rsidR="00FA6194" w:rsidRPr="004E3E07">
        <w:rPr>
          <w:rFonts w:ascii="Cambria" w:eastAsia="Cambria" w:hAnsi="Cambria" w:cs="Cambria"/>
          <w:sz w:val="20"/>
          <w:szCs w:val="20"/>
          <w:lang w:val="es-MX"/>
        </w:rPr>
        <w:t>acordado</w:t>
      </w:r>
      <w:r w:rsidR="00AB2DB9" w:rsidRPr="004E3E07">
        <w:rPr>
          <w:rFonts w:ascii="Cambria" w:eastAsia="Cambria" w:hAnsi="Cambria" w:cs="Cambria"/>
          <w:sz w:val="20"/>
          <w:szCs w:val="20"/>
          <w:lang w:val="es-MX"/>
        </w:rPr>
        <w:t xml:space="preserve"> con </w:t>
      </w:r>
      <w:r w:rsidR="007C7043" w:rsidRPr="004E3E07">
        <w:rPr>
          <w:rFonts w:ascii="Cambria" w:eastAsia="Cambria" w:hAnsi="Cambria" w:cs="Cambria"/>
          <w:sz w:val="20"/>
          <w:szCs w:val="20"/>
          <w:lang w:val="es-MX"/>
        </w:rPr>
        <w:t xml:space="preserve">Estado en </w:t>
      </w:r>
      <w:r w:rsidR="00AB2DB9" w:rsidRPr="004E3E07">
        <w:rPr>
          <w:rFonts w:ascii="Cambria" w:eastAsia="Cambria" w:hAnsi="Cambria" w:cs="Cambria"/>
          <w:sz w:val="20"/>
          <w:szCs w:val="20"/>
          <w:lang w:val="es-MX"/>
        </w:rPr>
        <w:t xml:space="preserve">el </w:t>
      </w:r>
      <w:r w:rsidR="007C7043" w:rsidRPr="004E3E07">
        <w:rPr>
          <w:rFonts w:ascii="Cambria" w:eastAsia="Cambria" w:hAnsi="Cambria" w:cs="Cambria"/>
          <w:sz w:val="20"/>
          <w:szCs w:val="20"/>
          <w:lang w:val="es-MX"/>
        </w:rPr>
        <w:t>marco de</w:t>
      </w:r>
      <w:r w:rsidR="00FA6194" w:rsidRPr="004E3E07">
        <w:rPr>
          <w:rFonts w:ascii="Cambria" w:eastAsia="Cambria" w:hAnsi="Cambria" w:cs="Cambria"/>
          <w:sz w:val="20"/>
          <w:szCs w:val="20"/>
          <w:lang w:val="es-MX"/>
        </w:rPr>
        <w:t xml:space="preserve"> su visita de trabajo de septiembre de 2021</w:t>
      </w:r>
      <w:r w:rsidR="00AB2DB9" w:rsidRPr="004E3E07">
        <w:rPr>
          <w:rStyle w:val="FootnoteReference"/>
          <w:rFonts w:ascii="Cambria" w:eastAsia="Cambria" w:hAnsi="Cambria" w:cs="Cambria"/>
          <w:sz w:val="20"/>
          <w:szCs w:val="20"/>
          <w:lang w:val="es-MX"/>
        </w:rPr>
        <w:footnoteReference w:id="115"/>
      </w:r>
      <w:r w:rsidR="00AB2DB9" w:rsidRPr="004E3E07">
        <w:rPr>
          <w:rFonts w:ascii="Cambria" w:eastAsia="Cambria" w:hAnsi="Cambria" w:cs="Cambria"/>
          <w:sz w:val="20"/>
          <w:szCs w:val="20"/>
          <w:lang w:val="es-MX"/>
        </w:rPr>
        <w:t xml:space="preserve">. </w:t>
      </w:r>
      <w:r w:rsidR="00FA6194" w:rsidRPr="004E3E07">
        <w:rPr>
          <w:rFonts w:ascii="Cambria" w:eastAsia="Cambria" w:hAnsi="Cambria" w:cs="Cambria"/>
          <w:sz w:val="20"/>
          <w:szCs w:val="20"/>
          <w:lang w:val="es-MX"/>
        </w:rPr>
        <w:t>En</w:t>
      </w:r>
      <w:r w:rsidR="00AB2DB9" w:rsidRPr="004E3E07">
        <w:rPr>
          <w:rFonts w:ascii="Cambria" w:eastAsia="Cambria" w:hAnsi="Cambria" w:cs="Cambria"/>
          <w:sz w:val="20"/>
          <w:szCs w:val="20"/>
          <w:lang w:val="es-MX"/>
        </w:rPr>
        <w:t xml:space="preserve"> estos términos, el </w:t>
      </w:r>
      <w:r w:rsidR="00FA6194" w:rsidRPr="004E3E07">
        <w:rPr>
          <w:rFonts w:ascii="Cambria" w:eastAsia="Cambria" w:hAnsi="Cambria" w:cs="Cambria"/>
          <w:sz w:val="20"/>
          <w:szCs w:val="20"/>
          <w:lang w:val="es-MX"/>
        </w:rPr>
        <w:t xml:space="preserve">nuevo </w:t>
      </w:r>
      <w:r w:rsidRPr="004E3E07">
        <w:rPr>
          <w:rFonts w:ascii="Cambria" w:eastAsia="Cambria" w:hAnsi="Cambria" w:cs="Cambria"/>
          <w:sz w:val="20"/>
          <w:szCs w:val="20"/>
          <w:lang w:val="es-MX"/>
        </w:rPr>
        <w:t xml:space="preserve">plan de trabajo </w:t>
      </w:r>
      <w:r w:rsidR="0040574E" w:rsidRPr="004E3E07">
        <w:rPr>
          <w:rFonts w:ascii="Cambria" w:eastAsia="Cambria" w:hAnsi="Cambria" w:cs="Cambria"/>
          <w:sz w:val="20"/>
          <w:szCs w:val="20"/>
          <w:lang w:val="es-MX"/>
        </w:rPr>
        <w:t>tiene por objetivo fortalecer el seguimiento y el acompañamiento técnico en la implementación de la medida cautelar</w:t>
      </w:r>
      <w:r w:rsidR="00FA6194" w:rsidRPr="004E3E07">
        <w:rPr>
          <w:rFonts w:ascii="Cambria" w:eastAsia="Cambria" w:hAnsi="Cambria" w:cs="Cambria"/>
          <w:sz w:val="20"/>
          <w:szCs w:val="20"/>
          <w:lang w:val="es-MX"/>
        </w:rPr>
        <w:t>, a través de la</w:t>
      </w:r>
      <w:r w:rsidR="00AB2DB9" w:rsidRPr="004E3E07">
        <w:rPr>
          <w:rFonts w:ascii="Cambria" w:eastAsia="Cambria" w:hAnsi="Cambria" w:cs="Cambria"/>
          <w:sz w:val="20"/>
          <w:szCs w:val="20"/>
          <w:lang w:val="es-MX"/>
        </w:rPr>
        <w:t xml:space="preserve"> asistencia técnica </w:t>
      </w:r>
      <w:r w:rsidR="00FA6194" w:rsidRPr="004E3E07">
        <w:rPr>
          <w:rFonts w:ascii="Cambria" w:eastAsia="Cambria" w:hAnsi="Cambria" w:cs="Cambria"/>
          <w:sz w:val="20"/>
          <w:szCs w:val="20"/>
          <w:lang w:val="es-MX"/>
        </w:rPr>
        <w:t>al Estado</w:t>
      </w:r>
      <w:r w:rsidR="0040574E" w:rsidRPr="004E3E07">
        <w:rPr>
          <w:rFonts w:ascii="Cambria" w:eastAsia="Cambria" w:hAnsi="Cambria" w:cs="Cambria"/>
          <w:sz w:val="20"/>
          <w:szCs w:val="20"/>
          <w:lang w:val="es-MX"/>
        </w:rPr>
        <w:t xml:space="preserve"> para fortalecer las capacidades de</w:t>
      </w:r>
      <w:r w:rsidR="00AB2DB9" w:rsidRPr="004E3E07">
        <w:rPr>
          <w:rFonts w:ascii="Cambria" w:eastAsia="Cambria" w:hAnsi="Cambria" w:cs="Cambria"/>
          <w:sz w:val="20"/>
          <w:szCs w:val="20"/>
          <w:lang w:val="es-MX"/>
        </w:rPr>
        <w:t xml:space="preserve"> la Unidad Especial de Investigación y Litigación para el Caso Ayotzinapa (UEILCA) </w:t>
      </w:r>
      <w:r w:rsidR="00FA6194" w:rsidRPr="004E3E07">
        <w:rPr>
          <w:rFonts w:ascii="Cambria" w:eastAsia="Cambria" w:hAnsi="Cambria" w:cs="Cambria"/>
          <w:sz w:val="20"/>
          <w:szCs w:val="20"/>
          <w:lang w:val="es-MX"/>
        </w:rPr>
        <w:t>y la elaboración de</w:t>
      </w:r>
      <w:r w:rsidR="00AB2DB9" w:rsidRPr="004E3E07">
        <w:rPr>
          <w:rFonts w:ascii="Cambria" w:eastAsia="Cambria" w:hAnsi="Cambria" w:cs="Cambria"/>
          <w:sz w:val="20"/>
          <w:szCs w:val="20"/>
          <w:lang w:val="es-MX"/>
        </w:rPr>
        <w:t xml:space="preserve"> un informe de seguimiento con recomendaciones. </w:t>
      </w:r>
    </w:p>
    <w:p w14:paraId="723D7A50" w14:textId="7C4469FB" w:rsidR="00AB2DB9" w:rsidRPr="004E3E07" w:rsidRDefault="00AB2DB9" w:rsidP="00AB2DB9">
      <w:pPr>
        <w:numPr>
          <w:ilvl w:val="0"/>
          <w:numId w:val="5"/>
        </w:numPr>
        <w:shd w:val="clear" w:color="auto" w:fill="FFFFFF"/>
        <w:spacing w:after="240" w:line="240" w:lineRule="auto"/>
        <w:ind w:left="0" w:firstLine="720"/>
        <w:jc w:val="both"/>
        <w:rPr>
          <w:rFonts w:ascii="Cambria" w:eastAsia="Cambria" w:hAnsi="Cambria" w:cs="Cambria"/>
          <w:sz w:val="20"/>
          <w:szCs w:val="20"/>
          <w:lang w:val="es-MX"/>
        </w:rPr>
      </w:pPr>
      <w:r w:rsidRPr="004E3E07">
        <w:rPr>
          <w:rFonts w:ascii="Cambria" w:eastAsia="Cambria" w:hAnsi="Cambria" w:cs="Cambria"/>
          <w:sz w:val="20"/>
          <w:szCs w:val="20"/>
          <w:lang w:val="es-MX"/>
        </w:rPr>
        <w:t xml:space="preserve">Sumado a lo anterior, la </w:t>
      </w:r>
      <w:r w:rsidR="007C7043" w:rsidRPr="004E3E07">
        <w:rPr>
          <w:rFonts w:ascii="Cambria" w:eastAsia="Cambria" w:hAnsi="Cambria" w:cs="Cambria"/>
          <w:sz w:val="20"/>
          <w:szCs w:val="20"/>
          <w:lang w:val="es-MX"/>
        </w:rPr>
        <w:t>Comisión</w:t>
      </w:r>
      <w:r w:rsidRPr="004E3E07">
        <w:rPr>
          <w:rFonts w:ascii="Cambria" w:eastAsia="Cambria" w:hAnsi="Cambria" w:cs="Cambria"/>
          <w:sz w:val="20"/>
          <w:szCs w:val="20"/>
          <w:lang w:val="es-MX"/>
        </w:rPr>
        <w:t xml:space="preserve"> </w:t>
      </w:r>
      <w:r w:rsidR="00736E75">
        <w:rPr>
          <w:rFonts w:ascii="Cambria" w:eastAsia="Cambria" w:hAnsi="Cambria" w:cs="Cambria"/>
          <w:sz w:val="20"/>
          <w:szCs w:val="20"/>
          <w:lang w:val="es-MX"/>
        </w:rPr>
        <w:t xml:space="preserve">y el Estado, </w:t>
      </w:r>
      <w:r w:rsidR="008900F9" w:rsidRPr="00BA6325">
        <w:rPr>
          <w:rFonts w:ascii="Cambria" w:eastAsia="Cambria" w:hAnsi="Cambria" w:cs="Cambria"/>
          <w:sz w:val="20"/>
          <w:szCs w:val="20"/>
          <w:lang w:val="es-MX"/>
        </w:rPr>
        <w:t>a solicitud</w:t>
      </w:r>
      <w:r w:rsidR="00736E75">
        <w:rPr>
          <w:rFonts w:ascii="Cambria" w:eastAsia="Cambria" w:hAnsi="Cambria" w:cs="Cambria"/>
          <w:sz w:val="20"/>
          <w:szCs w:val="20"/>
          <w:lang w:val="es-MX"/>
        </w:rPr>
        <w:t xml:space="preserve"> de </w:t>
      </w:r>
      <w:r w:rsidR="008900F9" w:rsidRPr="00BA6325">
        <w:rPr>
          <w:rFonts w:ascii="Cambria" w:eastAsia="Cambria" w:hAnsi="Cambria" w:cs="Cambria"/>
          <w:sz w:val="20"/>
          <w:szCs w:val="20"/>
          <w:lang w:val="es-MX"/>
        </w:rPr>
        <w:t>las</w:t>
      </w:r>
      <w:r w:rsidR="00736E75" w:rsidRPr="00BA6325">
        <w:rPr>
          <w:rFonts w:ascii="Cambria" w:eastAsia="Cambria" w:hAnsi="Cambria" w:cs="Cambria"/>
          <w:sz w:val="20"/>
          <w:szCs w:val="20"/>
          <w:lang w:val="es-MX"/>
        </w:rPr>
        <w:t xml:space="preserve"> madres </w:t>
      </w:r>
      <w:r w:rsidR="00736E75">
        <w:rPr>
          <w:rFonts w:ascii="Cambria" w:eastAsia="Cambria" w:hAnsi="Cambria" w:cs="Cambria"/>
          <w:sz w:val="20"/>
          <w:szCs w:val="20"/>
          <w:lang w:val="es-MX"/>
        </w:rPr>
        <w:t xml:space="preserve">y </w:t>
      </w:r>
      <w:r w:rsidR="008900F9" w:rsidRPr="00BA6325">
        <w:rPr>
          <w:rFonts w:ascii="Cambria" w:eastAsia="Cambria" w:hAnsi="Cambria" w:cs="Cambria"/>
          <w:sz w:val="20"/>
          <w:szCs w:val="20"/>
          <w:lang w:val="es-MX"/>
        </w:rPr>
        <w:t>padres</w:t>
      </w:r>
      <w:r w:rsidR="00736E75">
        <w:rPr>
          <w:rFonts w:ascii="Cambria" w:eastAsia="Cambria" w:hAnsi="Cambria" w:cs="Cambria"/>
          <w:sz w:val="20"/>
          <w:szCs w:val="20"/>
          <w:lang w:val="es-MX"/>
        </w:rPr>
        <w:t xml:space="preserve"> de los estudiantes desaparecidos, </w:t>
      </w:r>
      <w:r w:rsidRPr="004E3E07">
        <w:rPr>
          <w:rFonts w:ascii="Cambria" w:eastAsia="Cambria" w:hAnsi="Cambria" w:cs="Cambria"/>
          <w:sz w:val="20"/>
          <w:szCs w:val="20"/>
          <w:lang w:val="es-MX"/>
        </w:rPr>
        <w:t>realiz</w:t>
      </w:r>
      <w:r w:rsidR="001729CE">
        <w:rPr>
          <w:rFonts w:ascii="Cambria" w:eastAsia="Cambria" w:hAnsi="Cambria" w:cs="Cambria"/>
          <w:sz w:val="20"/>
          <w:szCs w:val="20"/>
          <w:lang w:val="es-MX"/>
        </w:rPr>
        <w:t xml:space="preserve">aron </w:t>
      </w:r>
      <w:r w:rsidRPr="004E3E07">
        <w:rPr>
          <w:rFonts w:ascii="Cambria" w:eastAsia="Cambria" w:hAnsi="Cambria" w:cs="Cambria"/>
          <w:sz w:val="20"/>
          <w:szCs w:val="20"/>
          <w:lang w:val="es-MX"/>
        </w:rPr>
        <w:t>gestiones para prorrogar el mandato del GIEI hasta diciembre de 2021</w:t>
      </w:r>
      <w:r w:rsidR="00C42659" w:rsidRPr="00BA6325">
        <w:rPr>
          <w:rFonts w:ascii="Cambria" w:eastAsia="Cambria" w:hAnsi="Cambria" w:cs="Cambria"/>
          <w:sz w:val="20"/>
          <w:szCs w:val="20"/>
          <w:lang w:val="es-MX"/>
        </w:rPr>
        <w:t>,</w:t>
      </w:r>
      <w:r w:rsidRPr="004E3E07">
        <w:rPr>
          <w:rFonts w:ascii="Cambria" w:eastAsia="Cambria" w:hAnsi="Cambria" w:cs="Cambria"/>
          <w:sz w:val="20"/>
          <w:szCs w:val="20"/>
          <w:lang w:val="es-MX"/>
        </w:rPr>
        <w:t xml:space="preserve"> y</w:t>
      </w:r>
      <w:r w:rsidR="00736E75">
        <w:rPr>
          <w:rFonts w:ascii="Cambria" w:eastAsia="Cambria" w:hAnsi="Cambria" w:cs="Cambria"/>
          <w:sz w:val="20"/>
          <w:szCs w:val="20"/>
          <w:lang w:val="es-MX"/>
        </w:rPr>
        <w:t xml:space="preserve"> </w:t>
      </w:r>
      <w:r w:rsidRPr="004E3E07">
        <w:rPr>
          <w:rFonts w:ascii="Cambria" w:eastAsia="Cambria" w:hAnsi="Cambria" w:cs="Cambria"/>
          <w:sz w:val="20"/>
          <w:szCs w:val="20"/>
          <w:lang w:val="es-MX"/>
        </w:rPr>
        <w:t>adopt</w:t>
      </w:r>
      <w:r w:rsidR="00736E75">
        <w:rPr>
          <w:rFonts w:ascii="Cambria" w:eastAsia="Cambria" w:hAnsi="Cambria" w:cs="Cambria"/>
          <w:sz w:val="20"/>
          <w:szCs w:val="20"/>
          <w:lang w:val="es-MX"/>
        </w:rPr>
        <w:t>aron</w:t>
      </w:r>
      <w:r w:rsidRPr="004E3E07">
        <w:rPr>
          <w:rFonts w:ascii="Cambria" w:eastAsia="Cambria" w:hAnsi="Cambria" w:cs="Cambria"/>
          <w:sz w:val="20"/>
          <w:szCs w:val="20"/>
          <w:lang w:val="es-MX"/>
        </w:rPr>
        <w:t xml:space="preserve"> las medidas necesarias para extender nuevamente su mandato por un periodo de tres meses. </w:t>
      </w:r>
      <w:r w:rsidR="007C7043" w:rsidRPr="004E3E07">
        <w:rPr>
          <w:rFonts w:ascii="Cambria" w:eastAsia="Cambria" w:hAnsi="Cambria" w:cs="Cambria"/>
          <w:sz w:val="20"/>
          <w:szCs w:val="20"/>
          <w:lang w:val="es-MX"/>
        </w:rPr>
        <w:t>En estos términos, e</w:t>
      </w:r>
      <w:r w:rsidRPr="004E3E07">
        <w:rPr>
          <w:rFonts w:ascii="Cambria" w:eastAsia="Cambria" w:hAnsi="Cambria" w:cs="Cambria"/>
          <w:sz w:val="20"/>
          <w:szCs w:val="20"/>
          <w:lang w:val="es-MX"/>
        </w:rPr>
        <w:t xml:space="preserve">l funcionamiento simultáneo del MESA y del </w:t>
      </w:r>
      <w:r w:rsidR="007C7043" w:rsidRPr="004E3E07">
        <w:rPr>
          <w:rFonts w:ascii="Cambria" w:eastAsia="Cambria" w:hAnsi="Cambria" w:cs="Cambria"/>
          <w:sz w:val="20"/>
          <w:szCs w:val="20"/>
          <w:lang w:val="es-MX"/>
        </w:rPr>
        <w:t>GIEI</w:t>
      </w:r>
      <w:r w:rsidRPr="004E3E07">
        <w:rPr>
          <w:rFonts w:ascii="Cambria" w:eastAsia="Cambria" w:hAnsi="Cambria" w:cs="Cambria"/>
          <w:sz w:val="20"/>
          <w:szCs w:val="20"/>
          <w:lang w:val="es-MX"/>
        </w:rPr>
        <w:t xml:space="preserve"> permite a la CIDH realizar el acompañamiento profundo que el caso amerita, tal como manifestaron las familias de los estudiantes y sus representantes legales en su momento</w:t>
      </w:r>
      <w:r w:rsidRPr="004E3E07">
        <w:rPr>
          <w:rStyle w:val="FootnoteReference"/>
          <w:rFonts w:ascii="Cambria" w:eastAsia="Cambria" w:hAnsi="Cambria" w:cs="Cambria"/>
          <w:sz w:val="20"/>
          <w:szCs w:val="20"/>
          <w:lang w:val="es-MX"/>
        </w:rPr>
        <w:footnoteReference w:id="116"/>
      </w:r>
      <w:r w:rsidRPr="004E3E07">
        <w:rPr>
          <w:rFonts w:ascii="Cambria" w:eastAsia="Cambria" w:hAnsi="Cambria" w:cs="Cambria"/>
          <w:sz w:val="20"/>
          <w:szCs w:val="20"/>
          <w:lang w:val="es-MX"/>
        </w:rPr>
        <w:t>.</w:t>
      </w:r>
    </w:p>
    <w:p w14:paraId="7882DC00" w14:textId="7EA7FF51" w:rsidR="0022706D" w:rsidRPr="004E3E07" w:rsidRDefault="0014782B" w:rsidP="0022706D">
      <w:pPr>
        <w:numPr>
          <w:ilvl w:val="0"/>
          <w:numId w:val="5"/>
        </w:numPr>
        <w:shd w:val="clear" w:color="auto" w:fill="FFFFFF"/>
        <w:spacing w:after="240" w:line="240" w:lineRule="auto"/>
        <w:ind w:left="0" w:firstLine="720"/>
        <w:jc w:val="both"/>
        <w:rPr>
          <w:rFonts w:ascii="Cambria" w:eastAsia="Cambria" w:hAnsi="Cambria" w:cs="Cambria"/>
          <w:sz w:val="20"/>
          <w:szCs w:val="20"/>
          <w:lang w:val="es-MX"/>
        </w:rPr>
      </w:pPr>
      <w:r w:rsidRPr="004E3E07">
        <w:rPr>
          <w:rFonts w:ascii="Cambria" w:eastAsia="Cambria" w:hAnsi="Cambria" w:cs="Cambria"/>
          <w:sz w:val="20"/>
          <w:szCs w:val="20"/>
          <w:lang w:val="es-MX"/>
        </w:rPr>
        <w:t xml:space="preserve">En relación con </w:t>
      </w:r>
      <w:r w:rsidR="00F516E1" w:rsidRPr="004E3E07">
        <w:rPr>
          <w:rFonts w:ascii="Cambria" w:eastAsia="Cambria" w:hAnsi="Cambria" w:cs="Cambria"/>
          <w:sz w:val="20"/>
          <w:szCs w:val="20"/>
          <w:lang w:val="es-MX"/>
        </w:rPr>
        <w:t>los avances de</w:t>
      </w:r>
      <w:r w:rsidRPr="004E3E07">
        <w:rPr>
          <w:rFonts w:ascii="Cambria" w:eastAsia="Cambria" w:hAnsi="Cambria" w:cs="Cambria"/>
          <w:sz w:val="20"/>
          <w:szCs w:val="20"/>
          <w:lang w:val="es-MX"/>
        </w:rPr>
        <w:t xml:space="preserve"> </w:t>
      </w:r>
      <w:r w:rsidR="00807F97" w:rsidRPr="004E3E07">
        <w:rPr>
          <w:rFonts w:ascii="Cambria" w:eastAsia="Cambria" w:hAnsi="Cambria" w:cs="Cambria"/>
          <w:sz w:val="20"/>
          <w:szCs w:val="20"/>
          <w:lang w:val="es-MX"/>
        </w:rPr>
        <w:t>la investigación</w:t>
      </w:r>
      <w:r w:rsidRPr="004E3E07">
        <w:rPr>
          <w:rFonts w:ascii="Cambria" w:eastAsia="Cambria" w:hAnsi="Cambria" w:cs="Cambria"/>
          <w:sz w:val="20"/>
          <w:szCs w:val="20"/>
          <w:lang w:val="es-MX"/>
        </w:rPr>
        <w:t xml:space="preserve"> penal</w:t>
      </w:r>
      <w:r w:rsidR="004C3087" w:rsidRPr="004E3E07">
        <w:rPr>
          <w:rFonts w:ascii="Cambria" w:eastAsia="Cambria" w:hAnsi="Cambria" w:cs="Cambria"/>
          <w:sz w:val="20"/>
          <w:szCs w:val="20"/>
          <w:lang w:val="es-MX"/>
        </w:rPr>
        <w:t>,</w:t>
      </w:r>
      <w:r w:rsidR="00807F97" w:rsidRPr="004E3E07">
        <w:rPr>
          <w:rFonts w:ascii="Cambria" w:eastAsia="Cambria" w:hAnsi="Cambria" w:cs="Cambria"/>
          <w:sz w:val="20"/>
          <w:szCs w:val="20"/>
          <w:lang w:val="es-MX"/>
        </w:rPr>
        <w:t xml:space="preserve"> el Estado informó que la </w:t>
      </w:r>
      <w:r w:rsidR="00EC28F5" w:rsidRPr="004E3E07">
        <w:rPr>
          <w:rFonts w:ascii="Cambria" w:eastAsia="Cambria" w:hAnsi="Cambria" w:cs="Cambria"/>
          <w:sz w:val="20"/>
          <w:szCs w:val="20"/>
          <w:lang w:val="es-MX"/>
        </w:rPr>
        <w:t>UEILCA</w:t>
      </w:r>
      <w:r w:rsidR="004C3087" w:rsidRPr="004E3E07">
        <w:rPr>
          <w:rFonts w:ascii="Cambria" w:eastAsia="Cambria" w:hAnsi="Cambria" w:cs="Cambria"/>
          <w:sz w:val="20"/>
          <w:szCs w:val="20"/>
          <w:lang w:val="es-MX"/>
        </w:rPr>
        <w:t xml:space="preserve"> </w:t>
      </w:r>
      <w:r w:rsidR="00807F97" w:rsidRPr="004E3E07">
        <w:rPr>
          <w:rFonts w:ascii="Cambria" w:eastAsia="Cambria" w:hAnsi="Cambria" w:cs="Cambria"/>
          <w:sz w:val="20"/>
          <w:szCs w:val="20"/>
          <w:lang w:val="es-MX"/>
        </w:rPr>
        <w:t xml:space="preserve">trabaja </w:t>
      </w:r>
      <w:r w:rsidR="004C3087" w:rsidRPr="004E3E07">
        <w:rPr>
          <w:rFonts w:ascii="Cambria" w:eastAsia="Cambria" w:hAnsi="Cambria" w:cs="Cambria"/>
          <w:sz w:val="20"/>
          <w:szCs w:val="20"/>
          <w:lang w:val="es-MX"/>
        </w:rPr>
        <w:t xml:space="preserve">en líneas de investigación </w:t>
      </w:r>
      <w:r w:rsidR="00807F97" w:rsidRPr="004E3E07">
        <w:rPr>
          <w:rFonts w:ascii="Cambria" w:eastAsia="Cambria" w:hAnsi="Cambria" w:cs="Cambria"/>
          <w:sz w:val="20"/>
          <w:szCs w:val="20"/>
          <w:lang w:val="es-MX"/>
        </w:rPr>
        <w:t>para establecer responsabilidades penales por desaparición forzada en contra de personas detenidas en la investigación</w:t>
      </w:r>
      <w:r w:rsidR="004C3087" w:rsidRPr="004E3E07">
        <w:rPr>
          <w:rFonts w:ascii="Cambria" w:eastAsia="Cambria" w:hAnsi="Cambria" w:cs="Cambria"/>
          <w:sz w:val="20"/>
          <w:szCs w:val="20"/>
          <w:lang w:val="es-MX"/>
        </w:rPr>
        <w:t xml:space="preserve">, así como para determinar irregularidades en las investigaciones impulsadas por la </w:t>
      </w:r>
      <w:r w:rsidR="0022706D" w:rsidRPr="004E3E07">
        <w:rPr>
          <w:rFonts w:ascii="Cambria" w:eastAsia="Cambria" w:hAnsi="Cambria" w:cs="Cambria"/>
          <w:sz w:val="20"/>
          <w:szCs w:val="20"/>
          <w:lang w:val="es-MX"/>
        </w:rPr>
        <w:t xml:space="preserve">entonces </w:t>
      </w:r>
      <w:r w:rsidR="004C3087" w:rsidRPr="004E3E07">
        <w:rPr>
          <w:rFonts w:ascii="Cambria" w:eastAsia="Cambria" w:hAnsi="Cambria" w:cs="Cambria"/>
          <w:sz w:val="20"/>
          <w:szCs w:val="20"/>
          <w:lang w:val="es-MX"/>
        </w:rPr>
        <w:t xml:space="preserve">Procuraduría General de la República (PGR) </w:t>
      </w:r>
      <w:r w:rsidR="00B43EBE" w:rsidRPr="004E3E07">
        <w:rPr>
          <w:rFonts w:ascii="Cambria" w:eastAsia="Cambria" w:hAnsi="Cambria" w:cs="Cambria"/>
          <w:sz w:val="20"/>
          <w:szCs w:val="20"/>
          <w:lang w:val="es-MX"/>
        </w:rPr>
        <w:t xml:space="preserve">y </w:t>
      </w:r>
      <w:r w:rsidR="004C3087" w:rsidRPr="004E3E07">
        <w:rPr>
          <w:rFonts w:ascii="Cambria" w:eastAsia="Cambria" w:hAnsi="Cambria" w:cs="Cambria"/>
          <w:sz w:val="20"/>
          <w:szCs w:val="20"/>
          <w:lang w:val="es-MX"/>
        </w:rPr>
        <w:t>que concluyeron en la llamada “Verdad Histórica”</w:t>
      </w:r>
      <w:r w:rsidR="00807F97" w:rsidRPr="004E3E07">
        <w:rPr>
          <w:rFonts w:ascii="Cambria" w:eastAsia="Cambria" w:hAnsi="Cambria" w:cs="Cambria"/>
          <w:sz w:val="20"/>
          <w:szCs w:val="20"/>
          <w:lang w:val="es-MX"/>
        </w:rPr>
        <w:t xml:space="preserve">. </w:t>
      </w:r>
      <w:r w:rsidR="00970760" w:rsidRPr="004E3E07">
        <w:rPr>
          <w:rFonts w:ascii="Cambria" w:eastAsia="Cambria" w:hAnsi="Cambria" w:cs="Cambria"/>
          <w:sz w:val="20"/>
          <w:szCs w:val="20"/>
          <w:lang w:val="es-MX"/>
        </w:rPr>
        <w:t xml:space="preserve">Además, señaló </w:t>
      </w:r>
      <w:r w:rsidR="00807F97" w:rsidRPr="004E3E07">
        <w:rPr>
          <w:rFonts w:ascii="Cambria" w:eastAsia="Cambria" w:hAnsi="Cambria" w:cs="Cambria"/>
          <w:sz w:val="20"/>
          <w:szCs w:val="20"/>
          <w:lang w:val="es-MX"/>
        </w:rPr>
        <w:t xml:space="preserve">que </w:t>
      </w:r>
      <w:r w:rsidRPr="004E3E07">
        <w:rPr>
          <w:rFonts w:ascii="Cambria" w:eastAsia="Cambria" w:hAnsi="Cambria" w:cs="Cambria"/>
          <w:sz w:val="20"/>
          <w:szCs w:val="20"/>
          <w:lang w:val="es-MX"/>
        </w:rPr>
        <w:t xml:space="preserve">se </w:t>
      </w:r>
      <w:r w:rsidR="00807F97" w:rsidRPr="004E3E07">
        <w:rPr>
          <w:rFonts w:ascii="Cambria" w:eastAsia="Cambria" w:hAnsi="Cambria" w:cs="Cambria"/>
          <w:sz w:val="20"/>
          <w:szCs w:val="20"/>
          <w:lang w:val="es-MX"/>
        </w:rPr>
        <w:t>investiga</w:t>
      </w:r>
      <w:r w:rsidRPr="004E3E07">
        <w:rPr>
          <w:rFonts w:ascii="Cambria" w:eastAsia="Cambria" w:hAnsi="Cambria" w:cs="Cambria"/>
          <w:sz w:val="20"/>
          <w:szCs w:val="20"/>
          <w:lang w:val="es-MX"/>
        </w:rPr>
        <w:t>n</w:t>
      </w:r>
      <w:r w:rsidR="00807F97" w:rsidRPr="004E3E07">
        <w:rPr>
          <w:rFonts w:ascii="Cambria" w:eastAsia="Cambria" w:hAnsi="Cambria" w:cs="Cambria"/>
          <w:sz w:val="20"/>
          <w:szCs w:val="20"/>
          <w:lang w:val="es-MX"/>
        </w:rPr>
        <w:t xml:space="preserve"> los</w:t>
      </w:r>
      <w:r w:rsidR="0022706D" w:rsidRPr="004E3E07">
        <w:rPr>
          <w:rFonts w:ascii="Cambria" w:eastAsia="Cambria" w:hAnsi="Cambria" w:cs="Cambria"/>
          <w:sz w:val="20"/>
          <w:szCs w:val="20"/>
          <w:lang w:val="es-MX"/>
        </w:rPr>
        <w:t xml:space="preserve"> posibles</w:t>
      </w:r>
      <w:r w:rsidR="00807F97" w:rsidRPr="004E3E07">
        <w:rPr>
          <w:rFonts w:ascii="Cambria" w:eastAsia="Cambria" w:hAnsi="Cambria" w:cs="Cambria"/>
          <w:sz w:val="20"/>
          <w:szCs w:val="20"/>
          <w:lang w:val="es-MX"/>
        </w:rPr>
        <w:t xml:space="preserve"> hechos de tortura cometidos por servidores públicos como medio generalizado y sistemático de investigación</w:t>
      </w:r>
      <w:r w:rsidR="0022706D" w:rsidRPr="004E3E07">
        <w:rPr>
          <w:rFonts w:ascii="Cambria" w:eastAsia="Cambria" w:hAnsi="Cambria" w:cs="Cambria"/>
          <w:sz w:val="20"/>
          <w:szCs w:val="20"/>
          <w:lang w:val="es-MX"/>
        </w:rPr>
        <w:t xml:space="preserve">. </w:t>
      </w:r>
      <w:r w:rsidR="00CE2844" w:rsidRPr="004E3E07">
        <w:rPr>
          <w:rFonts w:ascii="Cambria" w:eastAsia="Cambria" w:hAnsi="Cambria" w:cs="Cambria"/>
          <w:sz w:val="20"/>
          <w:szCs w:val="20"/>
          <w:lang w:val="es-MX"/>
        </w:rPr>
        <w:t xml:space="preserve">En virtud de </w:t>
      </w:r>
      <w:r w:rsidR="0022706D" w:rsidRPr="004E3E07">
        <w:rPr>
          <w:rFonts w:ascii="Cambria" w:eastAsia="Cambria" w:hAnsi="Cambria" w:cs="Cambria"/>
          <w:sz w:val="20"/>
          <w:szCs w:val="20"/>
          <w:lang w:val="es-MX"/>
        </w:rPr>
        <w:t xml:space="preserve">estas labores de investigación, </w:t>
      </w:r>
      <w:r w:rsidR="00CE2844" w:rsidRPr="004E3E07">
        <w:rPr>
          <w:rFonts w:ascii="Cambria" w:hAnsi="Cambria"/>
          <w:sz w:val="20"/>
          <w:szCs w:val="20"/>
          <w:lang w:val="es-MX"/>
        </w:rPr>
        <w:t>la UEILCA</w:t>
      </w:r>
      <w:r w:rsidR="0022706D" w:rsidRPr="004E3E07">
        <w:rPr>
          <w:rFonts w:ascii="Cambria" w:hAnsi="Cambria"/>
          <w:sz w:val="20"/>
          <w:szCs w:val="20"/>
          <w:lang w:val="es-MX"/>
        </w:rPr>
        <w:t xml:space="preserve"> ha </w:t>
      </w:r>
      <w:r w:rsidR="00CE2844" w:rsidRPr="004E3E07">
        <w:rPr>
          <w:rFonts w:ascii="Cambria" w:hAnsi="Cambria"/>
          <w:sz w:val="20"/>
          <w:szCs w:val="20"/>
          <w:lang w:val="es-MX"/>
        </w:rPr>
        <w:t>podido plantear</w:t>
      </w:r>
      <w:r w:rsidR="0022706D" w:rsidRPr="004E3E07">
        <w:rPr>
          <w:rFonts w:ascii="Cambria" w:hAnsi="Cambria"/>
          <w:sz w:val="20"/>
          <w:szCs w:val="20"/>
          <w:lang w:val="es-MX"/>
        </w:rPr>
        <w:t xml:space="preserve"> que el contexto en el que ocurrió la desaparición forzada de los estudiantes normalistas fue posible debido a la colusión de un grupo de la delincuencia organizada trasnacional denominada Guerreros Unidos con autoridades municipales, estatales y federales</w:t>
      </w:r>
      <w:r w:rsidR="0022706D" w:rsidRPr="004E3E07">
        <w:rPr>
          <w:rStyle w:val="FootnoteReference"/>
          <w:rFonts w:ascii="Cambria" w:hAnsi="Cambria"/>
          <w:sz w:val="20"/>
          <w:szCs w:val="20"/>
          <w:lang w:val="es-MX"/>
        </w:rPr>
        <w:footnoteReference w:id="117"/>
      </w:r>
      <w:r w:rsidR="0022706D" w:rsidRPr="004E3E07">
        <w:rPr>
          <w:rFonts w:ascii="Cambria" w:hAnsi="Cambria"/>
          <w:sz w:val="20"/>
          <w:szCs w:val="20"/>
          <w:lang w:val="es-MX"/>
        </w:rPr>
        <w:t>.</w:t>
      </w:r>
    </w:p>
    <w:p w14:paraId="699419FD" w14:textId="2D10D588" w:rsidR="00F85B59" w:rsidRPr="004E3E07" w:rsidRDefault="0022706D" w:rsidP="0022706D">
      <w:pPr>
        <w:numPr>
          <w:ilvl w:val="0"/>
          <w:numId w:val="5"/>
        </w:numPr>
        <w:shd w:val="clear" w:color="auto" w:fill="FFFFFF"/>
        <w:spacing w:after="240" w:line="240" w:lineRule="auto"/>
        <w:ind w:left="0" w:firstLine="720"/>
        <w:jc w:val="both"/>
        <w:rPr>
          <w:rFonts w:ascii="Cambria" w:eastAsia="Cambria" w:hAnsi="Cambria" w:cs="Cambria"/>
          <w:sz w:val="20"/>
          <w:szCs w:val="20"/>
          <w:lang w:val="es-MX"/>
        </w:rPr>
      </w:pPr>
      <w:r w:rsidRPr="004E3E07">
        <w:rPr>
          <w:rFonts w:ascii="Cambria" w:eastAsia="Cambria" w:hAnsi="Cambria" w:cs="Cambria"/>
          <w:sz w:val="20"/>
          <w:szCs w:val="20"/>
          <w:lang w:val="es-MX"/>
        </w:rPr>
        <w:t xml:space="preserve">En materia de </w:t>
      </w:r>
      <w:r w:rsidR="00807F97" w:rsidRPr="004E3E07">
        <w:rPr>
          <w:rFonts w:ascii="Cambria" w:eastAsia="Cambria" w:hAnsi="Cambria" w:cs="Cambria"/>
          <w:sz w:val="20"/>
          <w:szCs w:val="20"/>
          <w:lang w:val="es-MX"/>
        </w:rPr>
        <w:t>j</w:t>
      </w:r>
      <w:r w:rsidR="00B719C0" w:rsidRPr="004E3E07">
        <w:rPr>
          <w:rFonts w:ascii="Cambria" w:eastAsia="Cambria" w:hAnsi="Cambria" w:cs="Cambria"/>
          <w:sz w:val="20"/>
          <w:szCs w:val="20"/>
          <w:lang w:val="es-MX"/>
        </w:rPr>
        <w:t xml:space="preserve">udicialización del caso, </w:t>
      </w:r>
      <w:r w:rsidR="00B43EBE" w:rsidRPr="004E3E07">
        <w:rPr>
          <w:rFonts w:ascii="Cambria" w:eastAsia="Cambria" w:hAnsi="Cambria" w:cs="Cambria"/>
          <w:sz w:val="20"/>
          <w:szCs w:val="20"/>
          <w:lang w:val="es-MX"/>
        </w:rPr>
        <w:t>el Estado reportó</w:t>
      </w:r>
      <w:r w:rsidR="00B82E1D" w:rsidRPr="004E3E07">
        <w:rPr>
          <w:rFonts w:ascii="Cambria" w:eastAsia="Cambria" w:hAnsi="Cambria" w:cs="Cambria"/>
          <w:sz w:val="20"/>
          <w:szCs w:val="20"/>
          <w:lang w:val="es-MX"/>
        </w:rPr>
        <w:t xml:space="preserve"> </w:t>
      </w:r>
      <w:r w:rsidR="00B43EBE" w:rsidRPr="004E3E07">
        <w:rPr>
          <w:rFonts w:ascii="Cambria" w:eastAsia="Cambria" w:hAnsi="Cambria" w:cs="Cambria"/>
          <w:sz w:val="20"/>
          <w:szCs w:val="20"/>
          <w:lang w:val="es-MX"/>
        </w:rPr>
        <w:t xml:space="preserve">la </w:t>
      </w:r>
      <w:r w:rsidR="00B82E1D" w:rsidRPr="004E3E07">
        <w:rPr>
          <w:rFonts w:ascii="Cambria" w:eastAsia="Cambria" w:hAnsi="Cambria" w:cs="Cambria"/>
          <w:sz w:val="20"/>
          <w:szCs w:val="20"/>
          <w:lang w:val="es-MX"/>
        </w:rPr>
        <w:t>obten</w:t>
      </w:r>
      <w:r w:rsidR="00B43EBE" w:rsidRPr="004E3E07">
        <w:rPr>
          <w:rFonts w:ascii="Cambria" w:eastAsia="Cambria" w:hAnsi="Cambria" w:cs="Cambria"/>
          <w:sz w:val="20"/>
          <w:szCs w:val="20"/>
          <w:lang w:val="es-MX"/>
        </w:rPr>
        <w:t xml:space="preserve">ción de </w:t>
      </w:r>
      <w:r w:rsidR="00807F97" w:rsidRPr="004E3E07">
        <w:rPr>
          <w:rFonts w:ascii="Cambria" w:eastAsia="Cambria" w:hAnsi="Cambria" w:cs="Cambria"/>
          <w:sz w:val="20"/>
          <w:szCs w:val="20"/>
          <w:lang w:val="es-MX"/>
        </w:rPr>
        <w:t>85 órdenes de aprehensión</w:t>
      </w:r>
      <w:r w:rsidR="00B43EBE" w:rsidRPr="004E3E07">
        <w:rPr>
          <w:rFonts w:ascii="Cambria" w:eastAsia="Cambria" w:hAnsi="Cambria" w:cs="Cambria"/>
          <w:sz w:val="20"/>
          <w:szCs w:val="20"/>
          <w:lang w:val="es-MX"/>
        </w:rPr>
        <w:t>, de las cuales 55 han sido ejecutadas</w:t>
      </w:r>
      <w:r w:rsidR="00B82E1D" w:rsidRPr="004E3E07">
        <w:rPr>
          <w:rFonts w:ascii="Cambria" w:eastAsia="Cambria" w:hAnsi="Cambria" w:cs="Cambria"/>
          <w:sz w:val="20"/>
          <w:szCs w:val="20"/>
          <w:lang w:val="es-MX"/>
        </w:rPr>
        <w:t xml:space="preserve"> y cuentan con auto de formal prisión o de vinculación a proceso</w:t>
      </w:r>
      <w:r w:rsidR="00F516E1" w:rsidRPr="004E3E07">
        <w:rPr>
          <w:rStyle w:val="FootnoteReference"/>
          <w:rFonts w:ascii="Cambria" w:eastAsia="Cambria" w:hAnsi="Cambria" w:cs="Cambria"/>
          <w:sz w:val="20"/>
          <w:szCs w:val="20"/>
          <w:lang w:val="es-MX"/>
        </w:rPr>
        <w:footnoteReference w:id="118"/>
      </w:r>
      <w:r w:rsidR="00B82E1D" w:rsidRPr="004E3E07">
        <w:rPr>
          <w:rFonts w:ascii="Cambria" w:eastAsia="Cambria" w:hAnsi="Cambria" w:cs="Cambria"/>
          <w:sz w:val="20"/>
          <w:szCs w:val="20"/>
          <w:lang w:val="es-MX"/>
        </w:rPr>
        <w:t>.</w:t>
      </w:r>
      <w:r w:rsidR="00B43EBE" w:rsidRPr="004E3E07">
        <w:rPr>
          <w:rFonts w:ascii="Cambria" w:eastAsia="Cambria" w:hAnsi="Cambria" w:cs="Cambria"/>
          <w:sz w:val="20"/>
          <w:szCs w:val="20"/>
          <w:lang w:val="es-MX"/>
        </w:rPr>
        <w:t xml:space="preserve"> </w:t>
      </w:r>
      <w:r w:rsidRPr="004E3E07">
        <w:rPr>
          <w:rFonts w:ascii="Cambria" w:eastAsia="Cambria" w:hAnsi="Cambria" w:cs="Cambria"/>
          <w:sz w:val="20"/>
          <w:szCs w:val="20"/>
          <w:lang w:val="es-MX"/>
        </w:rPr>
        <w:t>Al respecto, l</w:t>
      </w:r>
      <w:r w:rsidR="00B43EBE" w:rsidRPr="004E3E07">
        <w:rPr>
          <w:rFonts w:ascii="Cambria" w:eastAsia="Cambria" w:hAnsi="Cambria" w:cs="Cambria"/>
          <w:sz w:val="20"/>
          <w:szCs w:val="20"/>
          <w:lang w:val="es-MX"/>
        </w:rPr>
        <w:t xml:space="preserve">a Comisión observa que </w:t>
      </w:r>
      <w:r w:rsidRPr="004E3E07">
        <w:rPr>
          <w:rFonts w:ascii="Cambria" w:eastAsia="Cambria" w:hAnsi="Cambria" w:cs="Cambria"/>
          <w:sz w:val="20"/>
          <w:szCs w:val="20"/>
          <w:lang w:val="es-MX"/>
        </w:rPr>
        <w:t xml:space="preserve">múltiples </w:t>
      </w:r>
      <w:r w:rsidR="00B43EBE" w:rsidRPr="004E3E07">
        <w:rPr>
          <w:rFonts w:ascii="Cambria" w:eastAsia="Cambria" w:hAnsi="Cambria" w:cs="Cambria"/>
          <w:sz w:val="20"/>
          <w:szCs w:val="20"/>
          <w:lang w:val="es-MX"/>
        </w:rPr>
        <w:t xml:space="preserve">órdenes de aprehensión </w:t>
      </w:r>
      <w:r w:rsidRPr="004E3E07">
        <w:rPr>
          <w:rFonts w:ascii="Cambria" w:eastAsia="Cambria" w:hAnsi="Cambria" w:cs="Cambria"/>
          <w:sz w:val="20"/>
          <w:szCs w:val="20"/>
          <w:lang w:val="es-MX"/>
        </w:rPr>
        <w:t xml:space="preserve">han sido emitidas </w:t>
      </w:r>
      <w:r w:rsidR="00B43EBE" w:rsidRPr="004E3E07">
        <w:rPr>
          <w:rFonts w:ascii="Cambria" w:eastAsia="Cambria" w:hAnsi="Cambria" w:cs="Cambria"/>
          <w:sz w:val="20"/>
          <w:szCs w:val="20"/>
          <w:lang w:val="es-MX"/>
        </w:rPr>
        <w:t xml:space="preserve">en contra </w:t>
      </w:r>
      <w:r w:rsidR="00B43EBE" w:rsidRPr="004E3E07">
        <w:rPr>
          <w:rFonts w:ascii="Cambria" w:hAnsi="Cambria"/>
          <w:sz w:val="20"/>
          <w:szCs w:val="20"/>
          <w:lang w:val="es-MX"/>
        </w:rPr>
        <w:t xml:space="preserve">de policías municipales de Iguala, policías de municipales de Cocula, </w:t>
      </w:r>
      <w:r w:rsidR="00661D93" w:rsidRPr="004E3E07">
        <w:rPr>
          <w:rFonts w:ascii="Cambria" w:hAnsi="Cambria"/>
          <w:sz w:val="20"/>
          <w:szCs w:val="20"/>
          <w:lang w:val="es-MX"/>
        </w:rPr>
        <w:t>agentes de la extinta Policía Federal</w:t>
      </w:r>
      <w:r w:rsidR="00B43EBE" w:rsidRPr="004E3E07">
        <w:rPr>
          <w:rFonts w:ascii="Cambria" w:hAnsi="Cambria"/>
          <w:sz w:val="20"/>
          <w:szCs w:val="20"/>
          <w:lang w:val="es-MX"/>
        </w:rPr>
        <w:t xml:space="preserve">, </w:t>
      </w:r>
      <w:r w:rsidR="00661D93" w:rsidRPr="004E3E07">
        <w:rPr>
          <w:rFonts w:ascii="Cambria" w:hAnsi="Cambria"/>
          <w:sz w:val="20"/>
          <w:szCs w:val="20"/>
          <w:lang w:val="es-MX"/>
        </w:rPr>
        <w:t>agentes de la Policía Federal Ministerial</w:t>
      </w:r>
      <w:r w:rsidR="00B43EBE" w:rsidRPr="004E3E07">
        <w:rPr>
          <w:rFonts w:ascii="Cambria" w:hAnsi="Cambria"/>
          <w:sz w:val="20"/>
          <w:szCs w:val="20"/>
          <w:lang w:val="es-MX"/>
        </w:rPr>
        <w:t>, agentes ministeriales de la S</w:t>
      </w:r>
      <w:r w:rsidR="00661D93" w:rsidRPr="004E3E07">
        <w:rPr>
          <w:rFonts w:ascii="Cambria" w:hAnsi="Cambria"/>
          <w:sz w:val="20"/>
          <w:szCs w:val="20"/>
          <w:lang w:val="es-MX"/>
        </w:rPr>
        <w:t>ubprocuraduría Especializada en Investigación de Delincuencia Organizada (</w:t>
      </w:r>
      <w:r w:rsidR="00B43EBE" w:rsidRPr="004E3E07">
        <w:rPr>
          <w:rFonts w:ascii="Cambria" w:hAnsi="Cambria"/>
          <w:sz w:val="20"/>
          <w:szCs w:val="20"/>
          <w:lang w:val="es-MX"/>
        </w:rPr>
        <w:t>SEIDO</w:t>
      </w:r>
      <w:r w:rsidR="00661D93" w:rsidRPr="004E3E07">
        <w:rPr>
          <w:rFonts w:ascii="Cambria" w:hAnsi="Cambria"/>
          <w:sz w:val="20"/>
          <w:szCs w:val="20"/>
          <w:lang w:val="es-MX"/>
        </w:rPr>
        <w:t xml:space="preserve">) </w:t>
      </w:r>
      <w:r w:rsidR="00C42659" w:rsidRPr="00BA6325">
        <w:rPr>
          <w:rFonts w:ascii="Cambria" w:hAnsi="Cambria"/>
          <w:sz w:val="20"/>
          <w:szCs w:val="20"/>
          <w:lang w:val="es-MX"/>
        </w:rPr>
        <w:t>adscrita a</w:t>
      </w:r>
      <w:r w:rsidR="00661D93" w:rsidRPr="004E3E07">
        <w:rPr>
          <w:rFonts w:ascii="Cambria" w:hAnsi="Cambria"/>
          <w:sz w:val="20"/>
          <w:szCs w:val="20"/>
          <w:lang w:val="es-MX"/>
        </w:rPr>
        <w:t xml:space="preserve"> la antigua PGR</w:t>
      </w:r>
      <w:r w:rsidR="00B43EBE" w:rsidRPr="004E3E07">
        <w:rPr>
          <w:rFonts w:ascii="Cambria" w:hAnsi="Cambria"/>
          <w:sz w:val="20"/>
          <w:szCs w:val="20"/>
          <w:lang w:val="es-MX"/>
        </w:rPr>
        <w:t xml:space="preserve">, </w:t>
      </w:r>
      <w:r w:rsidRPr="004E3E07">
        <w:rPr>
          <w:rFonts w:ascii="Cambria" w:hAnsi="Cambria"/>
          <w:sz w:val="20"/>
          <w:szCs w:val="20"/>
          <w:lang w:val="es-MX"/>
        </w:rPr>
        <w:t xml:space="preserve">e incluso en contra de </w:t>
      </w:r>
      <w:r w:rsidR="00B43EBE" w:rsidRPr="004E3E07">
        <w:rPr>
          <w:rFonts w:ascii="Cambria" w:hAnsi="Cambria"/>
          <w:sz w:val="20"/>
          <w:szCs w:val="20"/>
          <w:lang w:val="es-MX"/>
        </w:rPr>
        <w:t>un agente de la Secretaría de Marina</w:t>
      </w:r>
      <w:r w:rsidRPr="004E3E07">
        <w:rPr>
          <w:rFonts w:ascii="Cambria" w:hAnsi="Cambria"/>
          <w:sz w:val="20"/>
          <w:szCs w:val="20"/>
          <w:lang w:val="es-MX"/>
        </w:rPr>
        <w:t xml:space="preserve"> </w:t>
      </w:r>
      <w:r w:rsidR="00661D93" w:rsidRPr="004E3E07">
        <w:rPr>
          <w:rFonts w:ascii="Cambria" w:hAnsi="Cambria"/>
          <w:sz w:val="20"/>
          <w:szCs w:val="20"/>
          <w:lang w:val="es-MX"/>
        </w:rPr>
        <w:t>(SEMAR)</w:t>
      </w:r>
      <w:r w:rsidRPr="004E3E07">
        <w:rPr>
          <w:rFonts w:ascii="Cambria" w:hAnsi="Cambria"/>
          <w:sz w:val="20"/>
          <w:szCs w:val="20"/>
          <w:lang w:val="es-MX"/>
        </w:rPr>
        <w:t xml:space="preserve"> </w:t>
      </w:r>
      <w:r w:rsidR="00B43EBE" w:rsidRPr="004E3E07">
        <w:rPr>
          <w:rFonts w:ascii="Cambria" w:hAnsi="Cambria"/>
          <w:sz w:val="20"/>
          <w:szCs w:val="20"/>
          <w:lang w:val="es-MX"/>
        </w:rPr>
        <w:t xml:space="preserve">y </w:t>
      </w:r>
      <w:r w:rsidRPr="004E3E07">
        <w:rPr>
          <w:rFonts w:ascii="Cambria" w:hAnsi="Cambria"/>
          <w:sz w:val="20"/>
          <w:szCs w:val="20"/>
          <w:lang w:val="es-MX"/>
        </w:rPr>
        <w:t xml:space="preserve">de </w:t>
      </w:r>
      <w:r w:rsidR="00B43EBE" w:rsidRPr="004E3E07">
        <w:rPr>
          <w:rFonts w:ascii="Cambria" w:hAnsi="Cambria"/>
          <w:sz w:val="20"/>
          <w:szCs w:val="20"/>
          <w:lang w:val="es-MX"/>
        </w:rPr>
        <w:t>un elemento de la</w:t>
      </w:r>
      <w:r w:rsidRPr="004E3E07">
        <w:rPr>
          <w:rFonts w:ascii="Cambria" w:hAnsi="Cambria"/>
          <w:sz w:val="20"/>
          <w:szCs w:val="20"/>
          <w:lang w:val="es-MX"/>
        </w:rPr>
        <w:t xml:space="preserve"> Secretaría de Defensa Nacional</w:t>
      </w:r>
      <w:r w:rsidR="00903D00" w:rsidRPr="004E3E07">
        <w:rPr>
          <w:rFonts w:ascii="Cambria" w:hAnsi="Cambria"/>
          <w:sz w:val="20"/>
          <w:szCs w:val="20"/>
          <w:lang w:val="es-MX"/>
        </w:rPr>
        <w:t xml:space="preserve"> (SEDENA)</w:t>
      </w:r>
      <w:r w:rsidRPr="004E3E07">
        <w:rPr>
          <w:rFonts w:ascii="Cambria" w:hAnsi="Cambria"/>
          <w:sz w:val="20"/>
          <w:szCs w:val="20"/>
          <w:lang w:val="es-MX"/>
        </w:rPr>
        <w:t xml:space="preserve">. </w:t>
      </w:r>
      <w:r w:rsidRPr="004E3E07">
        <w:rPr>
          <w:rFonts w:ascii="Cambria" w:eastAsia="Cambria" w:hAnsi="Cambria" w:cs="Cambria"/>
          <w:sz w:val="20"/>
          <w:szCs w:val="20"/>
          <w:lang w:val="es-MX"/>
        </w:rPr>
        <w:t xml:space="preserve">En particular, el Estado mexicano destacó las órdenes de aprehensión </w:t>
      </w:r>
      <w:r w:rsidR="0072255A" w:rsidRPr="004E3E07">
        <w:rPr>
          <w:rFonts w:ascii="Cambria" w:eastAsia="Cambria" w:hAnsi="Cambria" w:cs="Cambria"/>
          <w:sz w:val="20"/>
          <w:szCs w:val="20"/>
          <w:lang w:val="es-MX"/>
        </w:rPr>
        <w:t xml:space="preserve">libradas </w:t>
      </w:r>
      <w:r w:rsidRPr="004E3E07">
        <w:rPr>
          <w:rFonts w:ascii="Cambria" w:eastAsia="Cambria" w:hAnsi="Cambria" w:cs="Cambria"/>
          <w:sz w:val="20"/>
          <w:szCs w:val="20"/>
          <w:lang w:val="es-MX"/>
        </w:rPr>
        <w:t xml:space="preserve">en contra </w:t>
      </w:r>
      <w:r w:rsidR="00736E75">
        <w:rPr>
          <w:rFonts w:ascii="Cambria" w:eastAsia="Cambria" w:hAnsi="Cambria" w:cs="Cambria"/>
          <w:sz w:val="20"/>
          <w:szCs w:val="20"/>
          <w:lang w:val="es-MX"/>
        </w:rPr>
        <w:t>del</w:t>
      </w:r>
      <w:r w:rsidRPr="004E3E07">
        <w:rPr>
          <w:rFonts w:ascii="Cambria" w:eastAsia="Cambria" w:hAnsi="Cambria" w:cs="Cambria"/>
          <w:sz w:val="20"/>
          <w:szCs w:val="20"/>
          <w:lang w:val="es-MX"/>
        </w:rPr>
        <w:t xml:space="preserve"> extitular de la Agencia de Investigación Criminal, </w:t>
      </w:r>
      <w:r w:rsidR="00E46433" w:rsidRPr="004E3E07">
        <w:rPr>
          <w:rFonts w:ascii="Cambria" w:eastAsia="Cambria" w:hAnsi="Cambria" w:cs="Cambria"/>
          <w:sz w:val="20"/>
          <w:szCs w:val="20"/>
          <w:lang w:val="es-MX"/>
        </w:rPr>
        <w:t xml:space="preserve">quien se encontraría </w:t>
      </w:r>
      <w:r w:rsidR="00736E75">
        <w:rPr>
          <w:rFonts w:ascii="Cambria" w:eastAsia="Cambria" w:hAnsi="Cambria" w:cs="Cambria"/>
          <w:sz w:val="20"/>
          <w:szCs w:val="20"/>
          <w:lang w:val="es-MX"/>
        </w:rPr>
        <w:t>en Israel</w:t>
      </w:r>
      <w:r w:rsidR="001C0142" w:rsidRPr="00BA6325">
        <w:rPr>
          <w:rFonts w:ascii="Cambria" w:eastAsia="Cambria" w:hAnsi="Cambria" w:cs="Cambria"/>
          <w:sz w:val="20"/>
          <w:szCs w:val="20"/>
          <w:lang w:val="es-MX"/>
        </w:rPr>
        <w:t>,</w:t>
      </w:r>
      <w:r w:rsidR="00736E75">
        <w:rPr>
          <w:rFonts w:ascii="Cambria" w:eastAsia="Cambria" w:hAnsi="Cambria" w:cs="Cambria"/>
          <w:sz w:val="20"/>
          <w:szCs w:val="20"/>
          <w:lang w:val="es-MX"/>
        </w:rPr>
        <w:t xml:space="preserve"> </w:t>
      </w:r>
      <w:r w:rsidR="0072255A" w:rsidRPr="004E3E07">
        <w:rPr>
          <w:rFonts w:ascii="Cambria" w:eastAsia="Cambria" w:hAnsi="Cambria" w:cs="Cambria"/>
          <w:sz w:val="20"/>
          <w:szCs w:val="20"/>
          <w:lang w:val="es-MX"/>
        </w:rPr>
        <w:t xml:space="preserve">y en contra </w:t>
      </w:r>
      <w:r w:rsidR="00736E75">
        <w:rPr>
          <w:rFonts w:ascii="Cambria" w:eastAsia="Cambria" w:hAnsi="Cambria" w:cs="Cambria"/>
          <w:sz w:val="20"/>
          <w:szCs w:val="20"/>
          <w:lang w:val="es-MX"/>
        </w:rPr>
        <w:t>del</w:t>
      </w:r>
      <w:r w:rsidRPr="004E3E07">
        <w:rPr>
          <w:rFonts w:ascii="Cambria" w:eastAsia="Cambria" w:hAnsi="Cambria" w:cs="Cambria"/>
          <w:sz w:val="20"/>
          <w:szCs w:val="20"/>
          <w:lang w:val="es-MX"/>
        </w:rPr>
        <w:t xml:space="preserve"> extitular de la Policía Federal Ministerial, quienes fueron altos mandos de la</w:t>
      </w:r>
      <w:r w:rsidR="00736E75">
        <w:rPr>
          <w:rFonts w:ascii="Cambria" w:eastAsia="Cambria" w:hAnsi="Cambria" w:cs="Cambria"/>
          <w:sz w:val="20"/>
          <w:szCs w:val="20"/>
          <w:lang w:val="es-MX"/>
        </w:rPr>
        <w:t xml:space="preserve"> extinta</w:t>
      </w:r>
      <w:r w:rsidRPr="004E3E07">
        <w:rPr>
          <w:rFonts w:ascii="Cambria" w:eastAsia="Cambria" w:hAnsi="Cambria" w:cs="Cambria"/>
          <w:sz w:val="20"/>
          <w:szCs w:val="20"/>
          <w:lang w:val="es-MX"/>
        </w:rPr>
        <w:t xml:space="preserve"> </w:t>
      </w:r>
      <w:r w:rsidR="0072255A" w:rsidRPr="004E3E07">
        <w:rPr>
          <w:rFonts w:ascii="Cambria" w:eastAsia="Cambria" w:hAnsi="Cambria" w:cs="Cambria"/>
          <w:sz w:val="20"/>
          <w:szCs w:val="20"/>
          <w:lang w:val="es-MX"/>
        </w:rPr>
        <w:t>PGR</w:t>
      </w:r>
      <w:r w:rsidRPr="004E3E07">
        <w:rPr>
          <w:rFonts w:ascii="Cambria" w:eastAsia="Cambria" w:hAnsi="Cambria" w:cs="Cambria"/>
          <w:sz w:val="20"/>
          <w:szCs w:val="20"/>
          <w:lang w:val="es-MX"/>
        </w:rPr>
        <w:t xml:space="preserve">. </w:t>
      </w:r>
    </w:p>
    <w:p w14:paraId="26DF1DB6" w14:textId="499081C3" w:rsidR="00B43EBE" w:rsidRPr="004E3E07" w:rsidRDefault="00F85B59" w:rsidP="0022706D">
      <w:pPr>
        <w:numPr>
          <w:ilvl w:val="0"/>
          <w:numId w:val="5"/>
        </w:numPr>
        <w:shd w:val="clear" w:color="auto" w:fill="FFFFFF"/>
        <w:spacing w:after="240" w:line="240" w:lineRule="auto"/>
        <w:ind w:left="0" w:firstLine="720"/>
        <w:jc w:val="both"/>
        <w:rPr>
          <w:rFonts w:ascii="Cambria" w:eastAsia="Cambria" w:hAnsi="Cambria" w:cs="Cambria"/>
          <w:sz w:val="20"/>
          <w:szCs w:val="20"/>
          <w:lang w:val="es-MX"/>
        </w:rPr>
      </w:pPr>
      <w:r w:rsidRPr="004E3E07">
        <w:rPr>
          <w:rFonts w:ascii="Cambria" w:eastAsia="Cambria" w:hAnsi="Cambria" w:cs="Cambria"/>
          <w:sz w:val="20"/>
          <w:szCs w:val="20"/>
          <w:lang w:val="es-MX"/>
        </w:rPr>
        <w:t>Aunado a lo anterior</w:t>
      </w:r>
      <w:r w:rsidR="0022706D" w:rsidRPr="004E3E07">
        <w:rPr>
          <w:rFonts w:ascii="Cambria" w:eastAsia="Cambria" w:hAnsi="Cambria" w:cs="Cambria"/>
          <w:sz w:val="20"/>
          <w:szCs w:val="20"/>
          <w:lang w:val="es-MX"/>
        </w:rPr>
        <w:t xml:space="preserve">, el Estado </w:t>
      </w:r>
      <w:r w:rsidRPr="004E3E07">
        <w:rPr>
          <w:rFonts w:ascii="Cambria" w:eastAsia="Cambria" w:hAnsi="Cambria" w:cs="Cambria"/>
          <w:sz w:val="20"/>
          <w:szCs w:val="20"/>
          <w:lang w:val="es-MX"/>
        </w:rPr>
        <w:t xml:space="preserve">indicó que la UEILCA tiene el mandato </w:t>
      </w:r>
      <w:r w:rsidR="00BD4B62" w:rsidRPr="004E3E07">
        <w:rPr>
          <w:rFonts w:ascii="Cambria" w:eastAsia="Cambria" w:hAnsi="Cambria" w:cs="Cambria"/>
          <w:sz w:val="20"/>
          <w:szCs w:val="20"/>
          <w:lang w:val="es-MX"/>
        </w:rPr>
        <w:t>para</w:t>
      </w:r>
      <w:r w:rsidRPr="004E3E07">
        <w:rPr>
          <w:rFonts w:ascii="Cambria" w:eastAsia="Cambria" w:hAnsi="Cambria" w:cs="Cambria"/>
          <w:sz w:val="20"/>
          <w:szCs w:val="20"/>
          <w:lang w:val="es-MX"/>
        </w:rPr>
        <w:t xml:space="preserve"> investigar las denuncias de hechos posiblemente constitutivos de los delitos de tortura, así como de delitos contra la administración de la justicia</w:t>
      </w:r>
      <w:r w:rsidR="0072255A" w:rsidRPr="004E3E07">
        <w:rPr>
          <w:rFonts w:ascii="Cambria" w:eastAsia="Cambria" w:hAnsi="Cambria" w:cs="Cambria"/>
          <w:sz w:val="20"/>
          <w:szCs w:val="20"/>
          <w:lang w:val="es-MX"/>
        </w:rPr>
        <w:t xml:space="preserve"> </w:t>
      </w:r>
      <w:r w:rsidRPr="004E3E07">
        <w:rPr>
          <w:rFonts w:ascii="Cambria" w:eastAsia="Cambria" w:hAnsi="Cambria" w:cs="Cambria"/>
          <w:sz w:val="20"/>
          <w:szCs w:val="20"/>
          <w:lang w:val="es-MX"/>
        </w:rPr>
        <w:t>probablemente relacionados con los hechos del caso Ayotzinapa</w:t>
      </w:r>
      <w:r w:rsidR="00BD4B62" w:rsidRPr="004E3E07">
        <w:rPr>
          <w:rStyle w:val="FootnoteReference"/>
          <w:rFonts w:ascii="Cambria" w:eastAsia="Cambria" w:hAnsi="Cambria" w:cs="Cambria"/>
          <w:sz w:val="20"/>
          <w:szCs w:val="20"/>
          <w:lang w:val="es-MX"/>
        </w:rPr>
        <w:footnoteReference w:id="119"/>
      </w:r>
      <w:r w:rsidRPr="004E3E07">
        <w:rPr>
          <w:rFonts w:ascii="Cambria" w:eastAsia="Cambria" w:hAnsi="Cambria" w:cs="Cambria"/>
          <w:sz w:val="20"/>
          <w:szCs w:val="20"/>
          <w:lang w:val="es-MX"/>
        </w:rPr>
        <w:t xml:space="preserve">. </w:t>
      </w:r>
      <w:r w:rsidR="00E46433" w:rsidRPr="004E3E07">
        <w:rPr>
          <w:rFonts w:ascii="Cambria" w:eastAsia="Cambria" w:hAnsi="Cambria" w:cs="Cambria"/>
          <w:sz w:val="20"/>
          <w:szCs w:val="20"/>
          <w:lang w:val="es-MX"/>
        </w:rPr>
        <w:t>Sobre el particular</w:t>
      </w:r>
      <w:r w:rsidR="00BD4B62" w:rsidRPr="004E3E07">
        <w:rPr>
          <w:rFonts w:ascii="Cambria" w:eastAsia="Cambria" w:hAnsi="Cambria" w:cs="Cambria"/>
          <w:sz w:val="20"/>
          <w:szCs w:val="20"/>
          <w:lang w:val="es-MX"/>
        </w:rPr>
        <w:t>, la C</w:t>
      </w:r>
      <w:r w:rsidR="00E46433" w:rsidRPr="004E3E07">
        <w:rPr>
          <w:rFonts w:ascii="Cambria" w:eastAsia="Cambria" w:hAnsi="Cambria" w:cs="Cambria"/>
          <w:sz w:val="20"/>
          <w:szCs w:val="20"/>
          <w:lang w:val="es-MX"/>
        </w:rPr>
        <w:t>IDH</w:t>
      </w:r>
      <w:r w:rsidR="00BD4B62" w:rsidRPr="004E3E07">
        <w:rPr>
          <w:rFonts w:ascii="Cambria" w:eastAsia="Cambria" w:hAnsi="Cambria" w:cs="Cambria"/>
          <w:sz w:val="20"/>
          <w:szCs w:val="20"/>
          <w:lang w:val="es-MX"/>
        </w:rPr>
        <w:t xml:space="preserve"> tiene </w:t>
      </w:r>
      <w:r w:rsidR="00E46433" w:rsidRPr="004E3E07">
        <w:rPr>
          <w:rFonts w:ascii="Cambria" w:eastAsia="Cambria" w:hAnsi="Cambria" w:cs="Cambria"/>
          <w:sz w:val="20"/>
          <w:szCs w:val="20"/>
          <w:lang w:val="es-MX"/>
        </w:rPr>
        <w:t>conocimiento de</w:t>
      </w:r>
      <w:r w:rsidR="00BD4B62" w:rsidRPr="004E3E07">
        <w:rPr>
          <w:rFonts w:ascii="Cambria" w:eastAsia="Cambria" w:hAnsi="Cambria" w:cs="Cambria"/>
          <w:sz w:val="20"/>
          <w:szCs w:val="20"/>
          <w:lang w:val="es-MX"/>
        </w:rPr>
        <w:t xml:space="preserve"> la vinculación a proceso de dos exfuncionarios de la Coordinación General de Servicios Periciales de la </w:t>
      </w:r>
      <w:r w:rsidR="001C0142" w:rsidRPr="00BA6325">
        <w:rPr>
          <w:rFonts w:ascii="Cambria" w:eastAsia="Cambria" w:hAnsi="Cambria" w:cs="Cambria"/>
          <w:sz w:val="20"/>
          <w:szCs w:val="20"/>
          <w:lang w:val="es-MX"/>
        </w:rPr>
        <w:t>antigua</w:t>
      </w:r>
      <w:r w:rsidR="00BD4B62" w:rsidRPr="004E3E07">
        <w:rPr>
          <w:rFonts w:ascii="Cambria" w:eastAsia="Cambria" w:hAnsi="Cambria" w:cs="Cambria"/>
          <w:sz w:val="20"/>
          <w:szCs w:val="20"/>
          <w:lang w:val="es-MX"/>
        </w:rPr>
        <w:t xml:space="preserve"> PGR por su presunta participación en la manipulación de evidencia en </w:t>
      </w:r>
      <w:r w:rsidR="00E46433" w:rsidRPr="004E3E07">
        <w:rPr>
          <w:rFonts w:ascii="Cambria" w:eastAsia="Cambria" w:hAnsi="Cambria" w:cs="Cambria"/>
          <w:sz w:val="20"/>
          <w:szCs w:val="20"/>
          <w:lang w:val="es-MX"/>
        </w:rPr>
        <w:t>la escena d</w:t>
      </w:r>
      <w:r w:rsidR="00BD4B62" w:rsidRPr="004E3E07">
        <w:rPr>
          <w:rFonts w:ascii="Cambria" w:eastAsia="Cambria" w:hAnsi="Cambria" w:cs="Cambria"/>
          <w:sz w:val="20"/>
          <w:szCs w:val="20"/>
          <w:lang w:val="es-MX"/>
        </w:rPr>
        <w:t>el Río San Juan</w:t>
      </w:r>
      <w:r w:rsidR="00BD4B62" w:rsidRPr="004E3E07">
        <w:rPr>
          <w:rStyle w:val="FootnoteReference"/>
          <w:rFonts w:ascii="Cambria" w:eastAsia="Cambria" w:hAnsi="Cambria" w:cs="Cambria"/>
          <w:sz w:val="20"/>
          <w:szCs w:val="20"/>
          <w:lang w:val="es-MX"/>
        </w:rPr>
        <w:footnoteReference w:id="120"/>
      </w:r>
      <w:r w:rsidR="00BD4B62" w:rsidRPr="004E3E07">
        <w:rPr>
          <w:rFonts w:ascii="Cambria" w:eastAsia="Cambria" w:hAnsi="Cambria" w:cs="Cambria"/>
          <w:sz w:val="20"/>
          <w:szCs w:val="20"/>
          <w:lang w:val="es-MX"/>
        </w:rPr>
        <w:t xml:space="preserve">. </w:t>
      </w:r>
      <w:r w:rsidR="00E46433" w:rsidRPr="004E3E07">
        <w:rPr>
          <w:rFonts w:ascii="Cambria" w:eastAsia="Cambria" w:hAnsi="Cambria" w:cs="Cambria"/>
          <w:sz w:val="20"/>
          <w:szCs w:val="20"/>
          <w:lang w:val="es-MX"/>
        </w:rPr>
        <w:t>Por otro lado, el Estado reportó</w:t>
      </w:r>
      <w:r w:rsidR="0022706D" w:rsidRPr="004E3E07">
        <w:rPr>
          <w:rFonts w:ascii="Cambria" w:eastAsia="Cambria" w:hAnsi="Cambria" w:cs="Cambria"/>
          <w:sz w:val="20"/>
          <w:szCs w:val="20"/>
          <w:lang w:val="es-MX"/>
        </w:rPr>
        <w:t xml:space="preserve"> el inicio de dos </w:t>
      </w:r>
      <w:r w:rsidR="0072255A" w:rsidRPr="004E3E07">
        <w:rPr>
          <w:rFonts w:ascii="Cambria" w:eastAsia="Cambria" w:hAnsi="Cambria" w:cs="Cambria"/>
          <w:sz w:val="20"/>
          <w:szCs w:val="20"/>
          <w:lang w:val="es-MX"/>
        </w:rPr>
        <w:t>causas</w:t>
      </w:r>
      <w:r w:rsidR="0022706D" w:rsidRPr="004E3E07">
        <w:rPr>
          <w:rFonts w:ascii="Cambria" w:eastAsia="Cambria" w:hAnsi="Cambria" w:cs="Cambria"/>
          <w:sz w:val="20"/>
          <w:szCs w:val="20"/>
          <w:lang w:val="es-MX"/>
        </w:rPr>
        <w:t xml:space="preserve"> penales</w:t>
      </w:r>
      <w:r w:rsidR="00772498" w:rsidRPr="004E3E07">
        <w:rPr>
          <w:rStyle w:val="FootnoteReference"/>
          <w:rFonts w:ascii="Cambria" w:eastAsia="Cambria" w:hAnsi="Cambria" w:cs="Cambria"/>
          <w:sz w:val="20"/>
          <w:szCs w:val="20"/>
          <w:lang w:val="es-MX"/>
        </w:rPr>
        <w:footnoteReference w:id="121"/>
      </w:r>
      <w:r w:rsidR="0022706D" w:rsidRPr="004E3E07">
        <w:rPr>
          <w:rFonts w:ascii="Cambria" w:eastAsia="Cambria" w:hAnsi="Cambria" w:cs="Cambria"/>
          <w:sz w:val="20"/>
          <w:szCs w:val="20"/>
          <w:lang w:val="es-MX"/>
        </w:rPr>
        <w:t xml:space="preserve"> por los delitos de tortura </w:t>
      </w:r>
      <w:r w:rsidR="0022706D" w:rsidRPr="004E3E07">
        <w:rPr>
          <w:rFonts w:ascii="Cambria" w:hAnsi="Cambria"/>
          <w:sz w:val="20"/>
          <w:szCs w:val="20"/>
          <w:lang w:val="es-MX"/>
        </w:rPr>
        <w:t>en las que se obtuvieron dos autos de prisión formal en contra de cuatro servidores públicos</w:t>
      </w:r>
      <w:r w:rsidR="0072255A" w:rsidRPr="004E3E07">
        <w:rPr>
          <w:rFonts w:ascii="Cambria" w:hAnsi="Cambria"/>
          <w:sz w:val="20"/>
          <w:szCs w:val="20"/>
          <w:lang w:val="es-MX"/>
        </w:rPr>
        <w:t xml:space="preserve"> </w:t>
      </w:r>
      <w:r w:rsidR="0022706D" w:rsidRPr="004E3E07">
        <w:rPr>
          <w:rFonts w:ascii="Cambria" w:hAnsi="Cambria"/>
          <w:sz w:val="20"/>
          <w:szCs w:val="20"/>
          <w:lang w:val="es-MX"/>
        </w:rPr>
        <w:t xml:space="preserve">y en contra de tres </w:t>
      </w:r>
      <w:r w:rsidR="0072255A" w:rsidRPr="004E3E07">
        <w:rPr>
          <w:rFonts w:ascii="Cambria" w:hAnsi="Cambria"/>
          <w:sz w:val="20"/>
          <w:szCs w:val="20"/>
          <w:lang w:val="es-MX"/>
        </w:rPr>
        <w:t>servidores públicos, respectivamente</w:t>
      </w:r>
      <w:r w:rsidR="0022706D" w:rsidRPr="004E3E07">
        <w:rPr>
          <w:rStyle w:val="FootnoteReference"/>
          <w:rFonts w:ascii="Cambria" w:eastAsia="Cambria" w:hAnsi="Cambria" w:cs="Cambria"/>
          <w:sz w:val="20"/>
          <w:szCs w:val="20"/>
          <w:lang w:val="es-MX"/>
        </w:rPr>
        <w:footnoteReference w:id="122"/>
      </w:r>
      <w:r w:rsidR="0022706D" w:rsidRPr="004E3E07">
        <w:rPr>
          <w:rFonts w:ascii="Cambria" w:hAnsi="Cambria"/>
          <w:sz w:val="20"/>
          <w:szCs w:val="20"/>
          <w:lang w:val="es-MX"/>
        </w:rPr>
        <w:t xml:space="preserve">. </w:t>
      </w:r>
    </w:p>
    <w:p w14:paraId="0A3418C3" w14:textId="459AD21C" w:rsidR="00E97D3B" w:rsidRPr="004E3E07" w:rsidRDefault="00E97D3B" w:rsidP="00E97D3B">
      <w:pPr>
        <w:numPr>
          <w:ilvl w:val="0"/>
          <w:numId w:val="5"/>
        </w:numPr>
        <w:shd w:val="clear" w:color="auto" w:fill="FFFFFF"/>
        <w:spacing w:after="240" w:line="240" w:lineRule="auto"/>
        <w:ind w:left="0" w:firstLine="720"/>
        <w:jc w:val="both"/>
        <w:rPr>
          <w:rFonts w:ascii="Cambria" w:eastAsia="Cambria" w:hAnsi="Cambria" w:cs="Cambria"/>
          <w:sz w:val="20"/>
          <w:szCs w:val="20"/>
          <w:lang w:val="es-MX"/>
        </w:rPr>
      </w:pPr>
      <w:r w:rsidRPr="004E3E07">
        <w:rPr>
          <w:rFonts w:ascii="Cambria" w:hAnsi="Cambria" w:cs="Tahoma"/>
          <w:sz w:val="20"/>
          <w:szCs w:val="20"/>
          <w:shd w:val="clear" w:color="auto" w:fill="FFFFFF"/>
          <w:lang w:val="es-MX"/>
        </w:rPr>
        <w:t xml:space="preserve">La Comisión observa positivamente </w:t>
      </w:r>
      <w:r w:rsidR="001C0142" w:rsidRPr="00BA6325">
        <w:rPr>
          <w:rFonts w:ascii="Cambria" w:hAnsi="Cambria" w:cs="Tahoma"/>
          <w:sz w:val="20"/>
          <w:szCs w:val="20"/>
          <w:shd w:val="clear" w:color="auto" w:fill="FFFFFF"/>
          <w:lang w:val="es-MX"/>
        </w:rPr>
        <w:t>que</w:t>
      </w:r>
      <w:r w:rsidRPr="00BA6325">
        <w:rPr>
          <w:rFonts w:ascii="Cambria" w:hAnsi="Cambria" w:cs="Tahoma"/>
          <w:sz w:val="20"/>
          <w:szCs w:val="20"/>
          <w:shd w:val="clear" w:color="auto" w:fill="FFFFFF"/>
          <w:lang w:val="es-MX"/>
        </w:rPr>
        <w:t xml:space="preserve"> </w:t>
      </w:r>
      <w:r w:rsidR="00AC668F">
        <w:rPr>
          <w:rFonts w:ascii="Cambria" w:hAnsi="Cambria" w:cs="Tahoma"/>
          <w:sz w:val="20"/>
          <w:szCs w:val="20"/>
          <w:shd w:val="clear" w:color="auto" w:fill="FFFFFF"/>
          <w:lang w:val="es-MX"/>
        </w:rPr>
        <w:t>el Es</w:t>
      </w:r>
      <w:r w:rsidR="00A53C8A">
        <w:rPr>
          <w:rFonts w:ascii="Cambria" w:hAnsi="Cambria" w:cs="Tahoma"/>
          <w:sz w:val="20"/>
          <w:szCs w:val="20"/>
          <w:shd w:val="clear" w:color="auto" w:fill="FFFFFF"/>
          <w:lang w:val="es-MX"/>
        </w:rPr>
        <w:t>t</w:t>
      </w:r>
      <w:r w:rsidR="00AC668F">
        <w:rPr>
          <w:rFonts w:ascii="Cambria" w:hAnsi="Cambria" w:cs="Tahoma"/>
          <w:sz w:val="20"/>
          <w:szCs w:val="20"/>
          <w:shd w:val="clear" w:color="auto" w:fill="FFFFFF"/>
          <w:lang w:val="es-MX"/>
        </w:rPr>
        <w:t xml:space="preserve">ado ha procurado el flujo de información por parte de sus instituciones </w:t>
      </w:r>
      <w:r w:rsidR="00A53C8A">
        <w:rPr>
          <w:rFonts w:ascii="Cambria" w:hAnsi="Cambria" w:cs="Tahoma"/>
          <w:sz w:val="20"/>
          <w:szCs w:val="20"/>
          <w:shd w:val="clear" w:color="auto" w:fill="FFFFFF"/>
          <w:lang w:val="es-MX"/>
        </w:rPr>
        <w:t>logrando</w:t>
      </w:r>
      <w:r w:rsidRPr="004E3E07">
        <w:rPr>
          <w:rFonts w:ascii="Cambria" w:hAnsi="Cambria" w:cs="Tahoma"/>
          <w:sz w:val="20"/>
          <w:szCs w:val="20"/>
          <w:shd w:val="clear" w:color="auto" w:fill="FFFFFF"/>
          <w:lang w:val="es-MX"/>
        </w:rPr>
        <w:t xml:space="preserve"> </w:t>
      </w:r>
      <w:r w:rsidR="00447DF6">
        <w:rPr>
          <w:rFonts w:ascii="Cambria" w:hAnsi="Cambria" w:cs="Tahoma"/>
          <w:sz w:val="20"/>
          <w:szCs w:val="20"/>
          <w:shd w:val="clear" w:color="auto" w:fill="FFFFFF"/>
          <w:lang w:val="es-MX"/>
        </w:rPr>
        <w:t xml:space="preserve">el </w:t>
      </w:r>
      <w:r w:rsidRPr="004E3E07">
        <w:rPr>
          <w:rFonts w:ascii="Cambria" w:hAnsi="Cambria" w:cs="Tahoma"/>
          <w:sz w:val="20"/>
          <w:szCs w:val="20"/>
          <w:shd w:val="clear" w:color="auto" w:fill="FFFFFF"/>
          <w:lang w:val="es-MX"/>
        </w:rPr>
        <w:t>acceso a información de inteligencia que no había sido aportada en la primera fase de la investigación. En particular, la CIDH toma nota de que, en el marco de las actividades de la COVAJ, se han cumplimentado algunos requerimientos realizados por el GIEI para acceder a documentos e información relacionados con los hechos del caso de distintas instituciones de seguridad e inteligencia.</w:t>
      </w:r>
    </w:p>
    <w:p w14:paraId="4B912B66" w14:textId="0CF4530E" w:rsidR="00903D00" w:rsidRPr="004E3E07" w:rsidRDefault="00903D00" w:rsidP="00903D00">
      <w:pPr>
        <w:numPr>
          <w:ilvl w:val="0"/>
          <w:numId w:val="5"/>
        </w:numPr>
        <w:shd w:val="clear" w:color="auto" w:fill="FFFFFF"/>
        <w:spacing w:after="240" w:line="240" w:lineRule="auto"/>
        <w:ind w:left="0" w:firstLine="720"/>
        <w:jc w:val="both"/>
        <w:rPr>
          <w:rFonts w:ascii="Cambria" w:eastAsia="Cambria" w:hAnsi="Cambria" w:cs="Cambria"/>
          <w:sz w:val="20"/>
          <w:szCs w:val="20"/>
          <w:lang w:val="es-MX"/>
        </w:rPr>
      </w:pPr>
      <w:r w:rsidRPr="004E3E07">
        <w:rPr>
          <w:rFonts w:ascii="Cambria" w:eastAsia="Cambria" w:hAnsi="Cambria" w:cs="Cambria"/>
          <w:sz w:val="20"/>
          <w:szCs w:val="20"/>
          <w:lang w:val="es-MX"/>
        </w:rPr>
        <w:t xml:space="preserve">Por otro lado, la CIDH </w:t>
      </w:r>
      <w:r w:rsidR="00E97D3B" w:rsidRPr="004E3E07">
        <w:rPr>
          <w:rFonts w:ascii="Cambria" w:eastAsia="Cambria" w:hAnsi="Cambria" w:cs="Cambria"/>
          <w:sz w:val="20"/>
          <w:szCs w:val="20"/>
          <w:lang w:val="es-MX"/>
        </w:rPr>
        <w:t xml:space="preserve">observa que </w:t>
      </w:r>
      <w:r w:rsidR="00736E75">
        <w:rPr>
          <w:rFonts w:ascii="Cambria" w:eastAsia="Cambria" w:hAnsi="Cambria" w:cs="Cambria"/>
          <w:sz w:val="20"/>
          <w:szCs w:val="20"/>
          <w:lang w:val="es-MX"/>
        </w:rPr>
        <w:t xml:space="preserve">el Estado </w:t>
      </w:r>
      <w:r w:rsidR="00025002" w:rsidRPr="004E3E07">
        <w:rPr>
          <w:rFonts w:ascii="Cambria" w:eastAsia="Cambria" w:hAnsi="Cambria" w:cs="Cambria"/>
          <w:sz w:val="20"/>
          <w:szCs w:val="20"/>
          <w:lang w:val="es-MX"/>
        </w:rPr>
        <w:t>divulgó</w:t>
      </w:r>
      <w:r w:rsidR="00582E81" w:rsidRPr="004E3E07">
        <w:rPr>
          <w:rFonts w:ascii="Cambria" w:eastAsia="Cambria" w:hAnsi="Cambria" w:cs="Cambria"/>
          <w:sz w:val="20"/>
          <w:szCs w:val="20"/>
          <w:lang w:val="es-MX"/>
        </w:rPr>
        <w:t xml:space="preserve"> </w:t>
      </w:r>
      <w:r w:rsidRPr="004E3E07">
        <w:rPr>
          <w:rFonts w:ascii="Cambria" w:eastAsia="Cambria" w:hAnsi="Cambria" w:cs="Cambria"/>
          <w:sz w:val="20"/>
          <w:szCs w:val="20"/>
          <w:lang w:val="es-MX"/>
        </w:rPr>
        <w:t xml:space="preserve">documentos </w:t>
      </w:r>
      <w:r w:rsidR="00582E81" w:rsidRPr="004E3E07">
        <w:rPr>
          <w:rFonts w:ascii="Cambria" w:eastAsia="Cambria" w:hAnsi="Cambria" w:cs="Cambria"/>
          <w:sz w:val="20"/>
          <w:szCs w:val="20"/>
          <w:lang w:val="es-MX"/>
        </w:rPr>
        <w:t>que darían</w:t>
      </w:r>
      <w:r w:rsidRPr="004E3E07">
        <w:rPr>
          <w:rFonts w:ascii="Cambria" w:eastAsia="Cambria" w:hAnsi="Cambria" w:cs="Cambria"/>
          <w:sz w:val="20"/>
          <w:szCs w:val="20"/>
          <w:lang w:val="es-MX"/>
        </w:rPr>
        <w:t xml:space="preserve"> cuenta de comunicaciones </w:t>
      </w:r>
      <w:r w:rsidR="00582E81" w:rsidRPr="004E3E07">
        <w:rPr>
          <w:rFonts w:ascii="Cambria" w:eastAsia="Cambria" w:hAnsi="Cambria" w:cs="Cambria"/>
          <w:sz w:val="20"/>
          <w:szCs w:val="20"/>
          <w:lang w:val="es-MX"/>
        </w:rPr>
        <w:t xml:space="preserve">interceptadas por SEDENA en 2014 y </w:t>
      </w:r>
      <w:r w:rsidRPr="004E3E07">
        <w:rPr>
          <w:rFonts w:ascii="Cambria" w:eastAsia="Cambria" w:hAnsi="Cambria" w:cs="Cambria"/>
          <w:sz w:val="20"/>
          <w:szCs w:val="20"/>
          <w:lang w:val="es-MX"/>
        </w:rPr>
        <w:t>que estarían relacionadas con los hechos del caso Ayotzinapa</w:t>
      </w:r>
      <w:r w:rsidRPr="004E3E07">
        <w:rPr>
          <w:rStyle w:val="FootnoteReference"/>
          <w:rFonts w:ascii="Cambria" w:eastAsia="Cambria" w:hAnsi="Cambria" w:cs="Cambria"/>
          <w:sz w:val="20"/>
          <w:szCs w:val="20"/>
          <w:lang w:val="es-MX"/>
        </w:rPr>
        <w:footnoteReference w:id="123"/>
      </w:r>
      <w:r w:rsidRPr="004E3E07">
        <w:rPr>
          <w:rFonts w:ascii="Cambria" w:eastAsia="Cambria" w:hAnsi="Cambria" w:cs="Cambria"/>
          <w:sz w:val="20"/>
          <w:szCs w:val="20"/>
          <w:lang w:val="es-MX"/>
        </w:rPr>
        <w:t xml:space="preserve">. </w:t>
      </w:r>
      <w:r w:rsidR="00E97D3B" w:rsidRPr="004E3E07">
        <w:rPr>
          <w:rFonts w:ascii="Cambria" w:eastAsia="Cambria" w:hAnsi="Cambria" w:cs="Cambria"/>
          <w:sz w:val="20"/>
          <w:szCs w:val="20"/>
          <w:lang w:val="es-MX"/>
        </w:rPr>
        <w:t>L</w:t>
      </w:r>
      <w:r w:rsidRPr="004E3E07">
        <w:rPr>
          <w:rFonts w:ascii="Cambria" w:eastAsia="Cambria" w:hAnsi="Cambria" w:cs="Cambria"/>
          <w:sz w:val="20"/>
          <w:szCs w:val="20"/>
          <w:lang w:val="es-MX"/>
        </w:rPr>
        <w:t xml:space="preserve">a Comisión </w:t>
      </w:r>
      <w:r w:rsidR="00E97D3B" w:rsidRPr="004E3E07">
        <w:rPr>
          <w:rFonts w:ascii="Cambria" w:eastAsia="Cambria" w:hAnsi="Cambria" w:cs="Cambria"/>
          <w:sz w:val="20"/>
          <w:szCs w:val="20"/>
          <w:lang w:val="es-MX"/>
        </w:rPr>
        <w:t>toma</w:t>
      </w:r>
      <w:r w:rsidRPr="004E3E07">
        <w:rPr>
          <w:rFonts w:ascii="Cambria" w:eastAsia="Cambria" w:hAnsi="Cambria" w:cs="Cambria"/>
          <w:sz w:val="20"/>
          <w:szCs w:val="20"/>
          <w:lang w:val="es-MX"/>
        </w:rPr>
        <w:t xml:space="preserve"> nota del pronunciamiento </w:t>
      </w:r>
      <w:r w:rsidR="00582E81" w:rsidRPr="004E3E07">
        <w:rPr>
          <w:rFonts w:ascii="Cambria" w:eastAsia="Cambria" w:hAnsi="Cambria" w:cs="Cambria"/>
          <w:sz w:val="20"/>
          <w:szCs w:val="20"/>
          <w:lang w:val="es-MX"/>
        </w:rPr>
        <w:t xml:space="preserve">de las familias y </w:t>
      </w:r>
      <w:r w:rsidRPr="004E3E07">
        <w:rPr>
          <w:rFonts w:ascii="Cambria" w:eastAsia="Cambria" w:hAnsi="Cambria" w:cs="Cambria"/>
          <w:sz w:val="20"/>
          <w:szCs w:val="20"/>
          <w:lang w:val="es-MX"/>
        </w:rPr>
        <w:t xml:space="preserve">de la representación legal de los beneficiarios de la medida cautelar manifestando que, siendo integrantes de la COVAJ, no participaron de la decisión de </w:t>
      </w:r>
      <w:r w:rsidR="00582E81" w:rsidRPr="004E3E07">
        <w:rPr>
          <w:rFonts w:ascii="Cambria" w:eastAsia="Cambria" w:hAnsi="Cambria" w:cs="Cambria"/>
          <w:sz w:val="20"/>
          <w:szCs w:val="20"/>
          <w:lang w:val="es-MX"/>
        </w:rPr>
        <w:t>publicar</w:t>
      </w:r>
      <w:r w:rsidRPr="004E3E07">
        <w:rPr>
          <w:rFonts w:ascii="Cambria" w:eastAsia="Cambria" w:hAnsi="Cambria" w:cs="Cambria"/>
          <w:sz w:val="20"/>
          <w:szCs w:val="20"/>
          <w:lang w:val="es-MX"/>
        </w:rPr>
        <w:t xml:space="preserve"> los documentos difu</w:t>
      </w:r>
      <w:r w:rsidR="00582E81" w:rsidRPr="004E3E07">
        <w:rPr>
          <w:rFonts w:ascii="Cambria" w:eastAsia="Cambria" w:hAnsi="Cambria" w:cs="Cambria"/>
          <w:sz w:val="20"/>
          <w:szCs w:val="20"/>
          <w:lang w:val="es-MX"/>
        </w:rPr>
        <w:t>ndidos</w:t>
      </w:r>
      <w:r w:rsidR="001C0142" w:rsidRPr="00BA6325">
        <w:rPr>
          <w:rFonts w:ascii="Cambria" w:eastAsia="Cambria" w:hAnsi="Cambria" w:cs="Cambria"/>
          <w:sz w:val="20"/>
          <w:szCs w:val="20"/>
          <w:lang w:val="es-MX"/>
        </w:rPr>
        <w:t>, calificando</w:t>
      </w:r>
      <w:r w:rsidRPr="004E3E07">
        <w:rPr>
          <w:rFonts w:ascii="Cambria" w:eastAsia="Cambria" w:hAnsi="Cambria" w:cs="Cambria"/>
          <w:sz w:val="20"/>
          <w:szCs w:val="20"/>
          <w:lang w:val="es-MX"/>
        </w:rPr>
        <w:t xml:space="preserve"> de riesgosa su propagación. </w:t>
      </w:r>
      <w:r w:rsidR="00E97D3B" w:rsidRPr="004E3E07">
        <w:rPr>
          <w:rFonts w:ascii="Cambria" w:eastAsia="Cambria" w:hAnsi="Cambria" w:cs="Cambria"/>
          <w:sz w:val="20"/>
          <w:szCs w:val="20"/>
          <w:lang w:val="es-MX"/>
        </w:rPr>
        <w:t>A</w:t>
      </w:r>
      <w:r w:rsidR="006E7BF1" w:rsidRPr="004E3E07">
        <w:rPr>
          <w:rFonts w:ascii="Cambria" w:eastAsia="Cambria" w:hAnsi="Cambria" w:cs="Cambria"/>
          <w:sz w:val="20"/>
          <w:szCs w:val="20"/>
          <w:lang w:val="es-MX"/>
        </w:rPr>
        <w:t xml:space="preserve"> </w:t>
      </w:r>
      <w:r w:rsidR="00582E81" w:rsidRPr="004E3E07">
        <w:rPr>
          <w:rFonts w:ascii="Cambria" w:eastAsia="Cambria" w:hAnsi="Cambria" w:cs="Cambria"/>
          <w:sz w:val="20"/>
          <w:szCs w:val="20"/>
          <w:lang w:val="es-MX"/>
        </w:rPr>
        <w:t xml:space="preserve">solicitud de la </w:t>
      </w:r>
      <w:r w:rsidR="00E97D3B" w:rsidRPr="004E3E07">
        <w:rPr>
          <w:rFonts w:ascii="Cambria" w:eastAsia="Cambria" w:hAnsi="Cambria" w:cs="Cambria"/>
          <w:sz w:val="20"/>
          <w:szCs w:val="20"/>
          <w:lang w:val="es-MX"/>
        </w:rPr>
        <w:t>parte representante</w:t>
      </w:r>
      <w:r w:rsidR="00582E81" w:rsidRPr="004E3E07">
        <w:rPr>
          <w:rFonts w:ascii="Cambria" w:eastAsia="Cambria" w:hAnsi="Cambria" w:cs="Cambria"/>
          <w:sz w:val="20"/>
          <w:szCs w:val="20"/>
          <w:lang w:val="es-MX"/>
        </w:rPr>
        <w:t>,</w:t>
      </w:r>
      <w:r w:rsidRPr="004E3E07">
        <w:rPr>
          <w:rFonts w:ascii="Cambria" w:eastAsia="Cambria" w:hAnsi="Cambria" w:cs="Cambria"/>
          <w:sz w:val="20"/>
          <w:szCs w:val="20"/>
          <w:lang w:val="es-MX"/>
        </w:rPr>
        <w:t xml:space="preserve"> </w:t>
      </w:r>
      <w:r w:rsidR="00582E81" w:rsidRPr="004E3E07">
        <w:rPr>
          <w:rFonts w:ascii="Cambria" w:eastAsia="Cambria" w:hAnsi="Cambria" w:cs="Cambria"/>
          <w:sz w:val="20"/>
          <w:szCs w:val="20"/>
          <w:lang w:val="es-MX"/>
        </w:rPr>
        <w:t>s</w:t>
      </w:r>
      <w:r w:rsidR="009241F8" w:rsidRPr="004E3E07">
        <w:rPr>
          <w:rFonts w:ascii="Cambria" w:eastAsia="Cambria" w:hAnsi="Cambria" w:cs="Cambria"/>
          <w:sz w:val="20"/>
          <w:szCs w:val="20"/>
          <w:lang w:val="es-MX"/>
        </w:rPr>
        <w:t>e iniciaron</w:t>
      </w:r>
      <w:r w:rsidR="00582E81" w:rsidRPr="004E3E07">
        <w:rPr>
          <w:rFonts w:ascii="Cambria" w:eastAsia="Cambria" w:hAnsi="Cambria" w:cs="Cambria"/>
          <w:sz w:val="20"/>
          <w:szCs w:val="20"/>
          <w:lang w:val="es-MX"/>
        </w:rPr>
        <w:t xml:space="preserve"> </w:t>
      </w:r>
      <w:r w:rsidRPr="004E3E07">
        <w:rPr>
          <w:rFonts w:ascii="Cambria" w:eastAsia="Cambria" w:hAnsi="Cambria" w:cs="Cambria"/>
          <w:sz w:val="20"/>
          <w:szCs w:val="20"/>
          <w:lang w:val="es-MX"/>
        </w:rPr>
        <w:t>actos de investigac</w:t>
      </w:r>
      <w:r w:rsidR="00582E81" w:rsidRPr="004E3E07">
        <w:rPr>
          <w:rFonts w:ascii="Cambria" w:eastAsia="Cambria" w:hAnsi="Cambria" w:cs="Cambria"/>
          <w:sz w:val="20"/>
          <w:szCs w:val="20"/>
          <w:lang w:val="es-MX"/>
        </w:rPr>
        <w:t xml:space="preserve">ión </w:t>
      </w:r>
      <w:r w:rsidR="009241F8" w:rsidRPr="004E3E07">
        <w:rPr>
          <w:rFonts w:ascii="Cambria" w:eastAsia="Cambria" w:hAnsi="Cambria" w:cs="Cambria"/>
          <w:sz w:val="20"/>
          <w:szCs w:val="20"/>
          <w:lang w:val="es-MX"/>
        </w:rPr>
        <w:t xml:space="preserve">respecto de SEDENA </w:t>
      </w:r>
      <w:r w:rsidR="00582E81" w:rsidRPr="004E3E07">
        <w:rPr>
          <w:rFonts w:ascii="Cambria" w:eastAsia="Cambria" w:hAnsi="Cambria" w:cs="Cambria"/>
          <w:sz w:val="20"/>
          <w:szCs w:val="20"/>
          <w:lang w:val="es-MX"/>
        </w:rPr>
        <w:t xml:space="preserve">para conocer </w:t>
      </w:r>
      <w:r w:rsidR="00025002" w:rsidRPr="004E3E07">
        <w:rPr>
          <w:rFonts w:ascii="Cambria" w:eastAsia="Cambria" w:hAnsi="Cambria" w:cs="Cambria"/>
          <w:sz w:val="20"/>
          <w:szCs w:val="20"/>
          <w:lang w:val="es-MX"/>
        </w:rPr>
        <w:t xml:space="preserve">el origen y </w:t>
      </w:r>
      <w:r w:rsidR="009241F8" w:rsidRPr="004E3E07">
        <w:rPr>
          <w:rFonts w:ascii="Cambria" w:eastAsia="Cambria" w:hAnsi="Cambria" w:cs="Cambria"/>
          <w:sz w:val="20"/>
          <w:szCs w:val="20"/>
          <w:lang w:val="es-MX"/>
        </w:rPr>
        <w:t>mayor</w:t>
      </w:r>
      <w:r w:rsidR="00025002" w:rsidRPr="004E3E07">
        <w:rPr>
          <w:rFonts w:ascii="Cambria" w:eastAsia="Cambria" w:hAnsi="Cambria" w:cs="Cambria"/>
          <w:sz w:val="20"/>
          <w:szCs w:val="20"/>
          <w:lang w:val="es-MX"/>
        </w:rPr>
        <w:t>es datos</w:t>
      </w:r>
      <w:r w:rsidR="009241F8" w:rsidRPr="004E3E07">
        <w:rPr>
          <w:rFonts w:ascii="Cambria" w:eastAsia="Cambria" w:hAnsi="Cambria" w:cs="Cambria"/>
          <w:sz w:val="20"/>
          <w:szCs w:val="20"/>
          <w:lang w:val="es-MX"/>
        </w:rPr>
        <w:t xml:space="preserve"> </w:t>
      </w:r>
      <w:r w:rsidR="00582E81" w:rsidRPr="004E3E07">
        <w:rPr>
          <w:rFonts w:ascii="Cambria" w:eastAsia="Cambria" w:hAnsi="Cambria" w:cs="Cambria"/>
          <w:sz w:val="20"/>
          <w:szCs w:val="20"/>
          <w:lang w:val="es-MX"/>
        </w:rPr>
        <w:t>de los documentos divulgados</w:t>
      </w:r>
      <w:r w:rsidR="009241F8" w:rsidRPr="004E3E07">
        <w:rPr>
          <w:rFonts w:ascii="Cambria" w:eastAsia="Cambria" w:hAnsi="Cambria" w:cs="Cambria"/>
          <w:sz w:val="20"/>
          <w:szCs w:val="20"/>
          <w:lang w:val="es-MX"/>
        </w:rPr>
        <w:t xml:space="preserve"> </w:t>
      </w:r>
      <w:r w:rsidR="00025002" w:rsidRPr="004E3E07">
        <w:rPr>
          <w:rFonts w:ascii="Cambria" w:eastAsia="Cambria" w:hAnsi="Cambria" w:cs="Cambria"/>
          <w:sz w:val="20"/>
          <w:szCs w:val="20"/>
          <w:lang w:val="es-MX"/>
        </w:rPr>
        <w:t>que podrían llevar al establecimiento de responsabilidades penales y a la determinación del paradero de los estudiantes desaparecidos.</w:t>
      </w:r>
    </w:p>
    <w:p w14:paraId="31234255" w14:textId="11BB5B4B" w:rsidR="007F4D77" w:rsidRPr="004E3E07" w:rsidRDefault="00C37E62" w:rsidP="007F4D77">
      <w:pPr>
        <w:numPr>
          <w:ilvl w:val="0"/>
          <w:numId w:val="5"/>
        </w:numPr>
        <w:shd w:val="clear" w:color="auto" w:fill="FFFFFF"/>
        <w:spacing w:after="240" w:line="240" w:lineRule="auto"/>
        <w:ind w:left="0" w:firstLine="720"/>
        <w:jc w:val="both"/>
        <w:rPr>
          <w:rFonts w:ascii="Cambria" w:eastAsia="Cambria" w:hAnsi="Cambria" w:cs="Cambria"/>
          <w:sz w:val="20"/>
          <w:szCs w:val="20"/>
          <w:lang w:val="es-MX"/>
        </w:rPr>
      </w:pPr>
      <w:r w:rsidRPr="004E3E07">
        <w:rPr>
          <w:rFonts w:ascii="Cambria" w:eastAsia="Cambria" w:hAnsi="Cambria" w:cs="Cambria"/>
          <w:sz w:val="20"/>
          <w:szCs w:val="20"/>
          <w:lang w:val="es-MX"/>
        </w:rPr>
        <w:t>En estos términos, l</w:t>
      </w:r>
      <w:r w:rsidR="004C3087" w:rsidRPr="004E3E07">
        <w:rPr>
          <w:rFonts w:ascii="Cambria" w:eastAsia="Cambria" w:hAnsi="Cambria" w:cs="Cambria"/>
          <w:sz w:val="20"/>
          <w:szCs w:val="20"/>
          <w:lang w:val="es-MX"/>
        </w:rPr>
        <w:t xml:space="preserve">a Comisión </w:t>
      </w:r>
      <w:r w:rsidR="007F4D77" w:rsidRPr="004E3E07">
        <w:rPr>
          <w:rFonts w:ascii="Cambria" w:eastAsia="Cambria" w:hAnsi="Cambria" w:cs="Cambria"/>
          <w:sz w:val="20"/>
          <w:szCs w:val="20"/>
          <w:lang w:val="es-MX"/>
        </w:rPr>
        <w:t>reitera la importancia de</w:t>
      </w:r>
      <w:r w:rsidR="004C3087" w:rsidRPr="004E3E07">
        <w:rPr>
          <w:rFonts w:ascii="Cambria" w:eastAsia="Cambria" w:hAnsi="Cambria" w:cs="Cambria"/>
          <w:sz w:val="20"/>
          <w:szCs w:val="20"/>
          <w:lang w:val="es-MX"/>
        </w:rPr>
        <w:t xml:space="preserve"> que el Estado continúe desplegando el máximo de sus esfuerzos para </w:t>
      </w:r>
      <w:r w:rsidR="007F4D77" w:rsidRPr="004E3E07">
        <w:rPr>
          <w:rFonts w:ascii="Cambria" w:eastAsia="Cambria" w:hAnsi="Cambria" w:cs="Cambria"/>
          <w:sz w:val="20"/>
          <w:szCs w:val="20"/>
          <w:lang w:val="es-MX"/>
        </w:rPr>
        <w:t>asegurar</w:t>
      </w:r>
      <w:r w:rsidR="004C3087" w:rsidRPr="004E3E07">
        <w:rPr>
          <w:rFonts w:ascii="Cambria" w:eastAsia="Cambria" w:hAnsi="Cambria" w:cs="Cambria"/>
          <w:sz w:val="20"/>
          <w:szCs w:val="20"/>
          <w:lang w:val="es-MX"/>
        </w:rPr>
        <w:t xml:space="preserve"> la ejecución de las </w:t>
      </w:r>
      <w:r w:rsidR="007F4D77" w:rsidRPr="004E3E07">
        <w:rPr>
          <w:rFonts w:ascii="Cambria" w:eastAsia="Cambria" w:hAnsi="Cambria" w:cs="Cambria"/>
          <w:sz w:val="20"/>
          <w:szCs w:val="20"/>
          <w:lang w:val="es-MX"/>
        </w:rPr>
        <w:t>órdenes de aprehensión</w:t>
      </w:r>
      <w:r w:rsidR="004C3087" w:rsidRPr="004E3E07">
        <w:rPr>
          <w:rFonts w:ascii="Cambria" w:eastAsia="Cambria" w:hAnsi="Cambria" w:cs="Cambria"/>
          <w:sz w:val="20"/>
          <w:szCs w:val="20"/>
          <w:lang w:val="es-MX"/>
        </w:rPr>
        <w:t xml:space="preserve"> y, bajo el trámite regular, se dicten los autos de formal prisión respectivos, con respeto de las garantías procesales de las personas puestas a disposición de la justicia. </w:t>
      </w:r>
      <w:r w:rsidR="007F4D77" w:rsidRPr="004E3E07">
        <w:rPr>
          <w:rFonts w:ascii="Cambria" w:eastAsia="Cambria" w:hAnsi="Cambria" w:cs="Cambria"/>
          <w:sz w:val="20"/>
          <w:szCs w:val="20"/>
          <w:lang w:val="es-MX"/>
        </w:rPr>
        <w:t>En particular,</w:t>
      </w:r>
      <w:r w:rsidRPr="004E3E07">
        <w:rPr>
          <w:rFonts w:ascii="Cambria" w:eastAsia="Cambria" w:hAnsi="Cambria" w:cs="Cambria"/>
          <w:sz w:val="20"/>
          <w:szCs w:val="20"/>
          <w:lang w:val="es-MX"/>
        </w:rPr>
        <w:t xml:space="preserve"> r</w:t>
      </w:r>
      <w:r w:rsidR="004C3087" w:rsidRPr="004E3E07">
        <w:rPr>
          <w:rFonts w:ascii="Cambria" w:eastAsia="Cambria" w:hAnsi="Cambria" w:cs="Cambria"/>
          <w:sz w:val="20"/>
          <w:szCs w:val="20"/>
          <w:lang w:val="es-MX"/>
        </w:rPr>
        <w:t>esulta</w:t>
      </w:r>
      <w:r w:rsidR="007F4D77" w:rsidRPr="004E3E07">
        <w:rPr>
          <w:rFonts w:ascii="Cambria" w:eastAsia="Cambria" w:hAnsi="Cambria" w:cs="Cambria"/>
          <w:sz w:val="20"/>
          <w:szCs w:val="20"/>
          <w:lang w:val="es-MX"/>
        </w:rPr>
        <w:t>n</w:t>
      </w:r>
      <w:r w:rsidR="004C3087" w:rsidRPr="004E3E07">
        <w:rPr>
          <w:rFonts w:ascii="Cambria" w:eastAsia="Cambria" w:hAnsi="Cambria" w:cs="Cambria"/>
          <w:sz w:val="20"/>
          <w:szCs w:val="20"/>
          <w:lang w:val="es-MX"/>
        </w:rPr>
        <w:t xml:space="preserve"> de especial relevancia los esfuerzos estatales para la vinculación de funcionarios militares en la investigación del caso Ayotzinapa, de modo consistente con lo señalado en </w:t>
      </w:r>
      <w:r w:rsidRPr="004E3E07">
        <w:rPr>
          <w:rFonts w:ascii="Cambria" w:eastAsia="Cambria" w:hAnsi="Cambria" w:cs="Cambria"/>
          <w:sz w:val="20"/>
          <w:szCs w:val="20"/>
          <w:lang w:val="es-MX"/>
        </w:rPr>
        <w:t xml:space="preserve">las recomendaciones consignadas en </w:t>
      </w:r>
      <w:r w:rsidR="004C3087" w:rsidRPr="004E3E07">
        <w:rPr>
          <w:rFonts w:ascii="Cambria" w:eastAsia="Cambria" w:hAnsi="Cambria" w:cs="Cambria"/>
          <w:sz w:val="20"/>
          <w:szCs w:val="20"/>
          <w:lang w:val="es-MX"/>
        </w:rPr>
        <w:t>los informes del GIEI y el MESA.</w:t>
      </w:r>
      <w:r w:rsidR="007F4D77" w:rsidRPr="004E3E07">
        <w:rPr>
          <w:rFonts w:ascii="Cambria" w:eastAsia="Cambria" w:hAnsi="Cambria" w:cs="Cambria"/>
          <w:sz w:val="20"/>
          <w:szCs w:val="20"/>
          <w:lang w:val="es-MX"/>
        </w:rPr>
        <w:t xml:space="preserve"> </w:t>
      </w:r>
      <w:r w:rsidR="008878B6" w:rsidRPr="004E3E07">
        <w:rPr>
          <w:rFonts w:ascii="Cambria" w:eastAsia="Cambria" w:hAnsi="Cambria" w:cs="Cambria"/>
          <w:sz w:val="20"/>
          <w:szCs w:val="20"/>
          <w:lang w:val="es-MX"/>
        </w:rPr>
        <w:t>L</w:t>
      </w:r>
      <w:r w:rsidR="007F4D77" w:rsidRPr="004E3E07">
        <w:rPr>
          <w:rFonts w:ascii="Cambria" w:eastAsia="Cambria" w:hAnsi="Cambria" w:cs="Cambria"/>
          <w:sz w:val="20"/>
          <w:szCs w:val="20"/>
          <w:lang w:val="es-MX"/>
        </w:rPr>
        <w:t xml:space="preserve">a CIDH llama al Estado a </w:t>
      </w:r>
      <w:r w:rsidR="0044347F" w:rsidRPr="004E3E07">
        <w:rPr>
          <w:rFonts w:ascii="Cambria" w:eastAsia="Cambria" w:hAnsi="Cambria" w:cs="Cambria"/>
          <w:sz w:val="20"/>
          <w:szCs w:val="20"/>
          <w:lang w:val="es-MX"/>
        </w:rPr>
        <w:t>continuar adelantando</w:t>
      </w:r>
      <w:r w:rsidR="007F4D77" w:rsidRPr="004E3E07">
        <w:rPr>
          <w:rFonts w:ascii="Cambria" w:eastAsia="Cambria" w:hAnsi="Cambria" w:cs="Cambria"/>
          <w:sz w:val="20"/>
          <w:szCs w:val="20"/>
          <w:lang w:val="es-MX"/>
        </w:rPr>
        <w:t xml:space="preserve"> las investigaciones y judicializaciones por el delito de desaparición forzada, como fuera recomendado por el GIEI y el MESA, </w:t>
      </w:r>
      <w:r w:rsidR="008878B6" w:rsidRPr="004E3E07">
        <w:rPr>
          <w:rFonts w:ascii="Cambria" w:eastAsia="Cambria" w:hAnsi="Cambria" w:cs="Cambria"/>
          <w:sz w:val="20"/>
          <w:szCs w:val="20"/>
          <w:lang w:val="es-MX"/>
        </w:rPr>
        <w:t>y</w:t>
      </w:r>
      <w:r w:rsidR="007F4D77" w:rsidRPr="004E3E07">
        <w:rPr>
          <w:rFonts w:ascii="Cambria" w:eastAsia="Cambria" w:hAnsi="Cambria" w:cs="Cambria"/>
          <w:sz w:val="20"/>
          <w:szCs w:val="20"/>
          <w:lang w:val="es-MX"/>
        </w:rPr>
        <w:t xml:space="preserve"> manteniendo el cuidado debido de las garantías judiciales de las personas procesadas. </w:t>
      </w:r>
      <w:r w:rsidR="0044347F" w:rsidRPr="004E3E07">
        <w:rPr>
          <w:rFonts w:ascii="Cambria" w:eastAsia="Cambria" w:hAnsi="Cambria" w:cs="Cambria"/>
          <w:sz w:val="20"/>
          <w:szCs w:val="20"/>
          <w:lang w:val="es-MX"/>
        </w:rPr>
        <w:t>También</w:t>
      </w:r>
      <w:r w:rsidR="00025002" w:rsidRPr="004E3E07">
        <w:rPr>
          <w:rFonts w:ascii="Cambria" w:eastAsia="Cambria" w:hAnsi="Cambria" w:cs="Cambria"/>
          <w:sz w:val="20"/>
          <w:szCs w:val="20"/>
          <w:lang w:val="es-MX"/>
        </w:rPr>
        <w:t>,</w:t>
      </w:r>
      <w:r w:rsidR="007F4D77" w:rsidRPr="004E3E07">
        <w:rPr>
          <w:rFonts w:ascii="Cambria" w:eastAsia="Cambria" w:hAnsi="Cambria" w:cs="Cambria"/>
          <w:sz w:val="20"/>
          <w:szCs w:val="20"/>
          <w:lang w:val="es-MX"/>
        </w:rPr>
        <w:t xml:space="preserve"> encuentra prioritario que se adopten medidas para compatibilizar el derecho de acceso a la información </w:t>
      </w:r>
      <w:r w:rsidR="00224FB3" w:rsidRPr="00BA6325">
        <w:rPr>
          <w:rFonts w:ascii="Cambria" w:eastAsia="Cambria" w:hAnsi="Cambria" w:cs="Cambria"/>
          <w:sz w:val="20"/>
          <w:szCs w:val="20"/>
          <w:lang w:val="es-MX"/>
        </w:rPr>
        <w:t>en relación con</w:t>
      </w:r>
      <w:r w:rsidR="007F4D77" w:rsidRPr="004E3E07">
        <w:rPr>
          <w:rFonts w:ascii="Cambria" w:eastAsia="Cambria" w:hAnsi="Cambria" w:cs="Cambria"/>
          <w:sz w:val="20"/>
          <w:szCs w:val="20"/>
          <w:lang w:val="es-MX"/>
        </w:rPr>
        <w:t xml:space="preserve"> los aspectos de interés público que el caso Ayotzinapa genera, sin que estas expectativas se transformen en actos de obstrucción de la justicia a partir de información sensible</w:t>
      </w:r>
      <w:r w:rsidR="00224FB3" w:rsidRPr="00BA6325">
        <w:rPr>
          <w:rFonts w:ascii="Cambria" w:eastAsia="Cambria" w:hAnsi="Cambria" w:cs="Cambria"/>
          <w:sz w:val="20"/>
          <w:szCs w:val="20"/>
          <w:lang w:val="es-MX"/>
        </w:rPr>
        <w:t>,</w:t>
      </w:r>
      <w:r w:rsidR="007F4D77" w:rsidRPr="004E3E07">
        <w:rPr>
          <w:rFonts w:ascii="Cambria" w:eastAsia="Cambria" w:hAnsi="Cambria" w:cs="Cambria"/>
          <w:sz w:val="20"/>
          <w:szCs w:val="20"/>
          <w:lang w:val="es-MX"/>
        </w:rPr>
        <w:t xml:space="preserve"> y </w:t>
      </w:r>
      <w:r w:rsidR="00224FB3" w:rsidRPr="00BA6325">
        <w:rPr>
          <w:rFonts w:ascii="Cambria" w:eastAsia="Cambria" w:hAnsi="Cambria" w:cs="Cambria"/>
          <w:sz w:val="20"/>
          <w:szCs w:val="20"/>
          <w:lang w:val="es-MX"/>
        </w:rPr>
        <w:t>protegiendo</w:t>
      </w:r>
      <w:r w:rsidR="007F4D77" w:rsidRPr="004E3E07">
        <w:rPr>
          <w:rFonts w:ascii="Cambria" w:eastAsia="Cambria" w:hAnsi="Cambria" w:cs="Cambria"/>
          <w:sz w:val="20"/>
          <w:szCs w:val="20"/>
          <w:lang w:val="es-MX"/>
        </w:rPr>
        <w:t xml:space="preserve"> la integridad de la investigación.</w:t>
      </w:r>
    </w:p>
    <w:p w14:paraId="341ABAA2" w14:textId="20731032" w:rsidR="00477F2A" w:rsidRPr="004E3E07" w:rsidRDefault="00B80A16" w:rsidP="008022E6">
      <w:pPr>
        <w:numPr>
          <w:ilvl w:val="0"/>
          <w:numId w:val="5"/>
        </w:numPr>
        <w:shd w:val="clear" w:color="auto" w:fill="FFFFFF"/>
        <w:spacing w:after="240" w:line="240" w:lineRule="auto"/>
        <w:ind w:left="0" w:firstLine="720"/>
        <w:jc w:val="both"/>
        <w:rPr>
          <w:rFonts w:ascii="Cambria" w:eastAsia="Cambria" w:hAnsi="Cambria" w:cs="Cambria"/>
          <w:sz w:val="20"/>
          <w:szCs w:val="20"/>
          <w:lang w:val="es-MX"/>
        </w:rPr>
      </w:pPr>
      <w:r w:rsidRPr="004E3E07">
        <w:rPr>
          <w:rFonts w:ascii="Cambria" w:hAnsi="Cambria"/>
          <w:sz w:val="20"/>
          <w:szCs w:val="20"/>
          <w:lang w:val="es-MX"/>
        </w:rPr>
        <w:t>En cuanto a la búsqueda de los 43 estudiantes normalistas desaparecidos, el Estado informó que las acciones de búsqueda en campo se trabajan de manera coordinada con la representación de los beneficiarios de la medida cautelar y el Equipo Argentino de Antropología Forense (EAAF), el cual asesora técnicamente a las familias de los estudiantes desaparecidos.</w:t>
      </w:r>
      <w:r w:rsidR="008022E6" w:rsidRPr="004E3E07">
        <w:rPr>
          <w:rFonts w:ascii="Cambria" w:hAnsi="Cambria"/>
          <w:sz w:val="20"/>
          <w:szCs w:val="20"/>
          <w:lang w:val="es-MX"/>
        </w:rPr>
        <w:t xml:space="preserve"> </w:t>
      </w:r>
      <w:r w:rsidR="00482A78" w:rsidRPr="004E3E07">
        <w:rPr>
          <w:rFonts w:ascii="Cambria" w:hAnsi="Cambria"/>
          <w:sz w:val="20"/>
          <w:szCs w:val="20"/>
          <w:lang w:val="es-MX"/>
        </w:rPr>
        <w:t>También</w:t>
      </w:r>
      <w:r w:rsidR="008022E6" w:rsidRPr="004E3E07">
        <w:rPr>
          <w:rFonts w:ascii="Cambria" w:hAnsi="Cambria"/>
          <w:sz w:val="20"/>
          <w:szCs w:val="20"/>
          <w:lang w:val="es-MX"/>
        </w:rPr>
        <w:t xml:space="preserve"> indicó que las </w:t>
      </w:r>
      <w:r w:rsidRPr="004E3E07">
        <w:rPr>
          <w:rFonts w:ascii="Cambria" w:hAnsi="Cambria"/>
          <w:sz w:val="20"/>
          <w:szCs w:val="20"/>
          <w:lang w:val="es-MX"/>
        </w:rPr>
        <w:t>diligencias</w:t>
      </w:r>
      <w:r w:rsidR="008022E6" w:rsidRPr="004E3E07">
        <w:rPr>
          <w:rFonts w:ascii="Cambria" w:hAnsi="Cambria"/>
          <w:sz w:val="20"/>
          <w:szCs w:val="20"/>
          <w:lang w:val="es-MX"/>
        </w:rPr>
        <w:t xml:space="preserve"> búsqueda forense</w:t>
      </w:r>
      <w:r w:rsidRPr="004E3E07">
        <w:rPr>
          <w:rFonts w:ascii="Cambria" w:hAnsi="Cambria"/>
          <w:sz w:val="20"/>
          <w:szCs w:val="20"/>
          <w:lang w:val="es-MX"/>
        </w:rPr>
        <w:t xml:space="preserve"> son desarrolladas por personal pericial y ministerial </w:t>
      </w:r>
      <w:r w:rsidR="008022E6" w:rsidRPr="004E3E07">
        <w:rPr>
          <w:rFonts w:ascii="Cambria" w:hAnsi="Cambria"/>
          <w:sz w:val="20"/>
          <w:szCs w:val="20"/>
          <w:lang w:val="es-MX"/>
        </w:rPr>
        <w:t xml:space="preserve">bajo la dirección de </w:t>
      </w:r>
      <w:r w:rsidRPr="004E3E07">
        <w:rPr>
          <w:rFonts w:ascii="Cambria" w:hAnsi="Cambria"/>
          <w:sz w:val="20"/>
          <w:szCs w:val="20"/>
          <w:lang w:val="es-MX"/>
        </w:rPr>
        <w:t>la UEILCA</w:t>
      </w:r>
      <w:r w:rsidR="008022E6" w:rsidRPr="004E3E07">
        <w:rPr>
          <w:rFonts w:ascii="Cambria" w:hAnsi="Cambria"/>
          <w:sz w:val="20"/>
          <w:szCs w:val="20"/>
          <w:lang w:val="es-MX"/>
        </w:rPr>
        <w:t>, además de que cuentan con el acompañamiento de autoridades de la COVAJ</w:t>
      </w:r>
      <w:r w:rsidR="00EC1631" w:rsidRPr="004E3E07">
        <w:rPr>
          <w:rFonts w:ascii="Cambria" w:hAnsi="Cambria"/>
          <w:sz w:val="20"/>
          <w:szCs w:val="20"/>
          <w:lang w:val="es-MX"/>
        </w:rPr>
        <w:t>.</w:t>
      </w:r>
      <w:r w:rsidR="008022E6" w:rsidRPr="004E3E07">
        <w:rPr>
          <w:rFonts w:ascii="Cambria" w:hAnsi="Cambria"/>
          <w:sz w:val="20"/>
          <w:szCs w:val="20"/>
          <w:lang w:val="es-MX"/>
        </w:rPr>
        <w:t xml:space="preserve"> </w:t>
      </w:r>
      <w:r w:rsidR="00482A78" w:rsidRPr="004E3E07">
        <w:rPr>
          <w:rFonts w:ascii="Cambria" w:hAnsi="Cambria"/>
          <w:sz w:val="20"/>
          <w:szCs w:val="20"/>
          <w:lang w:val="es-MX"/>
        </w:rPr>
        <w:t>L</w:t>
      </w:r>
      <w:r w:rsidR="00EC1631" w:rsidRPr="004E3E07">
        <w:rPr>
          <w:rFonts w:ascii="Cambria" w:hAnsi="Cambria"/>
          <w:sz w:val="20"/>
          <w:szCs w:val="20"/>
          <w:lang w:val="es-MX"/>
        </w:rPr>
        <w:t>a CIDH recibió información estatal indicando la realización de un total de 47 ejercicios de búsqueda desde su creación</w:t>
      </w:r>
      <w:r w:rsidR="0078446A" w:rsidRPr="004E3E07">
        <w:rPr>
          <w:rFonts w:ascii="Cambria" w:hAnsi="Cambria"/>
          <w:sz w:val="20"/>
          <w:szCs w:val="20"/>
          <w:lang w:val="es-MX"/>
        </w:rPr>
        <w:t>, respecto de los cuales se han obtenido resultados positivos en 10 de ellos</w:t>
      </w:r>
      <w:r w:rsidR="00EC1631" w:rsidRPr="004E3E07">
        <w:rPr>
          <w:rStyle w:val="FootnoteReference"/>
          <w:rFonts w:ascii="Cambria" w:hAnsi="Cambria"/>
          <w:sz w:val="20"/>
          <w:szCs w:val="20"/>
          <w:lang w:val="es-MX"/>
        </w:rPr>
        <w:footnoteReference w:id="124"/>
      </w:r>
      <w:r w:rsidR="00EC1631" w:rsidRPr="004E3E07">
        <w:rPr>
          <w:rFonts w:ascii="Cambria" w:hAnsi="Cambria"/>
          <w:sz w:val="20"/>
          <w:szCs w:val="20"/>
          <w:lang w:val="es-MX"/>
        </w:rPr>
        <w:t>.</w:t>
      </w:r>
    </w:p>
    <w:p w14:paraId="5614190E" w14:textId="6AB15A85" w:rsidR="00326DC6" w:rsidRPr="004E3E07" w:rsidRDefault="00970760" w:rsidP="00CB3076">
      <w:pPr>
        <w:numPr>
          <w:ilvl w:val="0"/>
          <w:numId w:val="5"/>
        </w:numPr>
        <w:shd w:val="clear" w:color="auto" w:fill="FFFFFF"/>
        <w:spacing w:after="240" w:line="240" w:lineRule="auto"/>
        <w:ind w:left="0" w:firstLine="720"/>
        <w:jc w:val="both"/>
        <w:rPr>
          <w:rFonts w:ascii="Cambria" w:eastAsia="Cambria" w:hAnsi="Cambria" w:cs="Cambria"/>
          <w:sz w:val="20"/>
          <w:szCs w:val="20"/>
          <w:lang w:val="es-MX"/>
        </w:rPr>
      </w:pPr>
      <w:r w:rsidRPr="004E3E07">
        <w:rPr>
          <w:rFonts w:ascii="Cambria" w:hAnsi="Cambria"/>
          <w:sz w:val="20"/>
          <w:szCs w:val="20"/>
          <w:lang w:val="es-MX"/>
        </w:rPr>
        <w:t>En</w:t>
      </w:r>
      <w:r w:rsidR="008022E6" w:rsidRPr="004E3E07">
        <w:rPr>
          <w:rFonts w:ascii="Cambria" w:hAnsi="Cambria"/>
          <w:sz w:val="20"/>
          <w:szCs w:val="20"/>
          <w:lang w:val="es-MX"/>
        </w:rPr>
        <w:t xml:space="preserve"> febrero de 2021</w:t>
      </w:r>
      <w:r w:rsidRPr="004E3E07">
        <w:rPr>
          <w:rFonts w:ascii="Cambria" w:hAnsi="Cambria"/>
          <w:sz w:val="20"/>
          <w:szCs w:val="20"/>
          <w:lang w:val="es-MX"/>
        </w:rPr>
        <w:t>,</w:t>
      </w:r>
      <w:r w:rsidR="00477F2A" w:rsidRPr="004E3E07">
        <w:rPr>
          <w:rFonts w:ascii="Cambria" w:hAnsi="Cambria"/>
          <w:sz w:val="20"/>
          <w:szCs w:val="20"/>
          <w:lang w:val="es-MX"/>
        </w:rPr>
        <w:t xml:space="preserve"> </w:t>
      </w:r>
      <w:r w:rsidR="008022E6" w:rsidRPr="004E3E07">
        <w:rPr>
          <w:rFonts w:ascii="Cambria" w:hAnsi="Cambria"/>
          <w:sz w:val="20"/>
          <w:szCs w:val="20"/>
          <w:lang w:val="es-MX"/>
        </w:rPr>
        <w:t>el titular de la UEILCA realizó la diligencia de traslado de restos óseos al Laboratorio de la Universidad de Innsbruck, Austria</w:t>
      </w:r>
      <w:r w:rsidR="00477F2A" w:rsidRPr="004E3E07">
        <w:rPr>
          <w:rFonts w:ascii="Cambria" w:hAnsi="Cambria"/>
          <w:sz w:val="20"/>
          <w:szCs w:val="20"/>
          <w:lang w:val="es-MX"/>
        </w:rPr>
        <w:t xml:space="preserve">, </w:t>
      </w:r>
      <w:r w:rsidR="007A3193" w:rsidRPr="004E3E07">
        <w:rPr>
          <w:rFonts w:ascii="Cambria" w:hAnsi="Cambria"/>
          <w:sz w:val="20"/>
          <w:szCs w:val="20"/>
          <w:lang w:val="es-MX"/>
        </w:rPr>
        <w:t>misma que fue</w:t>
      </w:r>
      <w:r w:rsidR="00477F2A" w:rsidRPr="004E3E07">
        <w:rPr>
          <w:rFonts w:ascii="Cambria" w:hAnsi="Cambria"/>
          <w:sz w:val="20"/>
          <w:szCs w:val="20"/>
          <w:lang w:val="es-MX"/>
        </w:rPr>
        <w:t xml:space="preserve"> acompañada por la CIDH</w:t>
      </w:r>
      <w:r w:rsidR="006347B4" w:rsidRPr="00BA6325">
        <w:rPr>
          <w:rFonts w:ascii="Cambria" w:hAnsi="Cambria"/>
          <w:sz w:val="20"/>
          <w:szCs w:val="20"/>
          <w:lang w:val="es-MX"/>
        </w:rPr>
        <w:t>,</w:t>
      </w:r>
      <w:r w:rsidR="00477F2A" w:rsidRPr="004E3E07">
        <w:rPr>
          <w:rFonts w:ascii="Cambria" w:hAnsi="Cambria"/>
          <w:sz w:val="20"/>
          <w:szCs w:val="20"/>
          <w:lang w:val="es-MX"/>
        </w:rPr>
        <w:t xml:space="preserve"> </w:t>
      </w:r>
      <w:r w:rsidR="008022E6" w:rsidRPr="004E3E07">
        <w:rPr>
          <w:rFonts w:ascii="Cambria" w:hAnsi="Cambria"/>
          <w:sz w:val="20"/>
          <w:szCs w:val="20"/>
          <w:lang w:val="es-MX"/>
        </w:rPr>
        <w:t>autoridades de la COVAJ e integrantes del EAAF</w:t>
      </w:r>
      <w:r w:rsidRPr="004E3E07">
        <w:rPr>
          <w:rStyle w:val="FootnoteReference"/>
          <w:rFonts w:ascii="Cambria" w:hAnsi="Cambria"/>
          <w:sz w:val="20"/>
          <w:szCs w:val="20"/>
          <w:lang w:val="es-MX"/>
        </w:rPr>
        <w:footnoteReference w:id="125"/>
      </w:r>
      <w:r w:rsidR="008022E6" w:rsidRPr="004E3E07">
        <w:rPr>
          <w:rFonts w:ascii="Cambria" w:hAnsi="Cambria"/>
          <w:sz w:val="20"/>
          <w:szCs w:val="20"/>
          <w:lang w:val="es-MX"/>
        </w:rPr>
        <w:t>.</w:t>
      </w:r>
      <w:r w:rsidR="00477F2A" w:rsidRPr="004E3E07">
        <w:rPr>
          <w:rFonts w:ascii="Cambria" w:hAnsi="Cambria"/>
          <w:sz w:val="20"/>
          <w:szCs w:val="20"/>
          <w:lang w:val="es-MX"/>
        </w:rPr>
        <w:t xml:space="preserve"> </w:t>
      </w:r>
      <w:r w:rsidR="007A3193" w:rsidRPr="004E3E07">
        <w:rPr>
          <w:rFonts w:ascii="Cambria" w:hAnsi="Cambria"/>
          <w:sz w:val="20"/>
          <w:szCs w:val="20"/>
          <w:lang w:val="es-MX"/>
        </w:rPr>
        <w:t>En</w:t>
      </w:r>
      <w:r w:rsidR="00477F2A" w:rsidRPr="004E3E07">
        <w:rPr>
          <w:rFonts w:ascii="Cambria" w:hAnsi="Cambria"/>
          <w:sz w:val="20"/>
          <w:szCs w:val="20"/>
          <w:lang w:val="es-MX"/>
        </w:rPr>
        <w:t xml:space="preserve"> junio de 2021</w:t>
      </w:r>
      <w:r w:rsidR="007A3193" w:rsidRPr="004E3E07">
        <w:rPr>
          <w:rFonts w:ascii="Cambria" w:hAnsi="Cambria"/>
          <w:sz w:val="20"/>
          <w:szCs w:val="20"/>
          <w:lang w:val="es-MX"/>
        </w:rPr>
        <w:t>, l</w:t>
      </w:r>
      <w:r w:rsidRPr="004E3E07">
        <w:rPr>
          <w:rFonts w:ascii="Cambria" w:hAnsi="Cambria"/>
          <w:sz w:val="20"/>
          <w:szCs w:val="20"/>
          <w:lang w:val="es-MX"/>
        </w:rPr>
        <w:t xml:space="preserve">a UEILCA </w:t>
      </w:r>
      <w:r w:rsidR="007A3193" w:rsidRPr="004E3E07">
        <w:rPr>
          <w:rFonts w:ascii="Cambria" w:hAnsi="Cambria"/>
          <w:sz w:val="20"/>
          <w:szCs w:val="20"/>
          <w:lang w:val="es-MX"/>
        </w:rPr>
        <w:t>recibió</w:t>
      </w:r>
      <w:r w:rsidRPr="004E3E07">
        <w:rPr>
          <w:rFonts w:ascii="Cambria" w:hAnsi="Cambria"/>
          <w:sz w:val="20"/>
          <w:szCs w:val="20"/>
          <w:lang w:val="es-MX"/>
        </w:rPr>
        <w:t xml:space="preserve"> los resultados </w:t>
      </w:r>
      <w:r w:rsidR="00736E75">
        <w:rPr>
          <w:rFonts w:ascii="Cambria" w:hAnsi="Cambria"/>
          <w:sz w:val="20"/>
          <w:szCs w:val="20"/>
          <w:lang w:val="es-MX"/>
        </w:rPr>
        <w:t xml:space="preserve">de la identificación genética de los estudiantes </w:t>
      </w:r>
      <w:r w:rsidR="006347B4" w:rsidRPr="00BA6325">
        <w:rPr>
          <w:rFonts w:ascii="Cambria" w:hAnsi="Cambria"/>
          <w:sz w:val="20"/>
          <w:szCs w:val="20"/>
          <w:lang w:val="es-MX"/>
        </w:rPr>
        <w:t>Jhosivani Guerrero de la Cruz y la reasociación positiva de Christian Alfonso Rodríguez Telumbre</w:t>
      </w:r>
      <w:r w:rsidR="00477F2A" w:rsidRPr="00BA6325">
        <w:rPr>
          <w:rFonts w:ascii="Cambria" w:hAnsi="Cambria"/>
          <w:sz w:val="20"/>
          <w:szCs w:val="20"/>
          <w:lang w:val="es-MX"/>
        </w:rPr>
        <w:t>.</w:t>
      </w:r>
      <w:r w:rsidR="00477F2A" w:rsidRPr="004E3E07">
        <w:rPr>
          <w:rFonts w:ascii="Cambria" w:hAnsi="Cambria"/>
          <w:sz w:val="20"/>
          <w:szCs w:val="20"/>
          <w:lang w:val="es-MX"/>
        </w:rPr>
        <w:t xml:space="preserve"> </w:t>
      </w:r>
      <w:r w:rsidR="00F4431A" w:rsidRPr="004E3E07">
        <w:rPr>
          <w:rFonts w:ascii="Cambria" w:hAnsi="Cambria"/>
          <w:sz w:val="20"/>
          <w:szCs w:val="20"/>
          <w:lang w:val="es-MX"/>
        </w:rPr>
        <w:t>La CIDH valora positivamente que, u</w:t>
      </w:r>
      <w:r w:rsidR="00EC1631" w:rsidRPr="004E3E07">
        <w:rPr>
          <w:rFonts w:ascii="Cambria" w:hAnsi="Cambria"/>
          <w:sz w:val="20"/>
          <w:szCs w:val="20"/>
          <w:lang w:val="es-MX"/>
        </w:rPr>
        <w:t xml:space="preserve">na vez </w:t>
      </w:r>
      <w:r w:rsidR="00477F2A" w:rsidRPr="004E3E07">
        <w:rPr>
          <w:rFonts w:ascii="Cambria" w:hAnsi="Cambria"/>
          <w:sz w:val="20"/>
          <w:szCs w:val="20"/>
          <w:lang w:val="es-MX"/>
        </w:rPr>
        <w:t>confirma</w:t>
      </w:r>
      <w:r w:rsidR="00EC1631" w:rsidRPr="004E3E07">
        <w:rPr>
          <w:rFonts w:ascii="Cambria" w:hAnsi="Cambria"/>
          <w:sz w:val="20"/>
          <w:szCs w:val="20"/>
          <w:lang w:val="es-MX"/>
        </w:rPr>
        <w:t>dos</w:t>
      </w:r>
      <w:r w:rsidR="00477F2A" w:rsidRPr="004E3E07">
        <w:rPr>
          <w:rFonts w:ascii="Cambria" w:hAnsi="Cambria"/>
          <w:sz w:val="20"/>
          <w:szCs w:val="20"/>
          <w:lang w:val="es-MX"/>
        </w:rPr>
        <w:t xml:space="preserve"> los resultados por el EAAF, </w:t>
      </w:r>
      <w:r w:rsidR="00F4431A" w:rsidRPr="004E3E07">
        <w:rPr>
          <w:rFonts w:ascii="Cambria" w:hAnsi="Cambria"/>
          <w:sz w:val="20"/>
          <w:szCs w:val="20"/>
          <w:lang w:val="es-MX"/>
        </w:rPr>
        <w:t>la notificación sobre la identificación positiva</w:t>
      </w:r>
      <w:r w:rsidR="00EC1631" w:rsidRPr="004E3E07">
        <w:rPr>
          <w:rFonts w:ascii="Cambria" w:hAnsi="Cambria"/>
          <w:sz w:val="20"/>
          <w:szCs w:val="20"/>
          <w:lang w:val="es-MX"/>
        </w:rPr>
        <w:t xml:space="preserve"> </w:t>
      </w:r>
      <w:r w:rsidR="006347B4" w:rsidRPr="00BA6325">
        <w:rPr>
          <w:rFonts w:ascii="Cambria" w:hAnsi="Cambria"/>
          <w:sz w:val="20"/>
          <w:szCs w:val="20"/>
          <w:lang w:val="es-MX"/>
        </w:rPr>
        <w:t xml:space="preserve">fue realizada </w:t>
      </w:r>
      <w:r w:rsidR="00EC1631" w:rsidRPr="004E3E07">
        <w:rPr>
          <w:rFonts w:ascii="Cambria" w:hAnsi="Cambria"/>
          <w:sz w:val="20"/>
          <w:szCs w:val="20"/>
          <w:lang w:val="es-MX"/>
        </w:rPr>
        <w:t>a la familia Guerrero Cruz</w:t>
      </w:r>
      <w:r w:rsidR="00F4431A" w:rsidRPr="004E3E07">
        <w:rPr>
          <w:rFonts w:ascii="Cambria" w:hAnsi="Cambria"/>
          <w:sz w:val="20"/>
          <w:szCs w:val="20"/>
          <w:lang w:val="es-MX"/>
        </w:rPr>
        <w:t xml:space="preserve"> </w:t>
      </w:r>
      <w:r w:rsidR="00EC1631" w:rsidRPr="004E3E07">
        <w:rPr>
          <w:rFonts w:ascii="Cambria" w:hAnsi="Cambria"/>
          <w:sz w:val="20"/>
          <w:szCs w:val="20"/>
          <w:lang w:val="es-MX"/>
        </w:rPr>
        <w:t xml:space="preserve">de </w:t>
      </w:r>
      <w:r w:rsidR="00F4431A" w:rsidRPr="004E3E07">
        <w:rPr>
          <w:rFonts w:ascii="Cambria" w:hAnsi="Cambria"/>
          <w:sz w:val="20"/>
          <w:szCs w:val="20"/>
          <w:lang w:val="es-MX"/>
        </w:rPr>
        <w:t>manera digna por</w:t>
      </w:r>
      <w:r w:rsidR="00EC1631" w:rsidRPr="004E3E07">
        <w:rPr>
          <w:rFonts w:ascii="Cambria" w:hAnsi="Cambria"/>
          <w:sz w:val="20"/>
          <w:szCs w:val="20"/>
          <w:lang w:val="es-MX"/>
        </w:rPr>
        <w:t xml:space="preserve"> </w:t>
      </w:r>
      <w:r w:rsidR="00477F2A" w:rsidRPr="004E3E07">
        <w:rPr>
          <w:rFonts w:ascii="Cambria" w:hAnsi="Cambria"/>
          <w:sz w:val="20"/>
          <w:szCs w:val="20"/>
          <w:lang w:val="es-MX"/>
        </w:rPr>
        <w:t xml:space="preserve">un equipo conformado por </w:t>
      </w:r>
      <w:r w:rsidR="00EC1631" w:rsidRPr="004E3E07">
        <w:rPr>
          <w:rFonts w:ascii="Cambria" w:hAnsi="Cambria"/>
          <w:sz w:val="20"/>
          <w:szCs w:val="20"/>
          <w:lang w:val="es-MX"/>
        </w:rPr>
        <w:t>el titular de la UIELCA, autoridades de la COVAJ, organizaciones representantes de los beneficiarios de la medida cautelar y del EAAF</w:t>
      </w:r>
      <w:r w:rsidR="00A90172" w:rsidRPr="004E3E07">
        <w:rPr>
          <w:rStyle w:val="FootnoteReference"/>
          <w:rFonts w:ascii="Cambria" w:hAnsi="Cambria"/>
          <w:sz w:val="20"/>
          <w:szCs w:val="20"/>
          <w:lang w:val="es-MX"/>
        </w:rPr>
        <w:footnoteReference w:id="126"/>
      </w:r>
      <w:r w:rsidR="00EC1631" w:rsidRPr="004E3E07">
        <w:rPr>
          <w:rFonts w:ascii="Cambria" w:hAnsi="Cambria"/>
          <w:sz w:val="20"/>
          <w:szCs w:val="20"/>
          <w:lang w:val="es-MX"/>
        </w:rPr>
        <w:t xml:space="preserve">. </w:t>
      </w:r>
      <w:r w:rsidR="00383578" w:rsidRPr="004E3E07">
        <w:rPr>
          <w:rStyle w:val="normaltextrun"/>
          <w:rFonts w:ascii="Cambria" w:hAnsi="Cambria"/>
          <w:sz w:val="20"/>
          <w:szCs w:val="20"/>
          <w:bdr w:val="none" w:sz="0" w:space="0" w:color="auto" w:frame="1"/>
          <w:lang w:val="es-MX"/>
        </w:rPr>
        <w:t>A</w:t>
      </w:r>
      <w:r w:rsidR="00326DC6" w:rsidRPr="004E3E07">
        <w:rPr>
          <w:rStyle w:val="normaltextrun"/>
          <w:rFonts w:ascii="Cambria" w:hAnsi="Cambria"/>
          <w:sz w:val="20"/>
          <w:szCs w:val="20"/>
          <w:bdr w:val="none" w:sz="0" w:space="0" w:color="auto" w:frame="1"/>
          <w:lang w:val="es-MX"/>
        </w:rPr>
        <w:t xml:space="preserve"> más de siete años de la desaparición forzada de los 43 normalistas de Ayotzinapa, su paradero y el esclarecimiento de los hechos en torno a su desaparición continúa siendo desconocido. La CIDH </w:t>
      </w:r>
      <w:r w:rsidR="007C1063" w:rsidRPr="004E3E07">
        <w:rPr>
          <w:rFonts w:ascii="Cambria" w:hAnsi="Cambria"/>
          <w:sz w:val="20"/>
          <w:szCs w:val="20"/>
          <w:bdr w:val="none" w:sz="0" w:space="0" w:color="auto" w:frame="1"/>
          <w:lang w:val="es-MX"/>
        </w:rPr>
        <w:t>considera</w:t>
      </w:r>
      <w:r w:rsidR="00326DC6" w:rsidRPr="004E3E07">
        <w:rPr>
          <w:rFonts w:ascii="Cambria" w:hAnsi="Cambria"/>
          <w:sz w:val="20"/>
          <w:szCs w:val="20"/>
          <w:bdr w:val="none" w:sz="0" w:space="0" w:color="auto" w:frame="1"/>
          <w:lang w:val="es-MX"/>
        </w:rPr>
        <w:t xml:space="preserve"> fundamental que el Estado redoble sus esfuerzos y continúe priorizando la búsqueda de los estudiantes.</w:t>
      </w:r>
    </w:p>
    <w:p w14:paraId="51EA10B4" w14:textId="2F8819E2" w:rsidR="00461CCA" w:rsidRPr="004E3E07" w:rsidRDefault="00970760" w:rsidP="00461CCA">
      <w:pPr>
        <w:numPr>
          <w:ilvl w:val="0"/>
          <w:numId w:val="5"/>
        </w:numPr>
        <w:shd w:val="clear" w:color="auto" w:fill="FFFFFF"/>
        <w:spacing w:after="240" w:line="240" w:lineRule="auto"/>
        <w:ind w:left="0" w:firstLine="720"/>
        <w:jc w:val="both"/>
        <w:rPr>
          <w:rFonts w:ascii="Cambria" w:eastAsia="Cambria" w:hAnsi="Cambria" w:cs="Cambria"/>
          <w:sz w:val="20"/>
          <w:szCs w:val="20"/>
          <w:lang w:val="es-MX"/>
        </w:rPr>
      </w:pPr>
      <w:r w:rsidRPr="004E3E07">
        <w:rPr>
          <w:rFonts w:ascii="Cambria" w:eastAsia="Cambria" w:hAnsi="Cambria" w:cs="Cambria"/>
          <w:sz w:val="20"/>
          <w:szCs w:val="20"/>
          <w:lang w:val="es-MX"/>
        </w:rPr>
        <w:t>En relación con la a</w:t>
      </w:r>
      <w:r w:rsidR="00461CCA" w:rsidRPr="004E3E07">
        <w:rPr>
          <w:rFonts w:ascii="Cambria" w:eastAsia="Cambria" w:hAnsi="Cambria" w:cs="Cambria"/>
          <w:sz w:val="20"/>
          <w:szCs w:val="20"/>
          <w:lang w:val="es-MX"/>
        </w:rPr>
        <w:t xml:space="preserve">tención a las víctimas, la CIDH valora </w:t>
      </w:r>
      <w:r w:rsidR="00461CCA" w:rsidRPr="004E3E07">
        <w:rPr>
          <w:rStyle w:val="normaltextrun"/>
          <w:rFonts w:ascii="Cambria" w:hAnsi="Cambria"/>
          <w:sz w:val="20"/>
          <w:szCs w:val="20"/>
          <w:shd w:val="clear" w:color="auto" w:fill="FFFFFF"/>
          <w:lang w:val="es-MX"/>
        </w:rPr>
        <w:t xml:space="preserve">positivamente la continuación de </w:t>
      </w:r>
      <w:r w:rsidR="007F4D77" w:rsidRPr="004E3E07">
        <w:rPr>
          <w:rStyle w:val="normaltextrun"/>
          <w:rFonts w:ascii="Cambria" w:hAnsi="Cambria"/>
          <w:sz w:val="20"/>
          <w:szCs w:val="20"/>
          <w:shd w:val="clear" w:color="auto" w:fill="FFFFFF"/>
          <w:lang w:val="es-MX"/>
        </w:rPr>
        <w:t xml:space="preserve">los servicios de atención médica para familiares </w:t>
      </w:r>
      <w:r w:rsidR="00461CCA" w:rsidRPr="004E3E07">
        <w:rPr>
          <w:rStyle w:val="normaltextrun"/>
          <w:rFonts w:ascii="Cambria" w:hAnsi="Cambria"/>
          <w:sz w:val="20"/>
          <w:szCs w:val="20"/>
          <w:shd w:val="clear" w:color="auto" w:fill="FFFFFF"/>
          <w:lang w:val="es-MX"/>
        </w:rPr>
        <w:t xml:space="preserve">de los estudiantes desaparecidos </w:t>
      </w:r>
      <w:r w:rsidR="007F4D77" w:rsidRPr="004E3E07">
        <w:rPr>
          <w:rStyle w:val="normaltextrun"/>
          <w:rFonts w:ascii="Cambria" w:hAnsi="Cambria"/>
          <w:sz w:val="20"/>
          <w:szCs w:val="20"/>
          <w:shd w:val="clear" w:color="auto" w:fill="FFFFFF"/>
          <w:lang w:val="es-MX"/>
        </w:rPr>
        <w:t xml:space="preserve">en </w:t>
      </w:r>
      <w:r w:rsidR="007F4D77" w:rsidRPr="004E3E07">
        <w:rPr>
          <w:rFonts w:ascii="Cambria" w:eastAsia="Cambria" w:hAnsi="Cambria" w:cs="Cambria"/>
          <w:sz w:val="20"/>
          <w:szCs w:val="20"/>
          <w:lang w:val="es-MX"/>
        </w:rPr>
        <w:t>las instituciones públicas de salud</w:t>
      </w:r>
      <w:r w:rsidR="00461CCA" w:rsidRPr="004E3E07">
        <w:rPr>
          <w:rFonts w:ascii="Cambria" w:eastAsia="Cambria" w:hAnsi="Cambria" w:cs="Cambria"/>
          <w:sz w:val="20"/>
          <w:szCs w:val="20"/>
          <w:lang w:val="es-MX"/>
        </w:rPr>
        <w:t xml:space="preserve"> federales y estatales, según los lineamientos establecidos en los protocolos adoptados en coordinación con las familias y sus representantes. En particular, la Comisión </w:t>
      </w:r>
      <w:r w:rsidR="007F4D77" w:rsidRPr="004E3E07">
        <w:rPr>
          <w:rFonts w:ascii="Cambria" w:eastAsia="Cambria" w:hAnsi="Cambria" w:cs="Cambria"/>
          <w:sz w:val="20"/>
          <w:szCs w:val="20"/>
          <w:lang w:val="es-MX"/>
        </w:rPr>
        <w:t>destaca los esfuerzos</w:t>
      </w:r>
      <w:r w:rsidR="00461CCA" w:rsidRPr="004E3E07">
        <w:rPr>
          <w:rFonts w:ascii="Cambria" w:eastAsia="Cambria" w:hAnsi="Cambria" w:cs="Cambria"/>
          <w:sz w:val="20"/>
          <w:szCs w:val="20"/>
          <w:lang w:val="es-MX"/>
        </w:rPr>
        <w:t xml:space="preserve"> estatales</w:t>
      </w:r>
      <w:r w:rsidR="007F4D77" w:rsidRPr="004E3E07">
        <w:rPr>
          <w:rFonts w:ascii="Cambria" w:eastAsia="Cambria" w:hAnsi="Cambria" w:cs="Cambria"/>
          <w:sz w:val="20"/>
          <w:szCs w:val="20"/>
          <w:lang w:val="es-MX"/>
        </w:rPr>
        <w:t xml:space="preserve"> para garantizar la atención médica a familiares que han contraído COVID-19. </w:t>
      </w:r>
      <w:r w:rsidR="00461CCA" w:rsidRPr="004E3E07">
        <w:rPr>
          <w:rFonts w:ascii="Cambria" w:eastAsia="Cambria" w:hAnsi="Cambria" w:cs="Cambria"/>
          <w:sz w:val="20"/>
          <w:szCs w:val="20"/>
          <w:lang w:val="es-MX"/>
        </w:rPr>
        <w:t xml:space="preserve">Sin embargo, la CIDH toma nota de inconformidades manifestadas por desabasto de medicamentos y </w:t>
      </w:r>
      <w:r w:rsidR="00461CCA" w:rsidRPr="004E3E07">
        <w:rPr>
          <w:rFonts w:ascii="Cambria" w:hAnsi="Cambria" w:cs="Times New Roman"/>
          <w:sz w:val="20"/>
          <w:szCs w:val="20"/>
          <w:lang w:val="es-MX"/>
        </w:rPr>
        <w:t>falta de sensibilidad de las autoridades de salud pública de Guerrero</w:t>
      </w:r>
      <w:r w:rsidR="00461CCA" w:rsidRPr="004E3E07">
        <w:rPr>
          <w:rStyle w:val="FootnoteReference"/>
          <w:rFonts w:ascii="Cambria" w:hAnsi="Cambria" w:cs="Times New Roman"/>
          <w:sz w:val="20"/>
          <w:szCs w:val="20"/>
          <w:lang w:val="es-MX"/>
        </w:rPr>
        <w:footnoteReference w:id="127"/>
      </w:r>
      <w:r w:rsidR="00461CCA" w:rsidRPr="004E3E07">
        <w:rPr>
          <w:rFonts w:ascii="Cambria" w:hAnsi="Cambria" w:cs="Times New Roman"/>
          <w:sz w:val="20"/>
          <w:szCs w:val="20"/>
          <w:lang w:val="es-MX"/>
        </w:rPr>
        <w:t xml:space="preserve">. </w:t>
      </w:r>
    </w:p>
    <w:p w14:paraId="0A0F4C84" w14:textId="3C37508C" w:rsidR="007C1063" w:rsidRPr="004E3E07" w:rsidRDefault="007C1063" w:rsidP="007C1063">
      <w:pPr>
        <w:numPr>
          <w:ilvl w:val="0"/>
          <w:numId w:val="5"/>
        </w:numPr>
        <w:shd w:val="clear" w:color="auto" w:fill="FFFFFF"/>
        <w:spacing w:after="240" w:line="240" w:lineRule="auto"/>
        <w:ind w:left="0" w:firstLine="720"/>
        <w:jc w:val="both"/>
        <w:rPr>
          <w:rFonts w:ascii="Cambria" w:eastAsia="Cambria" w:hAnsi="Cambria" w:cs="Cambria"/>
          <w:sz w:val="20"/>
          <w:szCs w:val="20"/>
          <w:lang w:val="es-MX"/>
        </w:rPr>
      </w:pPr>
      <w:r w:rsidRPr="004E3E07">
        <w:rPr>
          <w:rFonts w:ascii="Cambria" w:eastAsia="Cambria" w:hAnsi="Cambria" w:cs="Cambria"/>
          <w:sz w:val="20"/>
          <w:szCs w:val="20"/>
          <w:lang w:val="es-MX"/>
        </w:rPr>
        <w:t>Asimismo</w:t>
      </w:r>
      <w:r w:rsidR="00CB3076" w:rsidRPr="004E3E07">
        <w:rPr>
          <w:rFonts w:ascii="Cambria" w:eastAsia="Cambria" w:hAnsi="Cambria" w:cs="Cambria"/>
          <w:sz w:val="20"/>
          <w:szCs w:val="20"/>
          <w:lang w:val="es-MX"/>
        </w:rPr>
        <w:t>,</w:t>
      </w:r>
      <w:r w:rsidR="00461CCA" w:rsidRPr="004E3E07">
        <w:rPr>
          <w:rFonts w:ascii="Cambria" w:eastAsia="Cambria" w:hAnsi="Cambria" w:cs="Cambria"/>
          <w:sz w:val="20"/>
          <w:szCs w:val="20"/>
          <w:lang w:val="es-MX"/>
        </w:rPr>
        <w:t xml:space="preserve"> en</w:t>
      </w:r>
      <w:r w:rsidR="00461CCA" w:rsidRPr="004E3E07">
        <w:rPr>
          <w:rFonts w:ascii="Cambria" w:hAnsi="Cambria"/>
          <w:sz w:val="20"/>
          <w:szCs w:val="20"/>
          <w:lang w:val="es-MX"/>
        </w:rPr>
        <w:t xml:space="preserve"> reunión de trabajo realizada </w:t>
      </w:r>
      <w:r w:rsidRPr="004E3E07">
        <w:rPr>
          <w:rFonts w:ascii="Cambria" w:hAnsi="Cambria"/>
          <w:sz w:val="20"/>
          <w:szCs w:val="20"/>
          <w:lang w:val="es-MX"/>
        </w:rPr>
        <w:t>durante</w:t>
      </w:r>
      <w:r w:rsidR="00461CCA" w:rsidRPr="004E3E07">
        <w:rPr>
          <w:rFonts w:ascii="Cambria" w:hAnsi="Cambria"/>
          <w:sz w:val="20"/>
          <w:szCs w:val="20"/>
          <w:lang w:val="es-MX"/>
        </w:rPr>
        <w:t xml:space="preserve"> su 179 periodo de sesiones, la CIDH recibió preocupante información sobre</w:t>
      </w:r>
      <w:r w:rsidR="00CB3076" w:rsidRPr="004E3E07">
        <w:rPr>
          <w:rFonts w:ascii="Cambria" w:hAnsi="Cambria"/>
          <w:sz w:val="20"/>
          <w:szCs w:val="20"/>
          <w:lang w:val="es-MX"/>
        </w:rPr>
        <w:t xml:space="preserve"> omisiones y demoras injustificadas por parte de </w:t>
      </w:r>
      <w:r w:rsidR="00461CCA" w:rsidRPr="004E3E07">
        <w:rPr>
          <w:rFonts w:ascii="Cambria" w:hAnsi="Cambria"/>
          <w:sz w:val="20"/>
          <w:szCs w:val="20"/>
          <w:lang w:val="es-MX"/>
        </w:rPr>
        <w:t xml:space="preserve">la </w:t>
      </w:r>
      <w:r w:rsidR="00CB3076" w:rsidRPr="004E3E07">
        <w:rPr>
          <w:rFonts w:ascii="Cambria" w:hAnsi="Cambria"/>
          <w:sz w:val="20"/>
          <w:szCs w:val="20"/>
          <w:lang w:val="es-MX"/>
        </w:rPr>
        <w:t>C</w:t>
      </w:r>
      <w:r w:rsidR="00461CCA" w:rsidRPr="004E3E07">
        <w:rPr>
          <w:rFonts w:ascii="Cambria" w:hAnsi="Cambria"/>
          <w:sz w:val="20"/>
          <w:szCs w:val="20"/>
          <w:lang w:val="es-MX"/>
        </w:rPr>
        <w:t xml:space="preserve">omisión </w:t>
      </w:r>
      <w:r w:rsidR="00CB3076" w:rsidRPr="004E3E07">
        <w:rPr>
          <w:rFonts w:ascii="Cambria" w:hAnsi="Cambria"/>
          <w:sz w:val="20"/>
          <w:szCs w:val="20"/>
          <w:lang w:val="es-MX"/>
        </w:rPr>
        <w:t>E</w:t>
      </w:r>
      <w:r w:rsidR="00461CCA" w:rsidRPr="004E3E07">
        <w:rPr>
          <w:rFonts w:ascii="Cambria" w:hAnsi="Cambria"/>
          <w:sz w:val="20"/>
          <w:szCs w:val="20"/>
          <w:lang w:val="es-MX"/>
        </w:rPr>
        <w:t xml:space="preserve">jecutiva de </w:t>
      </w:r>
      <w:r w:rsidR="00CB3076" w:rsidRPr="004E3E07">
        <w:rPr>
          <w:rFonts w:ascii="Cambria" w:hAnsi="Cambria"/>
          <w:sz w:val="20"/>
          <w:szCs w:val="20"/>
          <w:lang w:val="es-MX"/>
        </w:rPr>
        <w:t>A</w:t>
      </w:r>
      <w:r w:rsidR="00461CCA" w:rsidRPr="004E3E07">
        <w:rPr>
          <w:rFonts w:ascii="Cambria" w:hAnsi="Cambria"/>
          <w:sz w:val="20"/>
          <w:szCs w:val="20"/>
          <w:lang w:val="es-MX"/>
        </w:rPr>
        <w:t xml:space="preserve">tención a </w:t>
      </w:r>
      <w:r w:rsidR="00CB3076" w:rsidRPr="004E3E07">
        <w:rPr>
          <w:rFonts w:ascii="Cambria" w:hAnsi="Cambria"/>
          <w:sz w:val="20"/>
          <w:szCs w:val="20"/>
          <w:lang w:val="es-MX"/>
        </w:rPr>
        <w:t>V</w:t>
      </w:r>
      <w:r w:rsidR="00461CCA" w:rsidRPr="004E3E07">
        <w:rPr>
          <w:rFonts w:ascii="Cambria" w:hAnsi="Cambria"/>
          <w:sz w:val="20"/>
          <w:szCs w:val="20"/>
          <w:lang w:val="es-MX"/>
        </w:rPr>
        <w:t>íctimas (CEAV)</w:t>
      </w:r>
      <w:r w:rsidR="00CB3076" w:rsidRPr="004E3E07">
        <w:rPr>
          <w:rFonts w:ascii="Cambria" w:hAnsi="Cambria"/>
          <w:sz w:val="20"/>
          <w:szCs w:val="20"/>
          <w:lang w:val="es-MX"/>
        </w:rPr>
        <w:t xml:space="preserve"> en </w:t>
      </w:r>
      <w:r w:rsidR="00461CCA" w:rsidRPr="004E3E07">
        <w:rPr>
          <w:rFonts w:ascii="Cambria" w:hAnsi="Cambria"/>
          <w:sz w:val="20"/>
          <w:szCs w:val="20"/>
          <w:lang w:val="es-MX"/>
        </w:rPr>
        <w:t xml:space="preserve">el procesamiento de </w:t>
      </w:r>
      <w:r w:rsidR="00CB3076" w:rsidRPr="004E3E07">
        <w:rPr>
          <w:rFonts w:ascii="Cambria" w:hAnsi="Cambria"/>
          <w:sz w:val="20"/>
          <w:szCs w:val="20"/>
          <w:lang w:val="es-MX"/>
        </w:rPr>
        <w:t xml:space="preserve">los pagos para el mantenimiento del equipo </w:t>
      </w:r>
      <w:r w:rsidR="00461CCA" w:rsidRPr="004E3E07">
        <w:rPr>
          <w:rFonts w:ascii="Cambria" w:hAnsi="Cambria"/>
          <w:sz w:val="20"/>
          <w:szCs w:val="20"/>
          <w:lang w:val="es-MX"/>
        </w:rPr>
        <w:t>bio</w:t>
      </w:r>
      <w:r w:rsidR="00CB3076" w:rsidRPr="004E3E07">
        <w:rPr>
          <w:rFonts w:ascii="Cambria" w:hAnsi="Cambria"/>
          <w:sz w:val="20"/>
          <w:szCs w:val="20"/>
          <w:lang w:val="es-MX"/>
        </w:rPr>
        <w:t xml:space="preserve">médico y del lugar en el que Aldo Gutiérrez Solano </w:t>
      </w:r>
      <w:r w:rsidR="00461CCA" w:rsidRPr="004E3E07">
        <w:rPr>
          <w:rFonts w:ascii="Cambria" w:hAnsi="Cambria"/>
          <w:sz w:val="20"/>
          <w:szCs w:val="20"/>
          <w:lang w:val="es-MX"/>
        </w:rPr>
        <w:t>recibe atención médica</w:t>
      </w:r>
      <w:r w:rsidR="00CB3076" w:rsidRPr="004E3E07">
        <w:rPr>
          <w:rStyle w:val="FootnoteReference"/>
          <w:rFonts w:ascii="Cambria" w:hAnsi="Cambria"/>
          <w:sz w:val="20"/>
          <w:szCs w:val="20"/>
          <w:lang w:val="es-MX"/>
        </w:rPr>
        <w:footnoteReference w:id="128"/>
      </w:r>
      <w:r w:rsidR="00CB3076" w:rsidRPr="004E3E07">
        <w:rPr>
          <w:rFonts w:ascii="Cambria" w:hAnsi="Cambria"/>
          <w:sz w:val="20"/>
          <w:szCs w:val="20"/>
          <w:lang w:val="es-MX"/>
        </w:rPr>
        <w:t>.</w:t>
      </w:r>
      <w:r w:rsidR="00461CCA" w:rsidRPr="004E3E07">
        <w:rPr>
          <w:rFonts w:ascii="Cambria" w:hAnsi="Cambria"/>
          <w:sz w:val="20"/>
          <w:szCs w:val="20"/>
          <w:lang w:val="es-MX"/>
        </w:rPr>
        <w:t xml:space="preserve"> </w:t>
      </w:r>
      <w:r w:rsidRPr="004E3E07">
        <w:rPr>
          <w:rFonts w:ascii="Cambria" w:hAnsi="Cambria"/>
          <w:sz w:val="20"/>
          <w:szCs w:val="20"/>
          <w:lang w:val="es-MX"/>
        </w:rPr>
        <w:t>Más tarde,</w:t>
      </w:r>
      <w:r w:rsidR="00461CCA" w:rsidRPr="004E3E07">
        <w:rPr>
          <w:rFonts w:ascii="Cambria" w:hAnsi="Cambria"/>
          <w:sz w:val="20"/>
          <w:szCs w:val="20"/>
          <w:lang w:val="es-MX"/>
        </w:rPr>
        <w:t xml:space="preserve"> la Comisión </w:t>
      </w:r>
      <w:r w:rsidRPr="004E3E07">
        <w:rPr>
          <w:rFonts w:ascii="Cambria" w:hAnsi="Cambria"/>
          <w:sz w:val="20"/>
          <w:szCs w:val="20"/>
          <w:lang w:val="es-MX"/>
        </w:rPr>
        <w:t xml:space="preserve">fue informada </w:t>
      </w:r>
      <w:r w:rsidR="00461CCA" w:rsidRPr="004E3E07">
        <w:rPr>
          <w:rFonts w:ascii="Cambria" w:hAnsi="Cambria"/>
          <w:sz w:val="20"/>
          <w:szCs w:val="20"/>
          <w:lang w:val="es-MX"/>
        </w:rPr>
        <w:t xml:space="preserve">de que la CEAV había realizado gestiones para el mantenimiento del ventilador de Aldo y </w:t>
      </w:r>
      <w:r w:rsidRPr="004E3E07">
        <w:rPr>
          <w:rFonts w:ascii="Cambria" w:hAnsi="Cambria"/>
          <w:sz w:val="20"/>
          <w:szCs w:val="20"/>
          <w:lang w:val="es-MX"/>
        </w:rPr>
        <w:t>para el</w:t>
      </w:r>
      <w:r w:rsidR="00461CCA" w:rsidRPr="004E3E07">
        <w:rPr>
          <w:rFonts w:ascii="Cambria" w:hAnsi="Cambria"/>
          <w:sz w:val="20"/>
          <w:szCs w:val="20"/>
          <w:lang w:val="es-MX"/>
        </w:rPr>
        <w:t xml:space="preserve"> </w:t>
      </w:r>
      <w:r w:rsidRPr="004E3E07">
        <w:rPr>
          <w:rFonts w:ascii="Cambria" w:hAnsi="Cambria"/>
          <w:sz w:val="20"/>
          <w:szCs w:val="20"/>
          <w:lang w:val="es-MX"/>
        </w:rPr>
        <w:t>procesamiento</w:t>
      </w:r>
      <w:r w:rsidR="00461CCA" w:rsidRPr="004E3E07">
        <w:rPr>
          <w:rFonts w:ascii="Cambria" w:hAnsi="Cambria"/>
          <w:sz w:val="20"/>
          <w:szCs w:val="20"/>
          <w:lang w:val="es-MX"/>
        </w:rPr>
        <w:t xml:space="preserve"> de los </w:t>
      </w:r>
      <w:r w:rsidRPr="004E3E07">
        <w:rPr>
          <w:rFonts w:ascii="Cambria" w:hAnsi="Cambria"/>
          <w:sz w:val="20"/>
          <w:szCs w:val="20"/>
          <w:lang w:val="es-MX"/>
        </w:rPr>
        <w:t>pagos</w:t>
      </w:r>
      <w:r w:rsidR="00461CCA" w:rsidRPr="004E3E07">
        <w:rPr>
          <w:rFonts w:ascii="Cambria" w:hAnsi="Cambria"/>
          <w:sz w:val="20"/>
          <w:szCs w:val="20"/>
          <w:lang w:val="es-MX"/>
        </w:rPr>
        <w:t xml:space="preserve"> pendientes hasta marzo de 2021, </w:t>
      </w:r>
      <w:r w:rsidRPr="004E3E07">
        <w:rPr>
          <w:rFonts w:ascii="Cambria" w:hAnsi="Cambria"/>
          <w:sz w:val="20"/>
          <w:szCs w:val="20"/>
          <w:lang w:val="es-MX"/>
        </w:rPr>
        <w:t>aunque</w:t>
      </w:r>
      <w:r w:rsidR="00461CCA" w:rsidRPr="004E3E07">
        <w:rPr>
          <w:rFonts w:ascii="Cambria" w:hAnsi="Cambria"/>
          <w:sz w:val="20"/>
          <w:szCs w:val="20"/>
          <w:lang w:val="es-MX"/>
        </w:rPr>
        <w:t xml:space="preserve"> volviendo a caer en demoras en los meses subsiguientes</w:t>
      </w:r>
      <w:r w:rsidRPr="004E3E07">
        <w:rPr>
          <w:rStyle w:val="FootnoteReference"/>
          <w:rFonts w:ascii="Cambria" w:hAnsi="Cambria"/>
          <w:sz w:val="20"/>
          <w:szCs w:val="20"/>
          <w:lang w:val="es-MX"/>
        </w:rPr>
        <w:footnoteReference w:id="129"/>
      </w:r>
      <w:r w:rsidR="00461CCA" w:rsidRPr="004E3E07">
        <w:rPr>
          <w:rFonts w:ascii="Cambria" w:hAnsi="Cambria"/>
          <w:sz w:val="20"/>
          <w:szCs w:val="20"/>
          <w:lang w:val="es-MX"/>
        </w:rPr>
        <w:t xml:space="preserve">. </w:t>
      </w:r>
      <w:r w:rsidR="004350D8" w:rsidRPr="004E3E07">
        <w:rPr>
          <w:rFonts w:ascii="Cambria" w:hAnsi="Cambria"/>
          <w:sz w:val="20"/>
          <w:szCs w:val="20"/>
          <w:lang w:val="es-MX"/>
        </w:rPr>
        <w:t>Para l</w:t>
      </w:r>
      <w:r w:rsidR="00461CCA" w:rsidRPr="004E3E07">
        <w:rPr>
          <w:rFonts w:ascii="Cambria" w:hAnsi="Cambria"/>
          <w:sz w:val="20"/>
          <w:szCs w:val="20"/>
          <w:lang w:val="es-MX"/>
        </w:rPr>
        <w:t xml:space="preserve">a CIDH </w:t>
      </w:r>
      <w:r w:rsidR="004350D8" w:rsidRPr="004E3E07">
        <w:rPr>
          <w:rFonts w:ascii="Cambria" w:hAnsi="Cambria"/>
          <w:sz w:val="20"/>
          <w:szCs w:val="20"/>
          <w:lang w:val="es-MX"/>
        </w:rPr>
        <w:t xml:space="preserve">resulta </w:t>
      </w:r>
      <w:r w:rsidR="00736E75">
        <w:rPr>
          <w:rFonts w:ascii="Cambria" w:hAnsi="Cambria"/>
          <w:sz w:val="20"/>
          <w:szCs w:val="20"/>
          <w:lang w:val="es-MX"/>
        </w:rPr>
        <w:t>fundamental</w:t>
      </w:r>
      <w:r w:rsidR="00461CCA" w:rsidRPr="004E3E07">
        <w:rPr>
          <w:rFonts w:ascii="Cambria" w:hAnsi="Cambria"/>
          <w:sz w:val="20"/>
          <w:szCs w:val="20"/>
          <w:lang w:val="es-MX"/>
        </w:rPr>
        <w:t xml:space="preserve"> garantizar </w:t>
      </w:r>
      <w:r w:rsidRPr="004E3E07">
        <w:rPr>
          <w:rFonts w:ascii="Cambria" w:hAnsi="Cambria"/>
          <w:sz w:val="20"/>
          <w:szCs w:val="20"/>
          <w:lang w:val="es-MX"/>
        </w:rPr>
        <w:t xml:space="preserve">un mecanismo sostenible y </w:t>
      </w:r>
      <w:r w:rsidR="00461CCA" w:rsidRPr="004E3E07">
        <w:rPr>
          <w:rFonts w:ascii="Cambria" w:hAnsi="Cambria"/>
          <w:sz w:val="20"/>
          <w:szCs w:val="20"/>
          <w:lang w:val="es-MX"/>
        </w:rPr>
        <w:t xml:space="preserve">oportuno </w:t>
      </w:r>
      <w:r w:rsidRPr="004E3E07">
        <w:rPr>
          <w:rFonts w:ascii="Cambria" w:hAnsi="Cambria"/>
          <w:sz w:val="20"/>
          <w:szCs w:val="20"/>
          <w:lang w:val="es-MX"/>
        </w:rPr>
        <w:t xml:space="preserve">en los pagos </w:t>
      </w:r>
      <w:r w:rsidR="00461CCA" w:rsidRPr="004E3E07">
        <w:rPr>
          <w:rFonts w:ascii="Cambria" w:hAnsi="Cambria"/>
          <w:sz w:val="20"/>
          <w:szCs w:val="20"/>
          <w:lang w:val="es-MX"/>
        </w:rPr>
        <w:t xml:space="preserve">de las medidas de asistencia </w:t>
      </w:r>
      <w:r w:rsidRPr="004E3E07">
        <w:rPr>
          <w:rFonts w:ascii="Cambria" w:hAnsi="Cambria"/>
          <w:sz w:val="20"/>
          <w:szCs w:val="20"/>
          <w:lang w:val="es-MX"/>
        </w:rPr>
        <w:t xml:space="preserve">otorgadas a favor de </w:t>
      </w:r>
      <w:r w:rsidR="00461CCA" w:rsidRPr="004E3E07">
        <w:rPr>
          <w:rFonts w:ascii="Cambria" w:hAnsi="Cambria"/>
          <w:sz w:val="20"/>
          <w:szCs w:val="20"/>
          <w:lang w:val="es-MX"/>
        </w:rPr>
        <w:t>Aldo</w:t>
      </w:r>
      <w:r w:rsidRPr="004E3E07">
        <w:rPr>
          <w:rFonts w:ascii="Cambria" w:hAnsi="Cambria"/>
          <w:sz w:val="20"/>
          <w:szCs w:val="20"/>
          <w:lang w:val="es-MX"/>
        </w:rPr>
        <w:t xml:space="preserve">, así como </w:t>
      </w:r>
      <w:r w:rsidR="004350D8" w:rsidRPr="004E3E07">
        <w:rPr>
          <w:rFonts w:ascii="Cambria" w:hAnsi="Cambria"/>
          <w:sz w:val="20"/>
          <w:szCs w:val="20"/>
          <w:lang w:val="es-MX"/>
        </w:rPr>
        <w:t xml:space="preserve">el mantenimiento </w:t>
      </w:r>
      <w:r w:rsidRPr="004E3E07">
        <w:rPr>
          <w:rFonts w:ascii="Cambria" w:hAnsi="Cambria"/>
          <w:sz w:val="20"/>
          <w:szCs w:val="20"/>
          <w:lang w:val="es-MX"/>
        </w:rPr>
        <w:t xml:space="preserve">periódico </w:t>
      </w:r>
      <w:r w:rsidR="004350D8" w:rsidRPr="004E3E07">
        <w:rPr>
          <w:rFonts w:ascii="Cambria" w:hAnsi="Cambria"/>
          <w:sz w:val="20"/>
          <w:szCs w:val="20"/>
          <w:lang w:val="es-MX"/>
        </w:rPr>
        <w:t>del equipo biomédico para su atención</w:t>
      </w:r>
      <w:r w:rsidRPr="004E3E07">
        <w:rPr>
          <w:rFonts w:ascii="Cambria" w:hAnsi="Cambria"/>
          <w:sz w:val="20"/>
          <w:szCs w:val="20"/>
          <w:lang w:val="es-MX"/>
        </w:rPr>
        <w:t>.</w:t>
      </w:r>
    </w:p>
    <w:p w14:paraId="48D67938" w14:textId="104E7BCA" w:rsidR="00970760" w:rsidRPr="004E3E07" w:rsidRDefault="00434866" w:rsidP="00970760">
      <w:pPr>
        <w:numPr>
          <w:ilvl w:val="0"/>
          <w:numId w:val="5"/>
        </w:numPr>
        <w:shd w:val="clear" w:color="auto" w:fill="FFFFFF"/>
        <w:spacing w:after="240" w:line="240" w:lineRule="auto"/>
        <w:ind w:left="0" w:firstLine="720"/>
        <w:jc w:val="both"/>
        <w:rPr>
          <w:rFonts w:ascii="Cambria" w:eastAsia="Cambria" w:hAnsi="Cambria" w:cs="Cambria"/>
          <w:sz w:val="20"/>
          <w:szCs w:val="20"/>
          <w:lang w:val="es-MX"/>
        </w:rPr>
      </w:pPr>
      <w:r w:rsidRPr="004E3E07">
        <w:rPr>
          <w:rFonts w:ascii="Cambria" w:hAnsi="Cambria"/>
          <w:sz w:val="20"/>
          <w:szCs w:val="20"/>
          <w:lang w:val="es-MX"/>
        </w:rPr>
        <w:t>Por otro lado</w:t>
      </w:r>
      <w:r w:rsidR="00CB3076" w:rsidRPr="004E3E07">
        <w:rPr>
          <w:rFonts w:ascii="Cambria" w:hAnsi="Cambria"/>
          <w:sz w:val="20"/>
          <w:szCs w:val="20"/>
          <w:lang w:val="es-MX"/>
        </w:rPr>
        <w:t>, la CIDH observa que</w:t>
      </w:r>
      <w:r w:rsidR="007C1063" w:rsidRPr="004E3E07">
        <w:rPr>
          <w:rFonts w:ascii="Cambria" w:hAnsi="Cambria"/>
          <w:sz w:val="20"/>
          <w:szCs w:val="20"/>
          <w:lang w:val="es-MX"/>
        </w:rPr>
        <w:t xml:space="preserve"> en 2019 se determinaron protocolos para </w:t>
      </w:r>
      <w:r w:rsidRPr="004E3E07">
        <w:rPr>
          <w:rFonts w:ascii="Cambria" w:hAnsi="Cambria"/>
          <w:sz w:val="20"/>
          <w:szCs w:val="20"/>
          <w:lang w:val="es-MX"/>
        </w:rPr>
        <w:t>garantizar la</w:t>
      </w:r>
      <w:r w:rsidR="007C1063" w:rsidRPr="004E3E07">
        <w:rPr>
          <w:rFonts w:ascii="Cambria" w:hAnsi="Cambria"/>
          <w:sz w:val="20"/>
          <w:szCs w:val="20"/>
          <w:lang w:val="es-MX"/>
        </w:rPr>
        <w:t xml:space="preserve"> </w:t>
      </w:r>
      <w:r w:rsidR="00461CCA" w:rsidRPr="004E3E07">
        <w:rPr>
          <w:rFonts w:ascii="Cambria" w:hAnsi="Cambria"/>
          <w:sz w:val="20"/>
          <w:szCs w:val="20"/>
          <w:lang w:val="es-MX"/>
        </w:rPr>
        <w:t>rehabilitación</w:t>
      </w:r>
      <w:r w:rsidR="00736E75">
        <w:rPr>
          <w:rFonts w:ascii="Cambria" w:hAnsi="Cambria"/>
          <w:sz w:val="20"/>
          <w:szCs w:val="20"/>
          <w:lang w:val="es-MX"/>
        </w:rPr>
        <w:t xml:space="preserve"> </w:t>
      </w:r>
      <w:r w:rsidRPr="004E3E07">
        <w:rPr>
          <w:rFonts w:ascii="Cambria" w:hAnsi="Cambria"/>
          <w:sz w:val="20"/>
          <w:szCs w:val="20"/>
          <w:lang w:val="es-MX"/>
        </w:rPr>
        <w:t>de Édgar Andrés Vargas</w:t>
      </w:r>
      <w:r w:rsidR="007C1063" w:rsidRPr="004E3E07">
        <w:rPr>
          <w:rFonts w:ascii="Cambria" w:hAnsi="Cambria"/>
          <w:sz w:val="20"/>
          <w:szCs w:val="20"/>
          <w:lang w:val="es-MX"/>
        </w:rPr>
        <w:t xml:space="preserve">. Sin embargo, </w:t>
      </w:r>
      <w:r w:rsidRPr="004E3E07">
        <w:rPr>
          <w:rFonts w:ascii="Cambria" w:hAnsi="Cambria"/>
          <w:sz w:val="20"/>
          <w:szCs w:val="20"/>
          <w:lang w:val="es-MX"/>
        </w:rPr>
        <w:t>la Comisión recibió información indicando que, a consecuencia de la emergencia sanitaria, los esquemas de atención debieron ser suspendidos, y toma nota de que</w:t>
      </w:r>
      <w:r w:rsidR="007C1063" w:rsidRPr="004E3E07">
        <w:rPr>
          <w:rFonts w:ascii="Cambria" w:hAnsi="Cambria"/>
          <w:sz w:val="20"/>
          <w:szCs w:val="20"/>
          <w:lang w:val="es-MX"/>
        </w:rPr>
        <w:t xml:space="preserve">, a principios de 2021, </w:t>
      </w:r>
      <w:r w:rsidR="00CB3076" w:rsidRPr="004E3E07">
        <w:rPr>
          <w:rFonts w:ascii="Cambria" w:hAnsi="Cambria"/>
          <w:sz w:val="20"/>
          <w:szCs w:val="20"/>
          <w:lang w:val="es-MX"/>
        </w:rPr>
        <w:t>se reanud</w:t>
      </w:r>
      <w:r w:rsidRPr="004E3E07">
        <w:rPr>
          <w:rFonts w:ascii="Cambria" w:hAnsi="Cambria"/>
          <w:sz w:val="20"/>
          <w:szCs w:val="20"/>
          <w:lang w:val="es-MX"/>
        </w:rPr>
        <w:t>ó su</w:t>
      </w:r>
      <w:r w:rsidR="00461CCA" w:rsidRPr="004E3E07">
        <w:rPr>
          <w:rFonts w:ascii="Cambria" w:hAnsi="Cambria"/>
          <w:sz w:val="20"/>
          <w:szCs w:val="20"/>
          <w:lang w:val="es-MX"/>
        </w:rPr>
        <w:t xml:space="preserve"> atención médica</w:t>
      </w:r>
      <w:r w:rsidR="00383578" w:rsidRPr="004E3E07">
        <w:rPr>
          <w:rStyle w:val="FootnoteReference"/>
          <w:rFonts w:ascii="Cambria" w:hAnsi="Cambria"/>
          <w:sz w:val="20"/>
          <w:szCs w:val="20"/>
          <w:lang w:val="es-MX"/>
        </w:rPr>
        <w:footnoteReference w:id="130"/>
      </w:r>
      <w:r w:rsidR="00461CCA" w:rsidRPr="004E3E07">
        <w:rPr>
          <w:rFonts w:ascii="Cambria" w:hAnsi="Cambria"/>
          <w:sz w:val="20"/>
          <w:szCs w:val="20"/>
          <w:lang w:val="es-MX"/>
        </w:rPr>
        <w:t xml:space="preserve">. </w:t>
      </w:r>
      <w:r w:rsidRPr="004E3E07">
        <w:rPr>
          <w:rFonts w:ascii="Cambria" w:hAnsi="Cambria"/>
          <w:sz w:val="20"/>
          <w:szCs w:val="20"/>
          <w:lang w:val="es-MX"/>
        </w:rPr>
        <w:t xml:space="preserve">En estos términos, la CIDH </w:t>
      </w:r>
      <w:r w:rsidR="004350D8" w:rsidRPr="004E3E07">
        <w:rPr>
          <w:rFonts w:ascii="Cambria" w:hAnsi="Cambria"/>
          <w:sz w:val="20"/>
          <w:szCs w:val="20"/>
          <w:lang w:val="es-MX"/>
        </w:rPr>
        <w:t xml:space="preserve">llama al Estado a </w:t>
      </w:r>
      <w:r w:rsidR="00461CCA" w:rsidRPr="004E3E07">
        <w:rPr>
          <w:rFonts w:ascii="Cambria" w:hAnsi="Cambria"/>
          <w:sz w:val="20"/>
          <w:szCs w:val="20"/>
          <w:lang w:val="es-MX"/>
        </w:rPr>
        <w:t xml:space="preserve">adelantar las gestiones necesarias para </w:t>
      </w:r>
      <w:r w:rsidR="00736E75">
        <w:rPr>
          <w:rFonts w:ascii="Cambria" w:hAnsi="Cambria"/>
          <w:sz w:val="20"/>
          <w:szCs w:val="20"/>
          <w:lang w:val="es-MX"/>
        </w:rPr>
        <w:t>otorgar</w:t>
      </w:r>
      <w:r w:rsidRPr="004E3E07">
        <w:rPr>
          <w:rFonts w:ascii="Cambria" w:hAnsi="Cambria"/>
          <w:sz w:val="20"/>
          <w:szCs w:val="20"/>
          <w:lang w:val="es-MX"/>
        </w:rPr>
        <w:t xml:space="preserve"> </w:t>
      </w:r>
      <w:r w:rsidR="00736E75">
        <w:rPr>
          <w:rFonts w:ascii="Cambria" w:hAnsi="Cambria"/>
          <w:sz w:val="20"/>
          <w:szCs w:val="20"/>
          <w:lang w:val="es-MX"/>
        </w:rPr>
        <w:t>el tratamiento, prótesis y rehabilitación correspondientes.</w:t>
      </w:r>
    </w:p>
    <w:p w14:paraId="66F53CD9" w14:textId="35E227C2" w:rsidR="00970760" w:rsidRPr="00557621" w:rsidRDefault="00970760" w:rsidP="00557621">
      <w:pPr>
        <w:numPr>
          <w:ilvl w:val="0"/>
          <w:numId w:val="5"/>
        </w:numPr>
        <w:shd w:val="clear" w:color="auto" w:fill="FFFFFF"/>
        <w:spacing w:after="240" w:line="240" w:lineRule="auto"/>
        <w:ind w:left="0" w:firstLine="720"/>
        <w:jc w:val="both"/>
        <w:rPr>
          <w:rFonts w:ascii="Cambria" w:eastAsia="Cambria" w:hAnsi="Cambria" w:cs="Cambria"/>
          <w:sz w:val="20"/>
          <w:szCs w:val="20"/>
          <w:lang w:val="es-MX"/>
        </w:rPr>
      </w:pPr>
      <w:r w:rsidRPr="004E3E07">
        <w:rPr>
          <w:rFonts w:ascii="Cambria" w:eastAsia="Cambria" w:hAnsi="Cambria" w:cs="Cambria"/>
          <w:sz w:val="20"/>
          <w:szCs w:val="20"/>
          <w:lang w:val="es-MX"/>
        </w:rPr>
        <w:t xml:space="preserve">Respecto de las medidas estructurales para evitar la repetición de los hechos de Ayotzinapa, </w:t>
      </w:r>
      <w:r w:rsidR="00CC0B65">
        <w:rPr>
          <w:rFonts w:ascii="Cambria" w:eastAsia="Cambria" w:hAnsi="Cambria" w:cs="Cambria"/>
          <w:sz w:val="20"/>
          <w:szCs w:val="20"/>
          <w:lang w:val="es-MX"/>
        </w:rPr>
        <w:t>la CIDH observa positivamente</w:t>
      </w:r>
      <w:r w:rsidR="00726417">
        <w:rPr>
          <w:rFonts w:ascii="Cambria" w:eastAsia="Cambria" w:hAnsi="Cambria" w:cs="Cambria"/>
          <w:sz w:val="20"/>
          <w:szCs w:val="20"/>
          <w:lang w:val="es-MX"/>
        </w:rPr>
        <w:t xml:space="preserve"> </w:t>
      </w:r>
      <w:r w:rsidR="005D7447">
        <w:rPr>
          <w:rFonts w:ascii="Cambria" w:eastAsia="Cambria" w:hAnsi="Cambria" w:cs="Cambria"/>
          <w:sz w:val="20"/>
          <w:szCs w:val="20"/>
          <w:lang w:val="es-MX"/>
        </w:rPr>
        <w:t xml:space="preserve">que la labor del Comité de Seguimiento del MEIF ha sido efectiva y que </w:t>
      </w:r>
      <w:r w:rsidR="00557621">
        <w:rPr>
          <w:rFonts w:ascii="Cambria" w:eastAsia="Cambria" w:hAnsi="Cambria" w:cs="Cambria"/>
          <w:sz w:val="20"/>
          <w:szCs w:val="20"/>
          <w:lang w:val="es-MX"/>
        </w:rPr>
        <w:t xml:space="preserve">el </w:t>
      </w:r>
      <w:r w:rsidRPr="004E3E07">
        <w:rPr>
          <w:rFonts w:ascii="Cambria" w:eastAsia="Cambria" w:hAnsi="Cambria" w:cs="Cambria"/>
          <w:sz w:val="20"/>
          <w:szCs w:val="20"/>
          <w:lang w:val="es-MX"/>
        </w:rPr>
        <w:t xml:space="preserve">Grupo Coordinador </w:t>
      </w:r>
      <w:r w:rsidR="00557621">
        <w:rPr>
          <w:rFonts w:ascii="Cambria" w:eastAsia="Cambria" w:hAnsi="Cambria" w:cs="Cambria"/>
          <w:sz w:val="20"/>
          <w:szCs w:val="20"/>
          <w:lang w:val="es-MX"/>
        </w:rPr>
        <w:t>fue contratado</w:t>
      </w:r>
      <w:r w:rsidR="00F505CD" w:rsidRPr="00BA6325">
        <w:rPr>
          <w:rFonts w:ascii="Cambria" w:eastAsia="Cambria" w:hAnsi="Cambria" w:cs="Cambria"/>
          <w:sz w:val="20"/>
          <w:szCs w:val="20"/>
          <w:lang w:val="es-MX"/>
        </w:rPr>
        <w:t xml:space="preserve">, aunado a que </w:t>
      </w:r>
      <w:r w:rsidR="00557621">
        <w:rPr>
          <w:rFonts w:ascii="Cambria" w:eastAsia="Cambria" w:hAnsi="Cambria" w:cs="Cambria"/>
          <w:sz w:val="20"/>
          <w:szCs w:val="20"/>
          <w:lang w:val="es-MX"/>
        </w:rPr>
        <w:t xml:space="preserve">se encuentra </w:t>
      </w:r>
      <w:r w:rsidR="00F505CD" w:rsidRPr="00BA6325">
        <w:rPr>
          <w:rFonts w:ascii="Cambria" w:eastAsia="Cambria" w:hAnsi="Cambria" w:cs="Cambria"/>
          <w:sz w:val="20"/>
          <w:szCs w:val="20"/>
          <w:lang w:val="es-MX"/>
        </w:rPr>
        <w:t xml:space="preserve">ya </w:t>
      </w:r>
      <w:r w:rsidR="00557621">
        <w:rPr>
          <w:rFonts w:ascii="Cambria" w:eastAsia="Cambria" w:hAnsi="Cambria" w:cs="Cambria"/>
          <w:sz w:val="20"/>
          <w:szCs w:val="20"/>
          <w:lang w:val="es-MX"/>
        </w:rPr>
        <w:t>en funciones.</w:t>
      </w:r>
      <w:r w:rsidRPr="004E3E07">
        <w:rPr>
          <w:rFonts w:ascii="Cambria" w:eastAsia="Cambria" w:hAnsi="Cambria" w:cs="Cambria"/>
          <w:sz w:val="20"/>
          <w:szCs w:val="20"/>
          <w:lang w:val="es-MX"/>
        </w:rPr>
        <w:t xml:space="preserve"> </w:t>
      </w:r>
      <w:r w:rsidR="00557621">
        <w:rPr>
          <w:rFonts w:ascii="Cambria" w:eastAsia="Cambria" w:hAnsi="Cambria" w:cs="Cambria"/>
          <w:sz w:val="20"/>
          <w:szCs w:val="20"/>
          <w:lang w:val="es-MX"/>
        </w:rPr>
        <w:t xml:space="preserve">Asimismo, la Comisión destaca que el Estado continua con el proceso de protocolización de las labores de búsqueda de personas desaparecidas y </w:t>
      </w:r>
      <w:r w:rsidR="008170DD" w:rsidRPr="00BA6325">
        <w:rPr>
          <w:rFonts w:ascii="Cambria" w:eastAsia="Cambria" w:hAnsi="Cambria" w:cs="Cambria"/>
          <w:sz w:val="20"/>
          <w:szCs w:val="20"/>
          <w:lang w:val="es-MX"/>
        </w:rPr>
        <w:t>q</w:t>
      </w:r>
      <w:r w:rsidR="001B1268" w:rsidRPr="00BA6325">
        <w:rPr>
          <w:rFonts w:ascii="Cambria" w:eastAsia="Cambria" w:hAnsi="Cambria" w:cs="Cambria"/>
          <w:sz w:val="20"/>
          <w:szCs w:val="20"/>
          <w:lang w:val="es-MX"/>
        </w:rPr>
        <w:t xml:space="preserve">ue el SNB </w:t>
      </w:r>
      <w:r w:rsidR="008170DD" w:rsidRPr="00BA6325">
        <w:rPr>
          <w:rFonts w:ascii="Cambria" w:eastAsia="Cambria" w:hAnsi="Cambria" w:cs="Cambria"/>
          <w:sz w:val="20"/>
          <w:szCs w:val="20"/>
          <w:lang w:val="es-MX"/>
        </w:rPr>
        <w:t>adoptó</w:t>
      </w:r>
      <w:r w:rsidR="001B1268" w:rsidRPr="00BA6325">
        <w:rPr>
          <w:rFonts w:ascii="Cambria" w:eastAsia="Cambria" w:hAnsi="Cambria" w:cs="Cambria"/>
          <w:sz w:val="20"/>
          <w:szCs w:val="20"/>
          <w:lang w:val="es-MX"/>
        </w:rPr>
        <w:t xml:space="preserve"> tanto</w:t>
      </w:r>
      <w:r w:rsidR="00557621">
        <w:rPr>
          <w:rFonts w:ascii="Cambria" w:eastAsia="Cambria" w:hAnsi="Cambria" w:cs="Cambria"/>
          <w:sz w:val="20"/>
          <w:szCs w:val="20"/>
          <w:lang w:val="es-MX"/>
        </w:rPr>
        <w:t xml:space="preserve"> el </w:t>
      </w:r>
      <w:r w:rsidRPr="004E3E07">
        <w:rPr>
          <w:rFonts w:ascii="Cambria" w:eastAsia="Cambria" w:hAnsi="Cambria" w:cs="Cambria"/>
          <w:sz w:val="20"/>
          <w:szCs w:val="20"/>
          <w:lang w:val="es-MX"/>
        </w:rPr>
        <w:t>Protocolo Adicional para la Búsqueda de Niñas, Niños y Adolescentes Desaparecidas</w:t>
      </w:r>
      <w:r w:rsidR="00724C3E" w:rsidRPr="004E3E07">
        <w:rPr>
          <w:rStyle w:val="FootnoteReference"/>
          <w:rFonts w:ascii="Cambria" w:eastAsia="Cambria" w:hAnsi="Cambria" w:cs="Cambria"/>
          <w:sz w:val="20"/>
          <w:szCs w:val="20"/>
          <w:lang w:val="es-MX"/>
        </w:rPr>
        <w:footnoteReference w:id="131"/>
      </w:r>
      <w:r w:rsidRPr="004E3E07">
        <w:rPr>
          <w:rFonts w:ascii="Cambria" w:eastAsia="Cambria" w:hAnsi="Cambria" w:cs="Cambria"/>
          <w:sz w:val="20"/>
          <w:szCs w:val="20"/>
          <w:lang w:val="es-MX"/>
        </w:rPr>
        <w:t xml:space="preserve"> como </w:t>
      </w:r>
      <w:r w:rsidR="008170DD" w:rsidRPr="00BA6325">
        <w:rPr>
          <w:rFonts w:ascii="Cambria" w:eastAsia="Cambria" w:hAnsi="Cambria" w:cs="Cambria"/>
          <w:sz w:val="20"/>
          <w:szCs w:val="20"/>
          <w:lang w:val="es-MX"/>
        </w:rPr>
        <w:t>el acuerdo de</w:t>
      </w:r>
      <w:r w:rsidRPr="004E3E07">
        <w:rPr>
          <w:rFonts w:ascii="Cambria" w:eastAsia="Cambria" w:hAnsi="Cambria" w:cs="Cambria"/>
          <w:sz w:val="20"/>
          <w:szCs w:val="20"/>
          <w:lang w:val="es-MX"/>
        </w:rPr>
        <w:t xml:space="preserve"> creación de la Mesa Nacional de Búsqueda de Personas Migrantes Desaparecidas</w:t>
      </w:r>
      <w:r w:rsidR="001B1268" w:rsidRPr="00BA6325">
        <w:rPr>
          <w:rFonts w:ascii="Cambria" w:eastAsia="Cambria" w:hAnsi="Cambria" w:cs="Cambria"/>
          <w:sz w:val="20"/>
          <w:szCs w:val="20"/>
          <w:lang w:val="es-MX"/>
        </w:rPr>
        <w:t>, además de que</w:t>
      </w:r>
      <w:r w:rsidRPr="004E3E07">
        <w:rPr>
          <w:rFonts w:ascii="Cambria" w:eastAsia="Cambria" w:hAnsi="Cambria" w:cs="Cambria"/>
          <w:sz w:val="20"/>
          <w:szCs w:val="20"/>
          <w:lang w:val="es-MX"/>
        </w:rPr>
        <w:t xml:space="preserve"> los Lineamientos del Mecanismo de Apoyo Exterior para la Búsqueda e Investigación</w:t>
      </w:r>
      <w:r w:rsidR="001B1268" w:rsidRPr="00BA6325">
        <w:rPr>
          <w:rFonts w:ascii="Cambria" w:eastAsia="Cambria" w:hAnsi="Cambria" w:cs="Cambria"/>
          <w:sz w:val="20"/>
          <w:szCs w:val="20"/>
          <w:lang w:val="es-MX"/>
        </w:rPr>
        <w:t xml:space="preserve"> se encuentran en proceso de elaboración</w:t>
      </w:r>
      <w:r w:rsidR="00724C3E" w:rsidRPr="00BA6325">
        <w:rPr>
          <w:rStyle w:val="FootnoteReference"/>
          <w:rFonts w:ascii="Cambria" w:eastAsia="Cambria" w:hAnsi="Cambria" w:cs="Cambria"/>
          <w:sz w:val="20"/>
          <w:szCs w:val="20"/>
          <w:lang w:val="es-MX"/>
        </w:rPr>
        <w:footnoteReference w:id="132"/>
      </w:r>
      <w:r w:rsidRPr="00BA6325">
        <w:rPr>
          <w:rFonts w:ascii="Cambria" w:eastAsia="Cambria" w:hAnsi="Cambria" w:cs="Cambria"/>
          <w:sz w:val="20"/>
          <w:szCs w:val="20"/>
          <w:lang w:val="es-MX"/>
        </w:rPr>
        <w:t>.</w:t>
      </w:r>
      <w:r w:rsidRPr="004E3E07">
        <w:rPr>
          <w:rFonts w:ascii="Cambria" w:eastAsia="Cambria" w:hAnsi="Cambria" w:cs="Cambria"/>
          <w:sz w:val="20"/>
          <w:szCs w:val="20"/>
          <w:lang w:val="es-MX"/>
        </w:rPr>
        <w:t xml:space="preserve"> </w:t>
      </w:r>
      <w:r w:rsidR="00557621">
        <w:rPr>
          <w:rFonts w:ascii="Cambria" w:eastAsia="Cambria" w:hAnsi="Cambria" w:cs="Cambria"/>
          <w:sz w:val="20"/>
          <w:szCs w:val="20"/>
          <w:lang w:val="es-MX"/>
        </w:rPr>
        <w:t xml:space="preserve">La CIDH ha dado seguimiento </w:t>
      </w:r>
      <w:r w:rsidR="00557621" w:rsidRPr="00BA6325">
        <w:rPr>
          <w:rFonts w:ascii="Cambria" w:eastAsia="Cambria" w:hAnsi="Cambria" w:cs="Cambria"/>
          <w:sz w:val="20"/>
          <w:szCs w:val="20"/>
          <w:lang w:val="es-MX"/>
        </w:rPr>
        <w:t>a</w:t>
      </w:r>
      <w:r w:rsidR="00017414" w:rsidRPr="00BA6325">
        <w:rPr>
          <w:rFonts w:ascii="Cambria" w:eastAsia="Cambria" w:hAnsi="Cambria" w:cs="Cambria"/>
          <w:sz w:val="20"/>
          <w:szCs w:val="20"/>
          <w:lang w:val="es-MX"/>
        </w:rPr>
        <w:t xml:space="preserve"> </w:t>
      </w:r>
      <w:r w:rsidRPr="00BA6325">
        <w:rPr>
          <w:rFonts w:ascii="Cambria" w:eastAsia="Cambria" w:hAnsi="Cambria" w:cs="Cambria"/>
          <w:sz w:val="20"/>
          <w:szCs w:val="20"/>
          <w:lang w:val="es-MX"/>
        </w:rPr>
        <w:t>las</w:t>
      </w:r>
      <w:r w:rsidRPr="004E3E07">
        <w:rPr>
          <w:rFonts w:ascii="Cambria" w:eastAsia="Cambria" w:hAnsi="Cambria" w:cs="Cambria"/>
          <w:sz w:val="20"/>
          <w:szCs w:val="20"/>
          <w:lang w:val="es-MX"/>
        </w:rPr>
        <w:t xml:space="preserve"> sesiones ordinarias y extraordinarias del Sistema Nacional de Búsqueda de 2021</w:t>
      </w:r>
      <w:r w:rsidR="001B1268" w:rsidRPr="00BA6325">
        <w:rPr>
          <w:rFonts w:ascii="Cambria" w:eastAsia="Cambria" w:hAnsi="Cambria" w:cs="Cambria"/>
          <w:sz w:val="20"/>
          <w:szCs w:val="20"/>
          <w:lang w:val="es-MX"/>
        </w:rPr>
        <w:t>,</w:t>
      </w:r>
      <w:r w:rsidR="00557621">
        <w:rPr>
          <w:rFonts w:ascii="Cambria" w:eastAsia="Cambria" w:hAnsi="Cambria" w:cs="Cambria"/>
          <w:sz w:val="20"/>
          <w:szCs w:val="20"/>
          <w:lang w:val="es-MX"/>
        </w:rPr>
        <w:t xml:space="preserve"> y o</w:t>
      </w:r>
      <w:r w:rsidRPr="00557621">
        <w:rPr>
          <w:rFonts w:ascii="Cambria" w:eastAsia="Cambria" w:hAnsi="Cambria" w:cs="Cambria"/>
          <w:sz w:val="20"/>
          <w:szCs w:val="20"/>
          <w:lang w:val="es-MX"/>
        </w:rPr>
        <w:t>bserva positivamente la profundización de las acciones destinadas a abordar el problema de la desaparición y desaparición forzada en México de acuerdo con las recomendaciones del GIEI y el MESA.</w:t>
      </w:r>
    </w:p>
    <w:p w14:paraId="0C2B7381" w14:textId="1C1BC4BD" w:rsidR="00970760" w:rsidRPr="004E3E07" w:rsidRDefault="00970760" w:rsidP="002069B2">
      <w:pPr>
        <w:numPr>
          <w:ilvl w:val="0"/>
          <w:numId w:val="5"/>
        </w:numPr>
        <w:shd w:val="clear" w:color="auto" w:fill="FFFFFF"/>
        <w:spacing w:after="240" w:line="240" w:lineRule="auto"/>
        <w:ind w:left="0" w:firstLine="720"/>
        <w:jc w:val="both"/>
        <w:rPr>
          <w:rFonts w:ascii="Cambria" w:eastAsia="Cambria" w:hAnsi="Cambria" w:cs="Cambria"/>
          <w:sz w:val="20"/>
          <w:szCs w:val="20"/>
          <w:lang w:val="es-MX"/>
        </w:rPr>
      </w:pPr>
      <w:r w:rsidRPr="004E3E07">
        <w:rPr>
          <w:rFonts w:ascii="Cambria" w:eastAsia="Cambria" w:hAnsi="Cambria" w:cs="Cambria"/>
          <w:sz w:val="20"/>
          <w:szCs w:val="20"/>
          <w:lang w:val="es-MX"/>
        </w:rPr>
        <w:t xml:space="preserve">La CIDH continuará participando y desplegando sus funciones de monitoreo y asistencia técnica respecto de las labores de búsqueda, investigación, asistencia a víctimas y el establecimiento de medidas estructurales de no repetición, en virtud de la medida cautelar a favor de los 43 estudiantes desaparecidos y sus familias, y sus mandatos convencionales. Respecto de la recomendación bajo análisis, la CIDH considera que existen avances importantes </w:t>
      </w:r>
      <w:r w:rsidR="00812893">
        <w:rPr>
          <w:rFonts w:ascii="Cambria" w:eastAsia="Cambria" w:hAnsi="Cambria" w:cs="Cambria"/>
          <w:sz w:val="20"/>
          <w:szCs w:val="20"/>
          <w:lang w:val="es-MX"/>
        </w:rPr>
        <w:t>tales como</w:t>
      </w:r>
      <w:r w:rsidRPr="004E3E07">
        <w:rPr>
          <w:rFonts w:ascii="Cambria" w:eastAsia="Cambria" w:hAnsi="Cambria" w:cs="Cambria"/>
          <w:sz w:val="20"/>
          <w:szCs w:val="20"/>
          <w:lang w:val="es-MX"/>
        </w:rPr>
        <w:t xml:space="preserve"> la </w:t>
      </w:r>
      <w:r w:rsidR="00812893">
        <w:rPr>
          <w:rFonts w:ascii="Cambria" w:eastAsia="Cambria" w:hAnsi="Cambria" w:cs="Cambria"/>
          <w:sz w:val="20"/>
          <w:szCs w:val="20"/>
          <w:lang w:val="es-MX"/>
        </w:rPr>
        <w:t>identificación positiva de dos estudiantes normalistas. Sin embargo, continúa siendo fundamental la</w:t>
      </w:r>
      <w:r w:rsidRPr="004E3E07">
        <w:rPr>
          <w:rFonts w:ascii="Cambria" w:eastAsia="Cambria" w:hAnsi="Cambria" w:cs="Cambria"/>
          <w:sz w:val="20"/>
          <w:szCs w:val="20"/>
          <w:lang w:val="es-MX"/>
        </w:rPr>
        <w:t xml:space="preserve"> profundización de las líneas de investigación para el esclarecimiento de los hechos y la determinación de las responsabilidades correspondientes, incluyendo a las víctimas en las acciones orientadas a la determinación de la justicia, por lo que considera que la recomendación se encuentra en cumplimiento parcial. </w:t>
      </w:r>
      <w:r w:rsidR="00812893">
        <w:rPr>
          <w:rFonts w:ascii="Cambria" w:eastAsia="Cambria" w:hAnsi="Cambria" w:cs="Cambria"/>
          <w:sz w:val="20"/>
          <w:szCs w:val="20"/>
          <w:lang w:val="es-MX"/>
        </w:rPr>
        <w:t>Por último, la Comisión reitera que se encuentra elaborando un informe de seguimiento al cumplimiento de las recomendaciones de la medida cautelar, así como del GIEI y del MESA.</w:t>
      </w:r>
      <w:r w:rsidRPr="004E3E07">
        <w:rPr>
          <w:rFonts w:ascii="Cambria" w:eastAsia="Cambria" w:hAnsi="Cambria" w:cs="Cambria"/>
          <w:sz w:val="20"/>
          <w:szCs w:val="20"/>
          <w:lang w:val="es-MX"/>
        </w:rPr>
        <w:t xml:space="preserve"> </w:t>
      </w:r>
    </w:p>
    <w:p w14:paraId="146069AC" w14:textId="0E3109C3" w:rsidR="002277F5" w:rsidRPr="004E3E07" w:rsidRDefault="007E25FF" w:rsidP="00BD18FA">
      <w:pPr>
        <w:pStyle w:val="Heading2"/>
        <w:rPr>
          <w:lang w:val="es-MX"/>
        </w:rPr>
      </w:pPr>
      <w:r w:rsidRPr="004E3E07">
        <w:rPr>
          <w:lang w:val="es-MX"/>
        </w:rPr>
        <w:t>Tortura</w:t>
      </w:r>
    </w:p>
    <w:p w14:paraId="146069AD" w14:textId="77777777" w:rsidR="002277F5" w:rsidRPr="004E3E07" w:rsidRDefault="007E25FF">
      <w:pPr>
        <w:numPr>
          <w:ilvl w:val="0"/>
          <w:numId w:val="15"/>
        </w:numPr>
        <w:pBdr>
          <w:top w:val="nil"/>
          <w:left w:val="nil"/>
          <w:bottom w:val="nil"/>
          <w:right w:val="nil"/>
          <w:between w:val="nil"/>
        </w:pBdr>
        <w:shd w:val="clear" w:color="auto" w:fill="D9D9D9"/>
        <w:spacing w:after="0" w:line="240" w:lineRule="auto"/>
        <w:ind w:hanging="720"/>
        <w:jc w:val="both"/>
        <w:rPr>
          <w:rFonts w:ascii="Cambria" w:hAnsi="Cambria"/>
          <w:lang w:val="es-MX"/>
        </w:rPr>
      </w:pPr>
      <w:r w:rsidRPr="004E3E07">
        <w:rPr>
          <w:rFonts w:ascii="Cambria" w:eastAsia="Cambria" w:hAnsi="Cambria" w:cs="Cambria"/>
          <w:sz w:val="20"/>
          <w:szCs w:val="20"/>
          <w:lang w:val="es-MX"/>
        </w:rPr>
        <w:t>Adoptar una Ley General sobre Tortura y otros tratos o penas crueles, inhumanos o degradantes y adoptar todas las medidas necesarias para asegurar que, tanto a nivel federal como estatal, la legislación y las prácticas se ajusten a los estándares internacionales en la materia, en particular en la Convención Interamericana para Prevenir y Sancionar la Tortura.</w:t>
      </w:r>
    </w:p>
    <w:p w14:paraId="146069AE" w14:textId="77777777" w:rsidR="002277F5" w:rsidRPr="004E3E07" w:rsidRDefault="007E25FF">
      <w:pPr>
        <w:numPr>
          <w:ilvl w:val="0"/>
          <w:numId w:val="15"/>
        </w:numPr>
        <w:pBdr>
          <w:top w:val="nil"/>
          <w:left w:val="nil"/>
          <w:bottom w:val="nil"/>
          <w:right w:val="nil"/>
          <w:between w:val="nil"/>
        </w:pBdr>
        <w:shd w:val="clear" w:color="auto" w:fill="D9D9D9"/>
        <w:spacing w:after="0" w:line="240" w:lineRule="auto"/>
        <w:ind w:hanging="720"/>
        <w:jc w:val="both"/>
        <w:rPr>
          <w:rFonts w:ascii="Cambria" w:hAnsi="Cambria"/>
          <w:lang w:val="es-MX"/>
        </w:rPr>
      </w:pPr>
      <w:r w:rsidRPr="004E3E07">
        <w:rPr>
          <w:rFonts w:ascii="Cambria" w:eastAsia="Cambria" w:hAnsi="Cambria" w:cs="Cambria"/>
          <w:sz w:val="20"/>
          <w:szCs w:val="20"/>
          <w:lang w:val="es-MX"/>
        </w:rPr>
        <w:t>En particular, asegurar que la Ley General sobre Tortura excluya “pruebas” y “confesiones” obtenidas mediante tortura del proceso penal de la persona torturada y de otras personas implicadas en dichas confesiones. Establecer claramente en la ley que la parte acusadora tiene la carga de la prueba para demostrar la licitud de cualquier prueba impugnada.</w:t>
      </w:r>
    </w:p>
    <w:p w14:paraId="146069AF" w14:textId="77777777" w:rsidR="002277F5" w:rsidRPr="004E3E07" w:rsidRDefault="007E25FF">
      <w:pPr>
        <w:numPr>
          <w:ilvl w:val="0"/>
          <w:numId w:val="15"/>
        </w:numPr>
        <w:pBdr>
          <w:top w:val="nil"/>
          <w:left w:val="nil"/>
          <w:bottom w:val="nil"/>
          <w:right w:val="nil"/>
          <w:between w:val="nil"/>
        </w:pBdr>
        <w:shd w:val="clear" w:color="auto" w:fill="D9D9D9"/>
        <w:spacing w:after="0" w:line="240" w:lineRule="auto"/>
        <w:ind w:hanging="720"/>
        <w:jc w:val="both"/>
        <w:rPr>
          <w:rFonts w:ascii="Cambria" w:hAnsi="Cambria"/>
          <w:lang w:val="es-MX"/>
        </w:rPr>
      </w:pPr>
      <w:r w:rsidRPr="004E3E07">
        <w:rPr>
          <w:rFonts w:ascii="Cambria" w:eastAsia="Cambria" w:hAnsi="Cambria" w:cs="Cambria"/>
          <w:sz w:val="20"/>
          <w:szCs w:val="20"/>
          <w:lang w:val="es-MX"/>
        </w:rPr>
        <w:t>Crear un Registro Único Nacional de personas detenidas y asegurar que dichas personas sean puestas a disposición inmediata de un juez bajo riesgo de sanción.</w:t>
      </w:r>
    </w:p>
    <w:p w14:paraId="146069B0" w14:textId="77777777" w:rsidR="002277F5" w:rsidRPr="004E3E07" w:rsidRDefault="007E25FF">
      <w:pPr>
        <w:numPr>
          <w:ilvl w:val="0"/>
          <w:numId w:val="15"/>
        </w:numPr>
        <w:pBdr>
          <w:top w:val="nil"/>
          <w:left w:val="nil"/>
          <w:bottom w:val="nil"/>
          <w:right w:val="nil"/>
          <w:between w:val="nil"/>
        </w:pBdr>
        <w:shd w:val="clear" w:color="auto" w:fill="D9D9D9"/>
        <w:spacing w:after="0" w:line="240" w:lineRule="auto"/>
        <w:ind w:hanging="720"/>
        <w:jc w:val="both"/>
        <w:rPr>
          <w:rFonts w:ascii="Cambria" w:hAnsi="Cambria"/>
          <w:lang w:val="es-MX"/>
        </w:rPr>
      </w:pPr>
      <w:r w:rsidRPr="004E3E07">
        <w:rPr>
          <w:rFonts w:ascii="Cambria" w:eastAsia="Cambria" w:hAnsi="Cambria" w:cs="Cambria"/>
          <w:sz w:val="20"/>
          <w:szCs w:val="20"/>
          <w:lang w:val="es-MX"/>
        </w:rPr>
        <w:t xml:space="preserve">Investigar casos en los que los jueces no han ordenado una investigación cuando existan denuncias o indicios de tortura o malos tratos. Asegurar que se aplique el Protocolo de Estambul a nivel nacional por autoridades competentes e independientes en forma expedita y bajo riesgo de sanción. </w:t>
      </w:r>
    </w:p>
    <w:p w14:paraId="146069B1" w14:textId="77777777" w:rsidR="002277F5" w:rsidRPr="004E3E07" w:rsidRDefault="007E25FF">
      <w:pPr>
        <w:numPr>
          <w:ilvl w:val="0"/>
          <w:numId w:val="15"/>
        </w:numPr>
        <w:pBdr>
          <w:top w:val="nil"/>
          <w:left w:val="nil"/>
          <w:bottom w:val="nil"/>
          <w:right w:val="nil"/>
          <w:between w:val="nil"/>
        </w:pBdr>
        <w:shd w:val="clear" w:color="auto" w:fill="D9D9D9"/>
        <w:spacing w:after="0" w:line="240" w:lineRule="auto"/>
        <w:ind w:hanging="720"/>
        <w:jc w:val="both"/>
        <w:rPr>
          <w:rFonts w:ascii="Cambria" w:hAnsi="Cambria"/>
          <w:lang w:val="es-MX"/>
        </w:rPr>
      </w:pPr>
      <w:r w:rsidRPr="004E3E07">
        <w:rPr>
          <w:rFonts w:ascii="Cambria" w:eastAsia="Cambria" w:hAnsi="Cambria" w:cs="Cambria"/>
          <w:sz w:val="20"/>
          <w:szCs w:val="20"/>
          <w:lang w:val="es-MX"/>
        </w:rPr>
        <w:t>Establecer el uso obligatorio de cámaras y otros protocolos de seguridad durante los interrogatorios y en las patrullas como medida preventiva de la tortura y otros tratos crueles, inhumanos y degradantes.</w:t>
      </w:r>
    </w:p>
    <w:p w14:paraId="146069B2" w14:textId="77777777" w:rsidR="002277F5" w:rsidRPr="004E3E07" w:rsidRDefault="007E25FF">
      <w:pPr>
        <w:numPr>
          <w:ilvl w:val="0"/>
          <w:numId w:val="15"/>
        </w:numPr>
        <w:pBdr>
          <w:top w:val="nil"/>
          <w:left w:val="nil"/>
          <w:bottom w:val="nil"/>
          <w:right w:val="nil"/>
          <w:between w:val="nil"/>
        </w:pBdr>
        <w:shd w:val="clear" w:color="auto" w:fill="D9D9D9"/>
        <w:spacing w:after="0" w:line="240" w:lineRule="auto"/>
        <w:ind w:hanging="720"/>
        <w:jc w:val="both"/>
        <w:rPr>
          <w:rFonts w:ascii="Cambria" w:hAnsi="Cambria"/>
          <w:lang w:val="es-MX"/>
        </w:rPr>
      </w:pPr>
      <w:r w:rsidRPr="004E3E07">
        <w:rPr>
          <w:rFonts w:ascii="Cambria" w:eastAsia="Cambria" w:hAnsi="Cambria" w:cs="Cambria"/>
          <w:sz w:val="20"/>
          <w:szCs w:val="20"/>
          <w:lang w:val="es-MX"/>
        </w:rPr>
        <w:t xml:space="preserve">Establecer lineamientos de aplicación federal y estatal sobre la recopilación de estadísticas uniformes en graves violaciones a los derechos humanos. En particular, el Estado debe mejorar el sistema de recopilación de información de forma desagregada, con una metodología consistente y transparente. </w:t>
      </w:r>
    </w:p>
    <w:p w14:paraId="146069B3" w14:textId="77777777" w:rsidR="002277F5" w:rsidRPr="004E3E07" w:rsidRDefault="007E25FF">
      <w:pPr>
        <w:numPr>
          <w:ilvl w:val="0"/>
          <w:numId w:val="15"/>
        </w:numPr>
        <w:pBdr>
          <w:top w:val="nil"/>
          <w:left w:val="nil"/>
          <w:bottom w:val="nil"/>
          <w:right w:val="nil"/>
          <w:between w:val="nil"/>
        </w:pBdr>
        <w:shd w:val="clear" w:color="auto" w:fill="D9D9D9"/>
        <w:spacing w:after="0" w:line="240" w:lineRule="auto"/>
        <w:ind w:hanging="720"/>
        <w:jc w:val="both"/>
        <w:rPr>
          <w:rFonts w:ascii="Cambria" w:hAnsi="Cambria"/>
          <w:lang w:val="es-MX"/>
        </w:rPr>
      </w:pPr>
      <w:r w:rsidRPr="004E3E07">
        <w:rPr>
          <w:rFonts w:ascii="Cambria" w:eastAsia="Cambria" w:hAnsi="Cambria" w:cs="Cambria"/>
          <w:sz w:val="20"/>
          <w:szCs w:val="20"/>
          <w:lang w:val="es-MX"/>
        </w:rPr>
        <w:t>Eliminar el arraigo y la flagrancia equiparada del ordenamiento jurídico mexicano.</w:t>
      </w:r>
    </w:p>
    <w:p w14:paraId="146069B4" w14:textId="77777777" w:rsidR="002277F5" w:rsidRPr="004E3E07" w:rsidRDefault="002277F5" w:rsidP="00064A28">
      <w:pPr>
        <w:pBdr>
          <w:top w:val="nil"/>
          <w:left w:val="nil"/>
          <w:bottom w:val="nil"/>
          <w:right w:val="nil"/>
          <w:between w:val="nil"/>
        </w:pBdr>
        <w:spacing w:after="0" w:line="240" w:lineRule="auto"/>
        <w:ind w:left="720" w:right="720" w:hanging="360"/>
        <w:jc w:val="both"/>
        <w:rPr>
          <w:rFonts w:ascii="Cambria" w:eastAsia="Cambria" w:hAnsi="Cambria" w:cs="Cambria"/>
          <w:sz w:val="20"/>
          <w:szCs w:val="20"/>
          <w:lang w:val="es-MX"/>
        </w:rPr>
      </w:pPr>
    </w:p>
    <w:p w14:paraId="146069B5" w14:textId="77777777" w:rsidR="002277F5" w:rsidRPr="004E3E07" w:rsidRDefault="007E25FF" w:rsidP="5258151B">
      <w:pPr>
        <w:numPr>
          <w:ilvl w:val="0"/>
          <w:numId w:val="5"/>
        </w:numPr>
        <w:shd w:val="clear" w:color="auto" w:fill="FFFFFF"/>
        <w:spacing w:after="240" w:line="240" w:lineRule="auto"/>
        <w:ind w:left="0" w:firstLine="720"/>
        <w:jc w:val="both"/>
        <w:rPr>
          <w:rFonts w:ascii="Cambria" w:eastAsia="Cambria" w:hAnsi="Cambria" w:cs="Cambria"/>
          <w:sz w:val="20"/>
          <w:szCs w:val="20"/>
          <w:lang w:val="es-MX"/>
        </w:rPr>
      </w:pPr>
      <w:r w:rsidRPr="004E3E07">
        <w:rPr>
          <w:rFonts w:ascii="Cambria" w:eastAsia="Cambria" w:hAnsi="Cambria" w:cs="Cambria"/>
          <w:sz w:val="20"/>
          <w:szCs w:val="20"/>
          <w:lang w:val="es-MX"/>
        </w:rPr>
        <w:t>En relación con la recomendación de</w:t>
      </w:r>
      <w:r w:rsidRPr="004E3E07">
        <w:rPr>
          <w:rFonts w:ascii="Cambria" w:eastAsia="Cambria" w:hAnsi="Cambria" w:cs="Cambria"/>
          <w:b/>
          <w:bCs/>
          <w:sz w:val="20"/>
          <w:szCs w:val="20"/>
          <w:lang w:val="es-MX"/>
        </w:rPr>
        <w:t xml:space="preserve"> adoptar una Ley General sobre Tortura y de asegurar que las prácticas en la materia se ajusten a los estándares internacionales</w:t>
      </w:r>
      <w:r w:rsidRPr="004E3E07">
        <w:rPr>
          <w:rFonts w:ascii="Cambria" w:eastAsia="Cambria" w:hAnsi="Cambria" w:cs="Cambria"/>
          <w:sz w:val="20"/>
          <w:szCs w:val="20"/>
          <w:lang w:val="es-MX"/>
        </w:rPr>
        <w:t>,</w:t>
      </w:r>
      <w:r w:rsidRPr="004E3E07">
        <w:rPr>
          <w:rFonts w:ascii="Cambria" w:eastAsia="Cambria" w:hAnsi="Cambria" w:cs="Cambria"/>
          <w:b/>
          <w:bCs/>
          <w:sz w:val="20"/>
          <w:szCs w:val="20"/>
          <w:lang w:val="es-MX"/>
        </w:rPr>
        <w:t xml:space="preserve"> </w:t>
      </w:r>
      <w:r w:rsidRPr="004E3E07">
        <w:rPr>
          <w:rFonts w:ascii="Cambria" w:eastAsia="Cambria" w:hAnsi="Cambria" w:cs="Cambria"/>
          <w:sz w:val="20"/>
          <w:szCs w:val="20"/>
          <w:lang w:val="es-MX"/>
        </w:rPr>
        <w:t>la Comisión destaca que la Ley General para Prevenir, Investigar y Sancionar la Tortura y otros Tratos o Penas Crueles, Inhumanos o Degradantes (en lo sucesivo la “Ley General sobre Tortura”) fue publicada en el Diario Oficial de la Federación el 26 de junio de 2017. En virtud de lo anterior, el Estado ha cumplido la primera parte de la recomendación</w:t>
      </w:r>
      <w:r w:rsidRPr="004E3E07">
        <w:rPr>
          <w:rFonts w:ascii="Cambria" w:eastAsia="Cambria" w:hAnsi="Cambria" w:cs="Cambria"/>
          <w:sz w:val="20"/>
          <w:szCs w:val="20"/>
          <w:vertAlign w:val="superscript"/>
          <w:lang w:val="es-MX"/>
        </w:rPr>
        <w:footnoteReference w:id="133"/>
      </w:r>
      <w:r w:rsidRPr="004E3E07">
        <w:rPr>
          <w:rFonts w:ascii="Cambria" w:eastAsia="Cambria" w:hAnsi="Cambria" w:cs="Cambria"/>
          <w:sz w:val="20"/>
          <w:szCs w:val="20"/>
          <w:lang w:val="es-MX"/>
        </w:rPr>
        <w:t>.</w:t>
      </w:r>
    </w:p>
    <w:p w14:paraId="079D3BBB" w14:textId="15AB67DE" w:rsidR="00EB3327" w:rsidRPr="004E3E07" w:rsidRDefault="002C70C9" w:rsidP="00EB3327">
      <w:pPr>
        <w:numPr>
          <w:ilvl w:val="0"/>
          <w:numId w:val="5"/>
        </w:numPr>
        <w:shd w:val="clear" w:color="auto" w:fill="FFFFFF"/>
        <w:spacing w:after="240" w:line="240" w:lineRule="auto"/>
        <w:ind w:left="0" w:firstLine="720"/>
        <w:jc w:val="both"/>
        <w:rPr>
          <w:rFonts w:ascii="Cambria" w:eastAsia="Cambria" w:hAnsi="Cambria" w:cs="Cambria"/>
          <w:sz w:val="20"/>
          <w:szCs w:val="20"/>
          <w:lang w:val="es-MX"/>
        </w:rPr>
      </w:pPr>
      <w:r w:rsidRPr="004E3E07">
        <w:rPr>
          <w:rFonts w:ascii="Cambria" w:eastAsia="Cambria" w:hAnsi="Cambria" w:cs="Cambria"/>
          <w:sz w:val="20"/>
          <w:szCs w:val="20"/>
          <w:lang w:val="es-MX"/>
        </w:rPr>
        <w:t xml:space="preserve">Por </w:t>
      </w:r>
      <w:r w:rsidR="00466188" w:rsidRPr="004E3E07">
        <w:rPr>
          <w:rFonts w:ascii="Cambria" w:eastAsia="Cambria" w:hAnsi="Cambria" w:cs="Cambria"/>
          <w:sz w:val="20"/>
          <w:szCs w:val="20"/>
          <w:lang w:val="es-MX"/>
        </w:rPr>
        <w:t>su parte, el Estado destacó el Acuerdo A/006/18 de 2018 que estableció la creación de la Fiscalía Especial en Investigación del Delito de Tortura, que sustituyó a la Unidad Especializada en Investigación del Delito de Tortura</w:t>
      </w:r>
      <w:r w:rsidR="004727C9" w:rsidRPr="004E3E07">
        <w:rPr>
          <w:rFonts w:ascii="Cambria" w:eastAsia="Cambria" w:hAnsi="Cambria" w:cs="Cambria"/>
          <w:sz w:val="20"/>
          <w:szCs w:val="20"/>
          <w:lang w:val="es-MX"/>
        </w:rPr>
        <w:t xml:space="preserve"> y que desde 2019, en virtud del Acuerdo </w:t>
      </w:r>
      <w:r w:rsidR="00466188" w:rsidRPr="004E3E07">
        <w:rPr>
          <w:rFonts w:ascii="Cambria" w:eastAsia="Cambria" w:hAnsi="Cambria" w:cs="Cambria"/>
          <w:sz w:val="20"/>
          <w:szCs w:val="20"/>
          <w:lang w:val="es-MX"/>
        </w:rPr>
        <w:t>A/013/19</w:t>
      </w:r>
      <w:r w:rsidR="00D05789" w:rsidRPr="004E3E07">
        <w:rPr>
          <w:rFonts w:ascii="Cambria" w:eastAsia="Cambria" w:hAnsi="Cambria" w:cs="Cambria"/>
          <w:sz w:val="20"/>
          <w:szCs w:val="20"/>
          <w:lang w:val="es-MX"/>
        </w:rPr>
        <w:t xml:space="preserve">, </w:t>
      </w:r>
      <w:r w:rsidR="004B5F8C" w:rsidRPr="004E3E07">
        <w:rPr>
          <w:rFonts w:ascii="Cambria" w:eastAsia="Cambria" w:hAnsi="Cambria" w:cs="Cambria"/>
          <w:sz w:val="20"/>
          <w:szCs w:val="20"/>
          <w:lang w:val="es-MX"/>
        </w:rPr>
        <w:t>es parte de l</w:t>
      </w:r>
      <w:r w:rsidR="00466188" w:rsidRPr="004E3E07">
        <w:rPr>
          <w:rFonts w:ascii="Cambria" w:eastAsia="Cambria" w:hAnsi="Cambria" w:cs="Cambria"/>
          <w:sz w:val="20"/>
          <w:szCs w:val="20"/>
          <w:lang w:val="es-MX"/>
        </w:rPr>
        <w:t>a Fiscalía Especializada en Materia de Derechos Humanos</w:t>
      </w:r>
      <w:r w:rsidR="004B5F8C" w:rsidRPr="004E3E07">
        <w:rPr>
          <w:rFonts w:ascii="Cambria" w:eastAsia="Cambria" w:hAnsi="Cambria" w:cs="Cambria"/>
          <w:sz w:val="20"/>
          <w:szCs w:val="20"/>
          <w:lang w:val="es-MX"/>
        </w:rPr>
        <w:t xml:space="preserve">. Respeto del </w:t>
      </w:r>
      <w:r w:rsidR="00466188" w:rsidRPr="004E3E07">
        <w:rPr>
          <w:rFonts w:ascii="Cambria" w:eastAsia="Cambria" w:hAnsi="Cambria" w:cs="Cambria"/>
          <w:sz w:val="20"/>
          <w:szCs w:val="20"/>
          <w:lang w:val="es-MX"/>
        </w:rPr>
        <w:t xml:space="preserve">Programa Nacional de Prevención de la Tortura, </w:t>
      </w:r>
      <w:r w:rsidR="004B5F8C" w:rsidRPr="004E3E07">
        <w:rPr>
          <w:rFonts w:ascii="Cambria" w:eastAsia="Cambria" w:hAnsi="Cambria" w:cs="Cambria"/>
          <w:sz w:val="20"/>
          <w:szCs w:val="20"/>
          <w:lang w:val="es-MX"/>
        </w:rPr>
        <w:t xml:space="preserve">el Estado informó </w:t>
      </w:r>
      <w:r w:rsidR="00466188" w:rsidRPr="004E3E07">
        <w:rPr>
          <w:rFonts w:ascii="Cambria" w:eastAsia="Cambria" w:hAnsi="Cambria" w:cs="Cambria"/>
          <w:sz w:val="20"/>
          <w:szCs w:val="20"/>
          <w:lang w:val="es-MX"/>
        </w:rPr>
        <w:t xml:space="preserve">que continúa </w:t>
      </w:r>
      <w:r w:rsidR="0044122E" w:rsidRPr="004E3E07">
        <w:rPr>
          <w:rFonts w:ascii="Cambria" w:eastAsia="Cambria" w:hAnsi="Cambria" w:cs="Cambria"/>
          <w:sz w:val="20"/>
          <w:szCs w:val="20"/>
          <w:lang w:val="es-MX"/>
        </w:rPr>
        <w:t xml:space="preserve">siendo implementado y </w:t>
      </w:r>
      <w:r w:rsidR="004F66CB" w:rsidRPr="004E3E07">
        <w:rPr>
          <w:rFonts w:ascii="Cambria" w:eastAsia="Cambria" w:hAnsi="Cambria" w:cs="Cambria"/>
          <w:sz w:val="20"/>
          <w:szCs w:val="20"/>
          <w:lang w:val="es-MX"/>
        </w:rPr>
        <w:t xml:space="preserve">el personal de la Fiscalía </w:t>
      </w:r>
      <w:r w:rsidR="00A077FE" w:rsidRPr="004E3E07">
        <w:rPr>
          <w:rFonts w:ascii="Cambria" w:eastAsia="Cambria" w:hAnsi="Cambria" w:cs="Cambria"/>
          <w:sz w:val="20"/>
          <w:szCs w:val="20"/>
          <w:lang w:val="es-MX"/>
        </w:rPr>
        <w:t xml:space="preserve">para tortura </w:t>
      </w:r>
      <w:r w:rsidR="00466188" w:rsidRPr="004E3E07">
        <w:rPr>
          <w:rFonts w:ascii="Cambria" w:eastAsia="Cambria" w:hAnsi="Cambria" w:cs="Cambria"/>
          <w:sz w:val="20"/>
          <w:szCs w:val="20"/>
          <w:lang w:val="es-MX"/>
        </w:rPr>
        <w:t>continúa capacitándose a través de la Dirección de Promoción de la Cultura en Derechos Humanos de la Fiscalía Especializada en Materia de Derechos Humanos</w:t>
      </w:r>
      <w:r w:rsidR="00A077FE" w:rsidRPr="004E3E07">
        <w:rPr>
          <w:rFonts w:ascii="Cambria" w:eastAsia="Cambria" w:hAnsi="Cambria" w:cs="Cambria"/>
          <w:sz w:val="20"/>
          <w:szCs w:val="20"/>
          <w:vertAlign w:val="superscript"/>
          <w:lang w:val="es-MX"/>
        </w:rPr>
        <w:footnoteReference w:id="134"/>
      </w:r>
      <w:r w:rsidR="00466188" w:rsidRPr="004E3E07">
        <w:rPr>
          <w:rFonts w:ascii="Cambria" w:eastAsia="Cambria" w:hAnsi="Cambria" w:cs="Cambria"/>
          <w:sz w:val="20"/>
          <w:szCs w:val="20"/>
          <w:lang w:val="es-MX"/>
        </w:rPr>
        <w:t>.</w:t>
      </w:r>
    </w:p>
    <w:p w14:paraId="76C09B1A" w14:textId="3CC71DB5" w:rsidR="001A4384" w:rsidRPr="004E3E07" w:rsidRDefault="001A4384" w:rsidP="00EB3327">
      <w:pPr>
        <w:numPr>
          <w:ilvl w:val="0"/>
          <w:numId w:val="5"/>
        </w:numPr>
        <w:shd w:val="clear" w:color="auto" w:fill="FFFFFF"/>
        <w:spacing w:after="240" w:line="240" w:lineRule="auto"/>
        <w:ind w:left="0" w:firstLine="720"/>
        <w:jc w:val="both"/>
        <w:rPr>
          <w:rFonts w:ascii="Cambria" w:eastAsia="Cambria" w:hAnsi="Cambria" w:cs="Cambria"/>
          <w:sz w:val="20"/>
          <w:szCs w:val="20"/>
          <w:lang w:val="es-MX"/>
        </w:rPr>
      </w:pPr>
      <w:r>
        <w:rPr>
          <w:rFonts w:ascii="Cambria" w:eastAsia="Cambria" w:hAnsi="Cambria" w:cs="Cambria"/>
          <w:sz w:val="20"/>
          <w:szCs w:val="20"/>
          <w:lang w:val="es-MX"/>
        </w:rPr>
        <w:t xml:space="preserve">La CNDH informó a la CIDH que </w:t>
      </w:r>
      <w:r w:rsidR="0077104A">
        <w:rPr>
          <w:rFonts w:ascii="Cambria" w:eastAsia="Cambria" w:hAnsi="Cambria" w:cs="Cambria"/>
          <w:sz w:val="20"/>
          <w:szCs w:val="20"/>
          <w:lang w:val="es-MX"/>
        </w:rPr>
        <w:t xml:space="preserve">a partir del estudio </w:t>
      </w:r>
      <w:r w:rsidR="00F52D72">
        <w:rPr>
          <w:rFonts w:ascii="Cambria" w:eastAsia="Cambria" w:hAnsi="Cambria" w:cs="Cambria"/>
          <w:sz w:val="20"/>
          <w:szCs w:val="20"/>
          <w:lang w:val="es-MX"/>
        </w:rPr>
        <w:t>“</w:t>
      </w:r>
      <w:r w:rsidR="00F52D72" w:rsidRPr="00F52D72">
        <w:rPr>
          <w:rFonts w:ascii="Cambria" w:eastAsia="Cambria" w:hAnsi="Cambria" w:cs="Cambria"/>
          <w:sz w:val="20"/>
          <w:szCs w:val="20"/>
          <w:lang w:val="es-MX"/>
        </w:rPr>
        <w:t>Armonización Legislativa en materia de Prevención, Investigación y Sanción de la Tortura y otros Tratos o Penas Crueles, Inhumanos o Degradantes”</w:t>
      </w:r>
      <w:r w:rsidR="00F52D72">
        <w:rPr>
          <w:rFonts w:ascii="Cambria" w:eastAsia="Cambria" w:hAnsi="Cambria" w:cs="Cambria"/>
          <w:sz w:val="20"/>
          <w:szCs w:val="20"/>
          <w:lang w:val="es-MX"/>
        </w:rPr>
        <w:t xml:space="preserve"> del año 2020, durante el 2021 tomó contacto para comenzar a trabajar los ajustes necesarios de las legislaciones en la materia en los estados de </w:t>
      </w:r>
      <w:r w:rsidR="001274D1" w:rsidRPr="001274D1">
        <w:rPr>
          <w:rFonts w:ascii="Cambria" w:eastAsia="Cambria" w:hAnsi="Cambria" w:cs="Cambria"/>
          <w:sz w:val="20"/>
          <w:szCs w:val="20"/>
          <w:lang w:val="es-MX"/>
        </w:rPr>
        <w:t>Querétaro, Quintana Roo, Michoacán, Tabasco</w:t>
      </w:r>
      <w:r w:rsidR="001274D1">
        <w:rPr>
          <w:rFonts w:ascii="Cambria" w:eastAsia="Cambria" w:hAnsi="Cambria" w:cs="Cambria"/>
          <w:sz w:val="20"/>
          <w:szCs w:val="20"/>
          <w:lang w:val="es-MX"/>
        </w:rPr>
        <w:t xml:space="preserve"> </w:t>
      </w:r>
      <w:r w:rsidR="001274D1" w:rsidRPr="001274D1">
        <w:rPr>
          <w:rFonts w:ascii="Cambria" w:eastAsia="Cambria" w:hAnsi="Cambria" w:cs="Cambria"/>
          <w:sz w:val="20"/>
          <w:szCs w:val="20"/>
          <w:lang w:val="es-MX"/>
        </w:rPr>
        <w:t>y Oaxaca</w:t>
      </w:r>
      <w:r w:rsidR="001274D1">
        <w:rPr>
          <w:rStyle w:val="FootnoteReference"/>
          <w:rFonts w:ascii="Cambria" w:eastAsia="Cambria" w:hAnsi="Cambria" w:cs="Cambria"/>
          <w:sz w:val="20"/>
          <w:szCs w:val="20"/>
          <w:lang w:val="es-MX"/>
        </w:rPr>
        <w:footnoteReference w:id="135"/>
      </w:r>
      <w:r w:rsidR="001274D1">
        <w:rPr>
          <w:rFonts w:ascii="Cambria" w:eastAsia="Cambria" w:hAnsi="Cambria" w:cs="Cambria"/>
          <w:sz w:val="20"/>
          <w:szCs w:val="20"/>
          <w:lang w:val="es-MX"/>
        </w:rPr>
        <w:t>.</w:t>
      </w:r>
    </w:p>
    <w:p w14:paraId="79FB4C22" w14:textId="77777777" w:rsidR="0058132F" w:rsidRPr="004E3E07" w:rsidRDefault="00EB3327" w:rsidP="0058132F">
      <w:pPr>
        <w:numPr>
          <w:ilvl w:val="0"/>
          <w:numId w:val="5"/>
        </w:numPr>
        <w:shd w:val="clear" w:color="auto" w:fill="FFFFFF"/>
        <w:spacing w:after="240" w:line="240" w:lineRule="auto"/>
        <w:ind w:left="0" w:firstLine="720"/>
        <w:jc w:val="both"/>
        <w:rPr>
          <w:rFonts w:ascii="Cambria" w:eastAsia="Cambria" w:hAnsi="Cambria" w:cs="Cambria"/>
          <w:sz w:val="20"/>
          <w:szCs w:val="20"/>
          <w:lang w:val="es-MX"/>
        </w:rPr>
      </w:pPr>
      <w:r w:rsidRPr="004E3E07">
        <w:rPr>
          <w:rFonts w:ascii="Cambria" w:eastAsia="Times New Roman" w:hAnsi="Cambria" w:cs="Arial"/>
          <w:sz w:val="20"/>
          <w:szCs w:val="20"/>
          <w:lang w:val="es-MX"/>
        </w:rPr>
        <w:t>Por su parte, la Comisión observa con preocupación que, de acuerdo con información disponible, el Estado aún no ha creado un programa nacional de prevención de la tortura, como así tampoco un registro nacional de este delito. En particular, la oficina de Naciones Unidas en México destacó que aún se encuentra pendiente la publicación del Programa Nacional para Prevenir y Sancionar la Tortura. En el mismo comunicado, indicó que</w:t>
      </w:r>
      <w:r w:rsidR="0058132F" w:rsidRPr="004E3E07">
        <w:rPr>
          <w:rFonts w:ascii="Cambria" w:eastAsia="Times New Roman" w:hAnsi="Cambria" w:cs="Arial"/>
          <w:sz w:val="20"/>
          <w:szCs w:val="20"/>
          <w:lang w:val="es-MX"/>
        </w:rPr>
        <w:t xml:space="preserve">, </w:t>
      </w:r>
      <w:r w:rsidRPr="004E3E07">
        <w:rPr>
          <w:rFonts w:ascii="Cambria" w:eastAsia="Times New Roman" w:hAnsi="Cambria" w:cs="Arial"/>
          <w:sz w:val="20"/>
          <w:szCs w:val="20"/>
          <w:lang w:val="es-MX"/>
        </w:rPr>
        <w:t>mediante el Observatorio contra la Tortura, ha podido constatar que diversas autoridades nacionales no tienen sistematizada la información que deberían poseer sobre la incidencia de la tortura y las medidas para erradicarla</w:t>
      </w:r>
      <w:r w:rsidRPr="004E3E07">
        <w:rPr>
          <w:rStyle w:val="FootnoteReference"/>
          <w:rFonts w:ascii="Cambria" w:eastAsia="Times New Roman" w:hAnsi="Cambria" w:cs="Arial"/>
          <w:sz w:val="20"/>
          <w:szCs w:val="20"/>
          <w:lang w:val="es-MX"/>
        </w:rPr>
        <w:footnoteReference w:id="136"/>
      </w:r>
      <w:r w:rsidRPr="004E3E07">
        <w:rPr>
          <w:rFonts w:ascii="Cambria" w:eastAsia="Times New Roman" w:hAnsi="Cambria" w:cs="Arial"/>
          <w:sz w:val="20"/>
          <w:szCs w:val="20"/>
          <w:lang w:val="es-MX"/>
        </w:rPr>
        <w:t>. Igualmente, a través de un pronunciamiento del 26 de junio, la Comisión de Derechos Humanos de la Ciudad de México (CDHCM) instó al Estado concluir el proceso de elaboración, publicación e implementación del Programa Nacional de Prevención y Sanción de la Tortura y Otros Tratos o Penas Crueles, Inhumanos o Degradantes</w:t>
      </w:r>
      <w:r w:rsidRPr="004E3E07">
        <w:rPr>
          <w:rStyle w:val="FootnoteReference"/>
          <w:rFonts w:ascii="Cambria" w:eastAsia="Times New Roman" w:hAnsi="Cambria" w:cs="Arial"/>
          <w:sz w:val="20"/>
          <w:szCs w:val="20"/>
          <w:lang w:val="es-MX"/>
        </w:rPr>
        <w:footnoteReference w:id="137"/>
      </w:r>
      <w:r w:rsidRPr="004E3E07">
        <w:rPr>
          <w:rFonts w:ascii="Cambria" w:eastAsia="Times New Roman" w:hAnsi="Cambria" w:cs="Arial"/>
          <w:sz w:val="20"/>
          <w:szCs w:val="20"/>
          <w:lang w:val="es-MX"/>
        </w:rPr>
        <w:t xml:space="preserve">. </w:t>
      </w:r>
    </w:p>
    <w:p w14:paraId="2662D1E3" w14:textId="50EECE91" w:rsidR="007B69C1" w:rsidRPr="00034678" w:rsidRDefault="00EB3327" w:rsidP="007B69C1">
      <w:pPr>
        <w:numPr>
          <w:ilvl w:val="0"/>
          <w:numId w:val="5"/>
        </w:numPr>
        <w:shd w:val="clear" w:color="auto" w:fill="FFFFFF"/>
        <w:spacing w:after="240" w:line="240" w:lineRule="auto"/>
        <w:ind w:left="0" w:firstLine="720"/>
        <w:jc w:val="both"/>
        <w:rPr>
          <w:rFonts w:ascii="Cambria" w:eastAsia="Cambria" w:hAnsi="Cambria" w:cs="Cambria"/>
          <w:sz w:val="20"/>
          <w:szCs w:val="20"/>
          <w:lang w:val="es-MX"/>
        </w:rPr>
      </w:pPr>
      <w:r w:rsidRPr="004E3E07">
        <w:rPr>
          <w:rFonts w:ascii="Cambria" w:eastAsia="Times New Roman" w:hAnsi="Cambria" w:cs="Arial"/>
          <w:sz w:val="20"/>
          <w:szCs w:val="20"/>
          <w:lang w:val="es-MX"/>
        </w:rPr>
        <w:t>Respecto al registro, la Comisión toma nota de que Naciones Unidas se expresó acerca del incumplimiento de la obligación del Estado de crear y operar el Registro Nacional del Delito de Tortura</w:t>
      </w:r>
      <w:r w:rsidRPr="004E3E07">
        <w:rPr>
          <w:rStyle w:val="FootnoteReference"/>
          <w:rFonts w:ascii="Cambria" w:eastAsia="Times New Roman" w:hAnsi="Cambria" w:cs="Arial"/>
          <w:sz w:val="20"/>
          <w:szCs w:val="20"/>
          <w:lang w:val="es-MX"/>
        </w:rPr>
        <w:footnoteReference w:id="138"/>
      </w:r>
      <w:r w:rsidRPr="004E3E07">
        <w:rPr>
          <w:rFonts w:ascii="Cambria" w:eastAsia="Times New Roman" w:hAnsi="Cambria" w:cs="Arial"/>
          <w:sz w:val="20"/>
          <w:szCs w:val="20"/>
          <w:lang w:val="es-MX"/>
        </w:rPr>
        <w:t>. En adición, la Primera Sala de la Suprema Corte de Justicia de la Nación mediante sentencia de 20 de octubre, resolvió ampliar una demanda de amparo indirecto por la omisión de crear y operar el Registro Nacional del Delito de Tortura (Renadet). En este sentido, la Corte precisó que la omisión de crear este registro representa una omisión de la obligación del ministerio público de investigar diligentemente la tortura</w:t>
      </w:r>
      <w:r w:rsidRPr="004E3E07">
        <w:rPr>
          <w:rStyle w:val="FootnoteReference"/>
          <w:rFonts w:ascii="Cambria" w:eastAsia="Times New Roman" w:hAnsi="Cambria" w:cs="Arial"/>
          <w:sz w:val="20"/>
          <w:szCs w:val="20"/>
          <w:lang w:val="es-MX"/>
        </w:rPr>
        <w:footnoteReference w:id="139"/>
      </w:r>
      <w:r w:rsidRPr="004E3E07">
        <w:rPr>
          <w:rFonts w:ascii="Cambria" w:eastAsia="Times New Roman" w:hAnsi="Cambria" w:cs="Arial"/>
          <w:sz w:val="20"/>
          <w:szCs w:val="20"/>
          <w:lang w:val="es-MX"/>
        </w:rPr>
        <w:t xml:space="preserve">. </w:t>
      </w:r>
      <w:r w:rsidR="007B69C1" w:rsidRPr="00034678">
        <w:rPr>
          <w:rFonts w:ascii="Cambria" w:eastAsia="Cambria" w:hAnsi="Cambria" w:cs="Cambria"/>
          <w:sz w:val="20"/>
          <w:szCs w:val="20"/>
          <w:lang w:val="es-MX"/>
        </w:rPr>
        <w:t>En sus observaciones al proyecto del presente informe, el Estado informó que el Registro Nacional del Delito de Tortura (RENADET) ya se encuentra en funcionamiento, el cual puede ser consultado en línea.2 Así mismo, el 15 de diciembre de 2021 se publicaron en el Diario Oficial de la Federación (DOF) los lineamientos de operación del Registro Nacional del Delito de Tortura</w:t>
      </w:r>
      <w:r w:rsidR="007B69C1" w:rsidRPr="00034678">
        <w:rPr>
          <w:rStyle w:val="FootnoteReference"/>
          <w:rFonts w:ascii="Cambria" w:eastAsia="Cambria" w:hAnsi="Cambria" w:cs="Cambria"/>
          <w:sz w:val="20"/>
          <w:szCs w:val="20"/>
          <w:lang w:val="es-MX"/>
        </w:rPr>
        <w:footnoteReference w:id="140"/>
      </w:r>
      <w:r w:rsidR="007B69C1" w:rsidRPr="00034678">
        <w:rPr>
          <w:rFonts w:ascii="Cambria" w:eastAsia="Cambria" w:hAnsi="Cambria" w:cs="Cambria"/>
          <w:sz w:val="20"/>
          <w:szCs w:val="20"/>
          <w:lang w:val="es-MX"/>
        </w:rPr>
        <w:t>.</w:t>
      </w:r>
    </w:p>
    <w:p w14:paraId="08A1DDCA" w14:textId="69E815E4" w:rsidR="00EB3327" w:rsidRPr="004E3E07" w:rsidRDefault="00EB3327" w:rsidP="0058132F">
      <w:pPr>
        <w:numPr>
          <w:ilvl w:val="0"/>
          <w:numId w:val="5"/>
        </w:numPr>
        <w:shd w:val="clear" w:color="auto" w:fill="FFFFFF"/>
        <w:spacing w:after="240" w:line="240" w:lineRule="auto"/>
        <w:ind w:left="0" w:firstLine="720"/>
        <w:jc w:val="both"/>
        <w:rPr>
          <w:rFonts w:ascii="Cambria" w:eastAsia="Cambria" w:hAnsi="Cambria" w:cs="Cambria"/>
          <w:sz w:val="20"/>
          <w:szCs w:val="20"/>
          <w:lang w:val="es-MX"/>
        </w:rPr>
      </w:pPr>
      <w:r w:rsidRPr="004E3E07">
        <w:rPr>
          <w:rFonts w:ascii="Cambria" w:eastAsia="Times New Roman" w:hAnsi="Cambria" w:cs="Arial"/>
          <w:sz w:val="20"/>
          <w:szCs w:val="20"/>
          <w:lang w:val="es-MX"/>
        </w:rPr>
        <w:t xml:space="preserve">En atención a lo anterior, la CIDH concluye que la presente recomendación ha sido parcialmente cumplida, y reitera su llamado al Estado mexicano a adoptar las medidas necesarias para garantizar que tanto a nivel local como nacional las prácticas se ajusten a la Ley General sobre Tortura y los estándares internacionales en la materia. </w:t>
      </w:r>
    </w:p>
    <w:p w14:paraId="16CA63CF" w14:textId="412C18FC" w:rsidR="00705F34" w:rsidRPr="004E3E07" w:rsidRDefault="007E25FF" w:rsidP="00705F34">
      <w:pPr>
        <w:numPr>
          <w:ilvl w:val="0"/>
          <w:numId w:val="5"/>
        </w:numPr>
        <w:shd w:val="clear" w:color="auto" w:fill="FFFFFF"/>
        <w:spacing w:after="240" w:line="240" w:lineRule="auto"/>
        <w:ind w:left="0" w:firstLine="720"/>
        <w:jc w:val="both"/>
        <w:rPr>
          <w:rFonts w:ascii="Cambria" w:eastAsia="Times New Roman" w:hAnsi="Cambria" w:cs="Arial"/>
          <w:sz w:val="20"/>
          <w:szCs w:val="20"/>
          <w:lang w:val="es-MX"/>
        </w:rPr>
      </w:pPr>
      <w:r w:rsidRPr="004E3E07">
        <w:rPr>
          <w:rFonts w:ascii="Cambria" w:eastAsia="Cambria" w:hAnsi="Cambria" w:cs="Cambria"/>
          <w:sz w:val="20"/>
          <w:szCs w:val="20"/>
          <w:lang w:val="es-MX"/>
        </w:rPr>
        <w:t xml:space="preserve">Acerca de la recomendación de asegurar que </w:t>
      </w:r>
      <w:r w:rsidRPr="004E3E07">
        <w:rPr>
          <w:rFonts w:ascii="Cambria" w:eastAsia="Cambria" w:hAnsi="Cambria" w:cs="Cambria"/>
          <w:b/>
          <w:bCs/>
          <w:sz w:val="20"/>
          <w:szCs w:val="20"/>
          <w:lang w:val="es-MX"/>
        </w:rPr>
        <w:t>la Ley General sobre Tortura excluya pruebas y confesiones obtenidas mediante tortura y que la parte acusadora debe probar la licitud de la prueba impugnada</w:t>
      </w:r>
      <w:r w:rsidRPr="004E3E07">
        <w:rPr>
          <w:rFonts w:ascii="Cambria" w:eastAsia="Cambria" w:hAnsi="Cambria" w:cs="Cambria"/>
          <w:sz w:val="20"/>
          <w:szCs w:val="20"/>
          <w:lang w:val="es-MX"/>
        </w:rPr>
        <w:t xml:space="preserve">, </w:t>
      </w:r>
      <w:r w:rsidR="00DD53E5" w:rsidRPr="004E3E07">
        <w:rPr>
          <w:rFonts w:ascii="Cambria" w:eastAsia="Cambria" w:hAnsi="Cambria" w:cs="Cambria"/>
          <w:sz w:val="20"/>
          <w:szCs w:val="20"/>
          <w:lang w:val="es-MX"/>
        </w:rPr>
        <w:t>el Estado indicó que</w:t>
      </w:r>
      <w:r w:rsidR="00C90170" w:rsidRPr="004E3E07">
        <w:rPr>
          <w:rFonts w:ascii="Cambria" w:eastAsia="Cambria" w:hAnsi="Cambria" w:cs="Cambria"/>
          <w:sz w:val="20"/>
          <w:szCs w:val="20"/>
          <w:lang w:val="es-MX"/>
        </w:rPr>
        <w:t>,</w:t>
      </w:r>
      <w:r w:rsidR="00DD53E5" w:rsidRPr="004E3E07">
        <w:rPr>
          <w:rFonts w:ascii="Cambria" w:eastAsia="Cambria" w:hAnsi="Cambria" w:cs="Cambria"/>
          <w:sz w:val="20"/>
          <w:szCs w:val="20"/>
          <w:lang w:val="es-MX"/>
        </w:rPr>
        <w:t xml:space="preserve"> </w:t>
      </w:r>
      <w:r w:rsidR="00C90170" w:rsidRPr="004E3E07">
        <w:rPr>
          <w:rFonts w:ascii="Cambria" w:eastAsia="Cambria" w:hAnsi="Cambria" w:cs="Cambria"/>
          <w:sz w:val="20"/>
          <w:szCs w:val="20"/>
          <w:lang w:val="es-MX"/>
        </w:rPr>
        <w:t>de conformidad con el artículo 50 de la Ley General de para Prevenir, Investigar, y Sancionar la Tortura y otros Tratos o Penas Crueles, Inhumanos o Degradantes, se excluyen o anulan</w:t>
      </w:r>
      <w:r w:rsidR="00705F34" w:rsidRPr="004E3E07">
        <w:rPr>
          <w:rFonts w:ascii="Cambria" w:eastAsia="Cambria" w:hAnsi="Cambria" w:cs="Cambria"/>
          <w:sz w:val="20"/>
          <w:szCs w:val="20"/>
          <w:lang w:val="es-MX"/>
        </w:rPr>
        <w:t xml:space="preserve">, </w:t>
      </w:r>
      <w:r w:rsidR="00C90170" w:rsidRPr="004E3E07">
        <w:rPr>
          <w:rFonts w:ascii="Cambria" w:eastAsia="Cambria" w:hAnsi="Cambria" w:cs="Cambria"/>
          <w:sz w:val="20"/>
          <w:szCs w:val="20"/>
          <w:lang w:val="es-MX"/>
        </w:rPr>
        <w:t>todas las pruebas obtenidas directamente a través de actos de tortura y de cualquier otra violación a derechos humanos o fundamentales, así como las pruebas obtenidas por medios legales pero derivadas de dichos actos</w:t>
      </w:r>
      <w:r w:rsidR="00705F34" w:rsidRPr="004E3E07">
        <w:rPr>
          <w:rFonts w:ascii="Cambria" w:eastAsia="Cambria" w:hAnsi="Cambria" w:cs="Cambria"/>
          <w:sz w:val="20"/>
          <w:szCs w:val="20"/>
          <w:lang w:val="es-MX"/>
        </w:rPr>
        <w:t>, por carecer de valor probatorio.</w:t>
      </w:r>
      <w:r w:rsidR="00705F34" w:rsidRPr="004E3E07">
        <w:rPr>
          <w:rFonts w:ascii="Cambria" w:eastAsia="Times New Roman" w:hAnsi="Cambria" w:cs="Arial"/>
          <w:sz w:val="20"/>
          <w:szCs w:val="20"/>
          <w:lang w:val="es-MX"/>
        </w:rPr>
        <w:t xml:space="preserve"> </w:t>
      </w:r>
      <w:r w:rsidR="000E23E6" w:rsidRPr="004E3E07">
        <w:rPr>
          <w:rFonts w:ascii="Cambria" w:eastAsia="Times New Roman" w:hAnsi="Cambria" w:cs="Arial"/>
          <w:sz w:val="20"/>
          <w:szCs w:val="20"/>
          <w:lang w:val="es-MX"/>
        </w:rPr>
        <w:t xml:space="preserve">Adicionalmente, el Estado indico que el artículo 52 de la citada Ley también establece que cuando se hayan excluido medios de prueba </w:t>
      </w:r>
      <w:r w:rsidR="00736E75">
        <w:rPr>
          <w:rFonts w:ascii="Cambria" w:eastAsia="Times New Roman" w:hAnsi="Cambria" w:cs="Arial"/>
          <w:sz w:val="20"/>
          <w:szCs w:val="20"/>
          <w:lang w:val="es-MX"/>
        </w:rPr>
        <w:t>por</w:t>
      </w:r>
      <w:r w:rsidR="000E23E6" w:rsidRPr="004E3E07">
        <w:rPr>
          <w:rFonts w:ascii="Cambria" w:eastAsia="Times New Roman" w:hAnsi="Cambria" w:cs="Arial"/>
          <w:sz w:val="20"/>
          <w:szCs w:val="20"/>
          <w:lang w:val="es-MX"/>
        </w:rPr>
        <w:t xml:space="preserve"> haber sido obtenidos mediante una violación a los derechos humanos o fundamentales y a juicio del Ministerio Público los medios de prueba admitidos no fueran suficientes para fundar la acusación, solicitará el sobreseimiento de la causa. En ese caso, el Juez de Control hará cesar las medidas cautelares que se hubieren impuesto y, en su caso, ordenará la inmediata libertad de la persona procesada. </w:t>
      </w:r>
      <w:r w:rsidR="000017C3" w:rsidRPr="004E3E07">
        <w:rPr>
          <w:rFonts w:ascii="Cambria" w:hAnsi="Cambria"/>
          <w:sz w:val="20"/>
          <w:szCs w:val="20"/>
          <w:lang w:val="es-MX"/>
        </w:rPr>
        <w:t xml:space="preserve">La Comisión en 2020 calificó </w:t>
      </w:r>
      <w:r w:rsidR="00DD53E5" w:rsidRPr="004E3E07">
        <w:rPr>
          <w:rFonts w:ascii="Cambria" w:hAnsi="Cambria"/>
          <w:sz w:val="20"/>
          <w:szCs w:val="20"/>
          <w:lang w:val="es-MX"/>
        </w:rPr>
        <w:t xml:space="preserve">la presente recomendación </w:t>
      </w:r>
      <w:r w:rsidR="000017C3" w:rsidRPr="004E3E07">
        <w:rPr>
          <w:rFonts w:ascii="Cambria" w:hAnsi="Cambria"/>
          <w:sz w:val="20"/>
          <w:szCs w:val="20"/>
          <w:lang w:val="es-MX"/>
        </w:rPr>
        <w:t xml:space="preserve">como </w:t>
      </w:r>
      <w:r w:rsidR="00DD53E5" w:rsidRPr="004E3E07">
        <w:rPr>
          <w:rFonts w:ascii="Cambria" w:hAnsi="Cambria"/>
          <w:sz w:val="20"/>
          <w:szCs w:val="20"/>
          <w:lang w:val="es-MX"/>
        </w:rPr>
        <w:t>en estado de</w:t>
      </w:r>
      <w:r w:rsidR="000017C3" w:rsidRPr="004E3E07">
        <w:rPr>
          <w:rFonts w:ascii="Cambria" w:hAnsi="Cambria"/>
          <w:sz w:val="20"/>
          <w:szCs w:val="20"/>
          <w:lang w:val="es-MX"/>
        </w:rPr>
        <w:t xml:space="preserve"> cumplimiento total</w:t>
      </w:r>
      <w:r w:rsidR="000017C3" w:rsidRPr="004E3E07">
        <w:rPr>
          <w:rStyle w:val="FootnoteReference"/>
          <w:rFonts w:ascii="Cambria" w:hAnsi="Cambria"/>
          <w:sz w:val="20"/>
          <w:szCs w:val="20"/>
          <w:lang w:val="es-MX"/>
        </w:rPr>
        <w:footnoteReference w:id="141"/>
      </w:r>
      <w:r w:rsidR="000017C3" w:rsidRPr="004E3E07">
        <w:rPr>
          <w:rFonts w:ascii="Cambria" w:hAnsi="Cambria"/>
          <w:sz w:val="20"/>
          <w:szCs w:val="20"/>
          <w:lang w:val="es-MX"/>
        </w:rPr>
        <w:t xml:space="preserve">. </w:t>
      </w:r>
    </w:p>
    <w:p w14:paraId="3D60D10B" w14:textId="62893A7F" w:rsidR="00F9001E" w:rsidRPr="004E3E07" w:rsidRDefault="00F9001E" w:rsidP="00705F34">
      <w:pPr>
        <w:numPr>
          <w:ilvl w:val="0"/>
          <w:numId w:val="5"/>
        </w:numPr>
        <w:shd w:val="clear" w:color="auto" w:fill="FFFFFF"/>
        <w:spacing w:after="240" w:line="240" w:lineRule="auto"/>
        <w:ind w:left="0" w:firstLine="720"/>
        <w:jc w:val="both"/>
        <w:rPr>
          <w:rFonts w:ascii="Cambria" w:eastAsia="Times New Roman" w:hAnsi="Cambria" w:cs="Arial"/>
          <w:sz w:val="20"/>
          <w:szCs w:val="20"/>
          <w:lang w:val="es-MX"/>
        </w:rPr>
      </w:pPr>
      <w:r w:rsidRPr="004E3E07">
        <w:rPr>
          <w:rFonts w:ascii="Cambria" w:hAnsi="Cambria"/>
          <w:sz w:val="20"/>
          <w:szCs w:val="20"/>
          <w:lang w:val="es-MX"/>
        </w:rPr>
        <w:t>En la ENPOL 2021</w:t>
      </w:r>
      <w:r w:rsidR="004D6008" w:rsidRPr="004E3E07">
        <w:rPr>
          <w:rFonts w:ascii="Cambria" w:hAnsi="Cambria"/>
          <w:sz w:val="20"/>
          <w:szCs w:val="20"/>
          <w:lang w:val="es-MX"/>
        </w:rPr>
        <w:t xml:space="preserve"> el 18.2% de las personas privadas de la libertad encuestadas </w:t>
      </w:r>
      <w:r w:rsidR="00B752F7" w:rsidRPr="004E3E07">
        <w:rPr>
          <w:rFonts w:ascii="Cambria" w:hAnsi="Cambria"/>
          <w:sz w:val="20"/>
          <w:szCs w:val="20"/>
          <w:lang w:val="es-MX"/>
        </w:rPr>
        <w:t>señaló que rindió o firmó su declaración porque recibió presiones o amenazas</w:t>
      </w:r>
      <w:r w:rsidR="001F5F83" w:rsidRPr="004E3E07">
        <w:rPr>
          <w:rFonts w:ascii="Cambria" w:hAnsi="Cambria"/>
          <w:sz w:val="20"/>
          <w:szCs w:val="20"/>
          <w:lang w:val="es-MX"/>
        </w:rPr>
        <w:t xml:space="preserve"> y el 20% indicó que fue agredida físicamente para declararse culpable</w:t>
      </w:r>
      <w:r w:rsidR="00B752F7" w:rsidRPr="004E3E07">
        <w:rPr>
          <w:rFonts w:ascii="Cambria" w:hAnsi="Cambria"/>
          <w:sz w:val="20"/>
          <w:szCs w:val="20"/>
          <w:lang w:val="es-MX"/>
        </w:rPr>
        <w:t xml:space="preserve">. </w:t>
      </w:r>
      <w:r w:rsidR="00FB4DAD" w:rsidRPr="004E3E07">
        <w:rPr>
          <w:rFonts w:ascii="Cambria" w:hAnsi="Cambria"/>
          <w:sz w:val="20"/>
          <w:szCs w:val="20"/>
          <w:lang w:val="es-MX"/>
        </w:rPr>
        <w:t xml:space="preserve">La CIDH manifiesta su preocupación respecto de que </w:t>
      </w:r>
      <w:r w:rsidR="00DF1E8F" w:rsidRPr="004E3E07">
        <w:rPr>
          <w:rFonts w:ascii="Cambria" w:hAnsi="Cambria"/>
          <w:sz w:val="20"/>
          <w:szCs w:val="20"/>
          <w:lang w:val="es-MX"/>
        </w:rPr>
        <w:t xml:space="preserve">en la ENPOL 2016, las personas encuestadas declararon que fueron objeto de agresiones en un 16.4% lo que supone un </w:t>
      </w:r>
      <w:r w:rsidR="00D20E12" w:rsidRPr="004E3E07">
        <w:rPr>
          <w:rFonts w:ascii="Cambria" w:hAnsi="Cambria"/>
          <w:sz w:val="20"/>
          <w:szCs w:val="20"/>
          <w:lang w:val="es-MX"/>
        </w:rPr>
        <w:t>incremento que contradice el contenido de la recomendación bajo análisis</w:t>
      </w:r>
      <w:r w:rsidR="000F317C" w:rsidRPr="004E3E07">
        <w:rPr>
          <w:rStyle w:val="FootnoteReference"/>
          <w:rFonts w:ascii="Cambria" w:hAnsi="Cambria"/>
          <w:sz w:val="20"/>
          <w:szCs w:val="20"/>
          <w:lang w:val="es-MX"/>
        </w:rPr>
        <w:footnoteReference w:id="142"/>
      </w:r>
      <w:r w:rsidR="00D20E12" w:rsidRPr="004E3E07">
        <w:rPr>
          <w:rFonts w:ascii="Cambria" w:hAnsi="Cambria"/>
          <w:sz w:val="20"/>
          <w:szCs w:val="20"/>
          <w:lang w:val="es-MX"/>
        </w:rPr>
        <w:t>.</w:t>
      </w:r>
    </w:p>
    <w:p w14:paraId="676B3C31" w14:textId="1456EAA1" w:rsidR="00331236" w:rsidRPr="007B69C1" w:rsidRDefault="00705F34" w:rsidP="007B69C1">
      <w:pPr>
        <w:numPr>
          <w:ilvl w:val="0"/>
          <w:numId w:val="5"/>
        </w:numPr>
        <w:shd w:val="clear" w:color="auto" w:fill="FFFFFF"/>
        <w:spacing w:after="240" w:line="240" w:lineRule="auto"/>
        <w:ind w:left="0" w:firstLine="720"/>
        <w:jc w:val="both"/>
        <w:rPr>
          <w:rFonts w:ascii="Cambria" w:eastAsia="Times New Roman" w:hAnsi="Cambria" w:cs="Arial"/>
          <w:sz w:val="20"/>
          <w:szCs w:val="20"/>
          <w:lang w:val="es-MX"/>
        </w:rPr>
      </w:pPr>
      <w:r w:rsidRPr="004E3E07">
        <w:rPr>
          <w:rFonts w:ascii="Cambria" w:hAnsi="Cambria"/>
          <w:sz w:val="20"/>
          <w:szCs w:val="20"/>
          <w:lang w:val="es-MX"/>
        </w:rPr>
        <w:t xml:space="preserve">Sin perjuicio de lo anterior, </w:t>
      </w:r>
      <w:r w:rsidR="000017C3" w:rsidRPr="004E3E07">
        <w:rPr>
          <w:rFonts w:ascii="Cambria" w:eastAsia="Times New Roman" w:hAnsi="Cambria" w:cs="Arial"/>
          <w:sz w:val="20"/>
          <w:szCs w:val="20"/>
          <w:lang w:val="es-MX"/>
        </w:rPr>
        <w:t>organizaciones de la sociedad civil continúan documentando que el poder judicial admitiría pruebas ilícitas bajo el argumento de que la víctima no ha probado la tortura, es decir, manteniendo la exigencia y carga de prueba en las personas imputadas, quienes deben presentar una pericial médica-psicológica para acreditar el acto de tortura de manera “incontrovertible”</w:t>
      </w:r>
      <w:r w:rsidR="000017C3" w:rsidRPr="004E3E07">
        <w:rPr>
          <w:rStyle w:val="FootnoteReference"/>
          <w:rFonts w:ascii="Cambria" w:eastAsia="Times New Roman" w:hAnsi="Cambria" w:cs="Arial"/>
          <w:sz w:val="20"/>
          <w:szCs w:val="20"/>
          <w:lang w:val="es-MX"/>
        </w:rPr>
        <w:footnoteReference w:id="143"/>
      </w:r>
      <w:r w:rsidR="000017C3" w:rsidRPr="004E3E07">
        <w:rPr>
          <w:rFonts w:ascii="Cambria" w:eastAsia="Times New Roman" w:hAnsi="Cambria" w:cs="Arial"/>
          <w:sz w:val="20"/>
          <w:szCs w:val="20"/>
          <w:lang w:val="es-MX"/>
        </w:rPr>
        <w:t>. Ello, a pesar de que la legislación nacional y las normas internacionales exigen su descarte y establecen la carga de comprobar la licitud de la prueba al Ministerio Público</w:t>
      </w:r>
      <w:r w:rsidR="000017C3" w:rsidRPr="004E3E07">
        <w:rPr>
          <w:rStyle w:val="FootnoteReference"/>
          <w:rFonts w:ascii="Cambria" w:eastAsia="Times New Roman" w:hAnsi="Cambria" w:cs="Arial"/>
          <w:sz w:val="20"/>
          <w:szCs w:val="20"/>
          <w:lang w:val="es-MX"/>
        </w:rPr>
        <w:footnoteReference w:id="144"/>
      </w:r>
      <w:r w:rsidR="000017C3" w:rsidRPr="004E3E07">
        <w:rPr>
          <w:rFonts w:ascii="Cambria" w:eastAsia="Times New Roman" w:hAnsi="Cambria" w:cs="Arial"/>
          <w:sz w:val="20"/>
          <w:szCs w:val="20"/>
          <w:lang w:val="es-MX"/>
        </w:rPr>
        <w:t xml:space="preserve">. </w:t>
      </w:r>
      <w:r w:rsidR="007B69C1" w:rsidRPr="00D56604">
        <w:rPr>
          <w:rFonts w:ascii="Cambria" w:eastAsia="Times New Roman" w:hAnsi="Cambria" w:cs="Arial"/>
          <w:sz w:val="20"/>
          <w:szCs w:val="20"/>
          <w:lang w:val="es-MX"/>
        </w:rPr>
        <w:t>En sus observaciones al proyecto del presente informe, el Estado  indicó que en noviembre de 2021, la SCJN presentó la versión actualizada del Protocolo para Juzgar Casos de Tortura y Malos Tratos. Dicho documento se realizó a partir de los últimos avances jurisprudenciales y del desarrollo de estándares internacionales. El nuevo Protocolo brinda a las personas juzgadoras instrumentos más actualizados para enfrentar eficazmente los retos implicados en el combate a la tortura y los malos tratos en sede judicial, con rigor metodológico y reconociendo la severidad del problema</w:t>
      </w:r>
      <w:r w:rsidR="007B69C1" w:rsidRPr="00D56604">
        <w:rPr>
          <w:rStyle w:val="FootnoteReference"/>
          <w:rFonts w:ascii="Cambria" w:eastAsia="Times New Roman" w:hAnsi="Cambria" w:cs="Arial"/>
          <w:sz w:val="20"/>
          <w:szCs w:val="20"/>
          <w:lang w:val="es-MX"/>
        </w:rPr>
        <w:footnoteReference w:id="145"/>
      </w:r>
      <w:r w:rsidR="007B69C1" w:rsidRPr="00D56604">
        <w:rPr>
          <w:rFonts w:ascii="Cambria" w:eastAsia="Times New Roman" w:hAnsi="Cambria" w:cs="Arial"/>
          <w:sz w:val="20"/>
          <w:szCs w:val="20"/>
          <w:lang w:val="es-MX"/>
        </w:rPr>
        <w:t>.</w:t>
      </w:r>
      <w:r w:rsidR="007B69C1" w:rsidRPr="007B69C1">
        <w:rPr>
          <w:rFonts w:ascii="Cambria" w:eastAsia="Times New Roman" w:hAnsi="Cambria" w:cs="Arial"/>
          <w:sz w:val="20"/>
          <w:szCs w:val="20"/>
          <w:lang w:val="es-MX"/>
        </w:rPr>
        <w:t xml:space="preserve"> L</w:t>
      </w:r>
      <w:r w:rsidR="00744013" w:rsidRPr="007B69C1">
        <w:rPr>
          <w:rFonts w:ascii="Cambria" w:eastAsia="Times New Roman" w:hAnsi="Cambria" w:cs="Arial"/>
          <w:sz w:val="20"/>
          <w:szCs w:val="20"/>
          <w:lang w:val="es-MX"/>
        </w:rPr>
        <w:t>a CIDH continuará monitoreando la aplicación de la regla de exclusión en función del cumplimiento de la</w:t>
      </w:r>
      <w:r w:rsidR="00736E75" w:rsidRPr="007B69C1">
        <w:rPr>
          <w:rFonts w:ascii="Cambria" w:eastAsia="Times New Roman" w:hAnsi="Cambria" w:cs="Arial"/>
          <w:sz w:val="20"/>
          <w:szCs w:val="20"/>
          <w:lang w:val="es-MX"/>
        </w:rPr>
        <w:t xml:space="preserve"> presente</w:t>
      </w:r>
      <w:r w:rsidR="00744013" w:rsidRPr="007B69C1">
        <w:rPr>
          <w:rFonts w:ascii="Cambria" w:eastAsia="Times New Roman" w:hAnsi="Cambria" w:cs="Arial"/>
          <w:sz w:val="20"/>
          <w:szCs w:val="20"/>
          <w:lang w:val="es-MX"/>
        </w:rPr>
        <w:t xml:space="preserve"> recomendación</w:t>
      </w:r>
      <w:r w:rsidR="00736E75" w:rsidRPr="007B69C1">
        <w:rPr>
          <w:rFonts w:ascii="Cambria" w:eastAsia="Times New Roman" w:hAnsi="Cambria" w:cs="Arial"/>
          <w:sz w:val="20"/>
          <w:szCs w:val="20"/>
          <w:lang w:val="es-MX"/>
        </w:rPr>
        <w:t>.</w:t>
      </w:r>
    </w:p>
    <w:p w14:paraId="6EBEE421" w14:textId="39F2D82F" w:rsidR="00D36A52" w:rsidRPr="00B727AE" w:rsidRDefault="007E25FF" w:rsidP="00D36A52">
      <w:pPr>
        <w:numPr>
          <w:ilvl w:val="0"/>
          <w:numId w:val="5"/>
        </w:numPr>
        <w:shd w:val="clear" w:color="auto" w:fill="FFFFFF"/>
        <w:spacing w:after="240" w:line="240" w:lineRule="auto"/>
        <w:ind w:left="0" w:firstLine="720"/>
        <w:jc w:val="both"/>
        <w:rPr>
          <w:rFonts w:ascii="Cambria" w:eastAsia="Times New Roman" w:hAnsi="Cambria" w:cs="Arial"/>
          <w:sz w:val="20"/>
          <w:szCs w:val="20"/>
          <w:lang w:val="es-MX"/>
        </w:rPr>
      </w:pPr>
      <w:r w:rsidRPr="004E3E07">
        <w:rPr>
          <w:rFonts w:ascii="Cambria" w:eastAsia="Cambria" w:hAnsi="Cambria" w:cs="Cambria"/>
          <w:sz w:val="20"/>
          <w:szCs w:val="20"/>
          <w:lang w:val="es-MX"/>
        </w:rPr>
        <w:t xml:space="preserve">En relación con la recomendación de </w:t>
      </w:r>
      <w:r w:rsidRPr="004E3E07">
        <w:rPr>
          <w:rFonts w:ascii="Cambria" w:eastAsia="Cambria" w:hAnsi="Cambria" w:cs="Cambria"/>
          <w:b/>
          <w:bCs/>
          <w:sz w:val="20"/>
          <w:szCs w:val="20"/>
          <w:lang w:val="es-MX"/>
        </w:rPr>
        <w:t>crear un Registro Único Nacional de Personas Detenidas y asegurar que éstas sean puestas a disposición de un juez en forma inmediata</w:t>
      </w:r>
      <w:r w:rsidRPr="004E3E07">
        <w:rPr>
          <w:rFonts w:ascii="Cambria" w:eastAsia="Cambria" w:hAnsi="Cambria" w:cs="Cambria"/>
          <w:sz w:val="20"/>
          <w:szCs w:val="20"/>
          <w:lang w:val="es-MX"/>
        </w:rPr>
        <w:t xml:space="preserve">, </w:t>
      </w:r>
      <w:r w:rsidR="00331236" w:rsidRPr="004E3E07">
        <w:rPr>
          <w:rFonts w:ascii="Cambria" w:eastAsia="Times New Roman" w:hAnsi="Cambria" w:cs="Arial"/>
          <w:sz w:val="20"/>
          <w:szCs w:val="20"/>
          <w:lang w:val="es-MX"/>
        </w:rPr>
        <w:t>el Estado reiteró que los Agentes del Ministerio Público de la Federación cuentan con claves de acceso otorgadas para el registro ante el Registro Nacional de Detenciones (RND)</w:t>
      </w:r>
      <w:r w:rsidR="00331236" w:rsidRPr="004E3E07">
        <w:rPr>
          <w:rStyle w:val="FootnoteReference"/>
          <w:rFonts w:ascii="Cambria" w:eastAsia="Times New Roman" w:hAnsi="Cambria" w:cs="Arial"/>
          <w:sz w:val="20"/>
          <w:szCs w:val="20"/>
          <w:lang w:val="es-MX"/>
        </w:rPr>
        <w:footnoteReference w:id="146"/>
      </w:r>
      <w:r w:rsidR="00331236" w:rsidRPr="004E3E07">
        <w:rPr>
          <w:rFonts w:ascii="Cambria" w:eastAsia="Times New Roman" w:hAnsi="Cambria" w:cs="Arial"/>
          <w:sz w:val="20"/>
          <w:szCs w:val="20"/>
          <w:lang w:val="es-MX"/>
        </w:rPr>
        <w:t>. Por su parte, la CIDH toma nota del inicio de la tercera y última fase del RND en abril para incorporar los datos de las personas detenidas por faltas administrativas o comisión de alguna infracción contenida en reglamentos municipales y de justicia cívica, completando así el registro de todas las personas detenidas en el territorio nacional</w:t>
      </w:r>
      <w:r w:rsidR="00331236" w:rsidRPr="004E3E07">
        <w:rPr>
          <w:rStyle w:val="FootnoteReference"/>
          <w:rFonts w:ascii="Cambria" w:eastAsia="Times New Roman" w:hAnsi="Cambria" w:cs="Arial"/>
          <w:sz w:val="20"/>
          <w:szCs w:val="20"/>
          <w:lang w:val="es-MX"/>
        </w:rPr>
        <w:footnoteReference w:id="147"/>
      </w:r>
      <w:r w:rsidR="00331236" w:rsidRPr="004E3E07">
        <w:rPr>
          <w:rFonts w:ascii="Cambria" w:eastAsia="Times New Roman" w:hAnsi="Cambria" w:cs="Arial"/>
          <w:sz w:val="20"/>
          <w:szCs w:val="20"/>
          <w:lang w:val="es-MX"/>
        </w:rPr>
        <w:t>. Asimismo, la Comisión valora que el RND posee una plataforma pública en internet que permite saber si un familiar o conocido está detenido y, en su caso, ubicar dónde se encuentra</w:t>
      </w:r>
      <w:r w:rsidR="00331236" w:rsidRPr="004E3E07">
        <w:rPr>
          <w:rStyle w:val="FootnoteReference"/>
          <w:rFonts w:ascii="Cambria" w:eastAsia="Times New Roman" w:hAnsi="Cambria" w:cs="Arial"/>
          <w:sz w:val="20"/>
          <w:szCs w:val="20"/>
          <w:lang w:val="es-MX"/>
        </w:rPr>
        <w:footnoteReference w:id="148"/>
      </w:r>
      <w:r w:rsidR="00331236" w:rsidRPr="004E3E07">
        <w:rPr>
          <w:rFonts w:ascii="Cambria" w:eastAsia="Times New Roman" w:hAnsi="Cambria" w:cs="Arial"/>
          <w:sz w:val="20"/>
          <w:szCs w:val="20"/>
          <w:lang w:val="es-MX"/>
        </w:rPr>
        <w:t>. Sumado a ello, el gobierno de San Luis Potosí llevó a cabo el taller en línea “RND Faltas Administrativas" mediante el cual capacitó en la materia a más de 400 personas</w:t>
      </w:r>
      <w:r w:rsidR="00EC668B" w:rsidRPr="004E3E07">
        <w:rPr>
          <w:rFonts w:ascii="Cambria" w:eastAsia="Times New Roman" w:hAnsi="Cambria" w:cs="Arial"/>
          <w:sz w:val="20"/>
          <w:szCs w:val="20"/>
          <w:lang w:val="es-MX"/>
        </w:rPr>
        <w:t xml:space="preserve"> </w:t>
      </w:r>
      <w:r w:rsidR="00331236" w:rsidRPr="004E3E07">
        <w:rPr>
          <w:rFonts w:ascii="Cambria" w:eastAsia="Times New Roman" w:hAnsi="Cambria" w:cs="Arial"/>
          <w:sz w:val="20"/>
          <w:szCs w:val="20"/>
          <w:lang w:val="es-MX"/>
        </w:rPr>
        <w:t xml:space="preserve">entre ellas, miembros de la Guardia Nacional, agentes de corporaciones municipales, jueces, síndicos y personal </w:t>
      </w:r>
      <w:r w:rsidR="00331236" w:rsidRPr="00B727AE">
        <w:rPr>
          <w:rFonts w:ascii="Cambria" w:eastAsia="Times New Roman" w:hAnsi="Cambria" w:cs="Arial"/>
          <w:sz w:val="20"/>
          <w:szCs w:val="20"/>
          <w:lang w:val="es-MX"/>
        </w:rPr>
        <w:t>de los municipios</w:t>
      </w:r>
      <w:r w:rsidR="00331236" w:rsidRPr="00B727AE">
        <w:rPr>
          <w:rStyle w:val="FootnoteReference"/>
          <w:rFonts w:ascii="Cambria" w:eastAsia="Times New Roman" w:hAnsi="Cambria" w:cs="Arial"/>
          <w:sz w:val="20"/>
          <w:szCs w:val="20"/>
          <w:lang w:val="es-MX"/>
        </w:rPr>
        <w:footnoteReference w:id="149"/>
      </w:r>
      <w:r w:rsidR="00331236" w:rsidRPr="00B727AE">
        <w:rPr>
          <w:rFonts w:ascii="Cambria" w:eastAsia="Times New Roman" w:hAnsi="Cambria" w:cs="Arial"/>
          <w:sz w:val="20"/>
          <w:szCs w:val="20"/>
          <w:lang w:val="es-MX"/>
        </w:rPr>
        <w:t>.</w:t>
      </w:r>
    </w:p>
    <w:p w14:paraId="76E33A07" w14:textId="5B487AFE" w:rsidR="00EC668B" w:rsidRPr="00B727AE" w:rsidRDefault="00331236" w:rsidP="007B69C1">
      <w:pPr>
        <w:numPr>
          <w:ilvl w:val="0"/>
          <w:numId w:val="5"/>
        </w:numPr>
        <w:shd w:val="clear" w:color="auto" w:fill="FFFFFF"/>
        <w:spacing w:after="240" w:line="240" w:lineRule="auto"/>
        <w:ind w:left="0" w:firstLine="720"/>
        <w:jc w:val="both"/>
        <w:rPr>
          <w:rFonts w:ascii="Cambria" w:eastAsia="Times New Roman" w:hAnsi="Cambria" w:cs="Arial"/>
          <w:sz w:val="20"/>
          <w:szCs w:val="20"/>
          <w:lang w:val="es-MX"/>
        </w:rPr>
      </w:pPr>
      <w:r w:rsidRPr="00B727AE">
        <w:rPr>
          <w:rFonts w:ascii="Cambria" w:eastAsia="Times New Roman" w:hAnsi="Cambria" w:cs="Arial"/>
          <w:sz w:val="20"/>
          <w:szCs w:val="20"/>
          <w:lang w:val="es-MX"/>
        </w:rPr>
        <w:t xml:space="preserve">Por otro lado, a partir de información disponible, la Comisión observa que continúa pendiente de resolución la acción de inconstitucionalidad presentada por la CNDH ante la SCJN el 26 de junio de 2019, que reclama la invalidez del artículo transitorio quinto con relación al artículo 19, que parecerían eximir a las Fuerzas Armadas del deber de </w:t>
      </w:r>
      <w:r w:rsidR="00EC668B" w:rsidRPr="00B727AE">
        <w:rPr>
          <w:rFonts w:ascii="Cambria" w:eastAsia="Times New Roman" w:hAnsi="Cambria" w:cs="Arial"/>
          <w:sz w:val="20"/>
          <w:szCs w:val="20"/>
          <w:lang w:val="es-MX"/>
        </w:rPr>
        <w:t>avisar</w:t>
      </w:r>
      <w:r w:rsidRPr="00B727AE">
        <w:rPr>
          <w:rFonts w:ascii="Cambria" w:eastAsia="Times New Roman" w:hAnsi="Cambria" w:cs="Arial"/>
          <w:sz w:val="20"/>
          <w:szCs w:val="20"/>
          <w:lang w:val="es-MX"/>
        </w:rPr>
        <w:t xml:space="preserve"> a la autoridad policial competente de alimentar el Registro sobre las detenciones que las primeras practiquen</w:t>
      </w:r>
      <w:r w:rsidRPr="00B727AE">
        <w:rPr>
          <w:rStyle w:val="FootnoteReference"/>
          <w:rFonts w:ascii="Cambria" w:eastAsia="Times New Roman" w:hAnsi="Cambria" w:cs="Arial"/>
          <w:sz w:val="20"/>
          <w:szCs w:val="20"/>
          <w:lang w:val="es-MX"/>
        </w:rPr>
        <w:footnoteReference w:id="150"/>
      </w:r>
      <w:r w:rsidRPr="00B727AE">
        <w:rPr>
          <w:rFonts w:ascii="Cambria" w:eastAsia="Times New Roman" w:hAnsi="Cambria" w:cs="Arial"/>
          <w:sz w:val="20"/>
          <w:szCs w:val="20"/>
          <w:lang w:val="es-MX"/>
        </w:rPr>
        <w:t xml:space="preserve">. </w:t>
      </w:r>
      <w:r w:rsidR="007B69C1" w:rsidRPr="00B727AE">
        <w:rPr>
          <w:rFonts w:ascii="Cambria" w:eastAsia="Times New Roman" w:hAnsi="Cambria" w:cs="Arial"/>
          <w:sz w:val="20"/>
          <w:szCs w:val="20"/>
        </w:rPr>
        <w:t>En sus observaciones al proyecto del presente informe, el Estado indicó que el personal naval que participa en operaciones de apoyo a la seguridad pública, en coadyuvancia al mantenimiento del Estado de Derecho y en funciones de Guardia Costera,  sí alimenta el Registro de las Detenciones de los presuntos infractores de la ley que son detenidos en Flagrancia durante la comisión de un ilícito, de conformidad con lo previsto por el artículo 16 de la Constitución Política de los Estados Unidos Mexicanos, en relación con los numerales 21 de la LNUF y el 17 de la Ley Nacional del Registro de Detenciones</w:t>
      </w:r>
      <w:r w:rsidR="007B69C1" w:rsidRPr="00B727AE">
        <w:rPr>
          <w:rStyle w:val="FootnoteReference"/>
          <w:rFonts w:ascii="Cambria" w:eastAsia="Times New Roman" w:hAnsi="Cambria" w:cs="Arial"/>
          <w:sz w:val="20"/>
          <w:szCs w:val="20"/>
          <w:lang w:val="es-MX"/>
        </w:rPr>
        <w:footnoteReference w:id="151"/>
      </w:r>
      <w:r w:rsidR="007B69C1" w:rsidRPr="00B727AE">
        <w:rPr>
          <w:rFonts w:ascii="Cambria" w:eastAsia="Times New Roman" w:hAnsi="Cambria" w:cs="Arial"/>
          <w:sz w:val="20"/>
          <w:szCs w:val="20"/>
        </w:rPr>
        <w:t>.</w:t>
      </w:r>
    </w:p>
    <w:p w14:paraId="0649C6B5" w14:textId="3DA2C4B0" w:rsidR="003E4C7F" w:rsidRPr="004E3E07" w:rsidRDefault="00331236" w:rsidP="003E4C7F">
      <w:pPr>
        <w:numPr>
          <w:ilvl w:val="0"/>
          <w:numId w:val="5"/>
        </w:numPr>
        <w:shd w:val="clear" w:color="auto" w:fill="FFFFFF"/>
        <w:spacing w:after="240" w:line="240" w:lineRule="auto"/>
        <w:ind w:left="0" w:firstLine="720"/>
        <w:jc w:val="both"/>
        <w:rPr>
          <w:rFonts w:ascii="Cambria" w:eastAsia="Times New Roman" w:hAnsi="Cambria" w:cs="Arial"/>
          <w:sz w:val="20"/>
          <w:szCs w:val="20"/>
          <w:lang w:val="es-MX"/>
        </w:rPr>
      </w:pPr>
      <w:r w:rsidRPr="004E3E07">
        <w:rPr>
          <w:rFonts w:ascii="Cambria" w:eastAsia="Times New Roman" w:hAnsi="Cambria" w:cs="Arial"/>
          <w:sz w:val="20"/>
          <w:szCs w:val="20"/>
          <w:lang w:val="es-MX"/>
        </w:rPr>
        <w:t>En cuanto a la obligación de garantizar que las personas detenidas sean puestas a disposición de un juez en forma inmediata, es de preocupación para la Comisión que, conforme un informe de sociedad civil, el período tiempo durante el cual las personas son privadas de su libertad antes de ser inscritas en el registro y presentadas ante autoridad competente, sería incierto. En particular, el informe indica que no existirían límites de tiempo claros ni formas transparentes y fiables de controlarlos</w:t>
      </w:r>
      <w:r w:rsidRPr="004E3E07">
        <w:rPr>
          <w:rStyle w:val="FootnoteReference"/>
          <w:rFonts w:ascii="Cambria" w:eastAsia="Times New Roman" w:hAnsi="Cambria" w:cs="Arial"/>
          <w:sz w:val="20"/>
          <w:szCs w:val="20"/>
          <w:lang w:val="es-MX"/>
        </w:rPr>
        <w:footnoteReference w:id="152"/>
      </w:r>
      <w:r w:rsidRPr="004E3E07">
        <w:rPr>
          <w:rFonts w:ascii="Cambria" w:eastAsia="Times New Roman" w:hAnsi="Cambria" w:cs="Arial"/>
          <w:sz w:val="20"/>
          <w:szCs w:val="20"/>
          <w:lang w:val="es-MX"/>
        </w:rPr>
        <w:t xml:space="preserve">. </w:t>
      </w:r>
      <w:r w:rsidR="00EC668B" w:rsidRPr="004E3E07">
        <w:rPr>
          <w:rFonts w:ascii="Cambria" w:eastAsia="Times New Roman" w:hAnsi="Cambria" w:cs="Arial"/>
          <w:sz w:val="20"/>
          <w:szCs w:val="20"/>
          <w:lang w:val="es-MX"/>
        </w:rPr>
        <w:t>Al respecto, la última ENPOL 2021, señaló que</w:t>
      </w:r>
      <w:r w:rsidR="000764A1" w:rsidRPr="004E3E07">
        <w:rPr>
          <w:rFonts w:ascii="Cambria" w:eastAsia="Times New Roman" w:hAnsi="Cambria" w:cs="Arial"/>
          <w:sz w:val="20"/>
          <w:szCs w:val="20"/>
          <w:lang w:val="es-MX"/>
        </w:rPr>
        <w:t xml:space="preserve"> el 52.5% de la población privada de la libertad fue presentada ante el Ministerio Público o</w:t>
      </w:r>
      <w:r w:rsidR="00B30C82" w:rsidRPr="004E3E07">
        <w:rPr>
          <w:rFonts w:ascii="Cambria" w:eastAsia="Times New Roman" w:hAnsi="Cambria" w:cs="Arial"/>
          <w:sz w:val="20"/>
          <w:szCs w:val="20"/>
          <w:lang w:val="es-MX"/>
        </w:rPr>
        <w:t xml:space="preserve"> con un Juez de lo penal en un lapso de </w:t>
      </w:r>
      <w:r w:rsidR="00736E75">
        <w:rPr>
          <w:rFonts w:ascii="Cambria" w:eastAsia="Times New Roman" w:hAnsi="Cambria" w:cs="Arial"/>
          <w:sz w:val="20"/>
          <w:szCs w:val="20"/>
          <w:lang w:val="es-MX"/>
        </w:rPr>
        <w:t xml:space="preserve">cuatro </w:t>
      </w:r>
      <w:r w:rsidR="00B30C82" w:rsidRPr="004E3E07">
        <w:rPr>
          <w:rFonts w:ascii="Cambria" w:eastAsia="Times New Roman" w:hAnsi="Cambria" w:cs="Arial"/>
          <w:sz w:val="20"/>
          <w:szCs w:val="20"/>
          <w:lang w:val="es-MX"/>
        </w:rPr>
        <w:t>horas o menos, mientras que el 8.4% fue presentad</w:t>
      </w:r>
      <w:r w:rsidR="00736E75">
        <w:rPr>
          <w:rFonts w:ascii="Cambria" w:eastAsia="Times New Roman" w:hAnsi="Cambria" w:cs="Arial"/>
          <w:sz w:val="20"/>
          <w:szCs w:val="20"/>
          <w:lang w:val="es-MX"/>
        </w:rPr>
        <w:t xml:space="preserve">a </w:t>
      </w:r>
      <w:r w:rsidR="00B30C82" w:rsidRPr="004E3E07">
        <w:rPr>
          <w:rFonts w:ascii="Cambria" w:eastAsia="Times New Roman" w:hAnsi="Cambria" w:cs="Arial"/>
          <w:sz w:val="20"/>
          <w:szCs w:val="20"/>
          <w:lang w:val="es-MX"/>
        </w:rPr>
        <w:t>de</w:t>
      </w:r>
      <w:r w:rsidR="003E4C7F" w:rsidRPr="004E3E07">
        <w:rPr>
          <w:rFonts w:ascii="Cambria" w:eastAsia="Times New Roman" w:hAnsi="Cambria" w:cs="Arial"/>
          <w:sz w:val="20"/>
          <w:szCs w:val="20"/>
          <w:lang w:val="es-MX"/>
        </w:rPr>
        <w:t>spués de haber transcurrido 48 horas</w:t>
      </w:r>
      <w:r w:rsidR="00C27CD7" w:rsidRPr="004E3E07">
        <w:rPr>
          <w:rStyle w:val="FootnoteReference"/>
          <w:rFonts w:ascii="Cambria" w:eastAsia="Times New Roman" w:hAnsi="Cambria" w:cs="Arial"/>
          <w:sz w:val="20"/>
          <w:szCs w:val="20"/>
          <w:lang w:val="es-MX"/>
        </w:rPr>
        <w:footnoteReference w:id="153"/>
      </w:r>
      <w:r w:rsidR="003E4C7F" w:rsidRPr="004E3E07">
        <w:rPr>
          <w:rFonts w:ascii="Cambria" w:eastAsia="Times New Roman" w:hAnsi="Cambria" w:cs="Arial"/>
          <w:sz w:val="20"/>
          <w:szCs w:val="20"/>
          <w:lang w:val="es-MX"/>
        </w:rPr>
        <w:t>.</w:t>
      </w:r>
    </w:p>
    <w:p w14:paraId="486F9C5A" w14:textId="6BC52C84" w:rsidR="00331236" w:rsidRPr="004E3E07" w:rsidRDefault="00331236" w:rsidP="003E4C7F">
      <w:pPr>
        <w:numPr>
          <w:ilvl w:val="0"/>
          <w:numId w:val="5"/>
        </w:numPr>
        <w:shd w:val="clear" w:color="auto" w:fill="FFFFFF"/>
        <w:spacing w:after="240" w:line="240" w:lineRule="auto"/>
        <w:ind w:left="0" w:firstLine="720"/>
        <w:jc w:val="both"/>
        <w:rPr>
          <w:rFonts w:ascii="Cambria" w:eastAsia="Times New Roman" w:hAnsi="Cambria" w:cs="Arial"/>
          <w:sz w:val="20"/>
          <w:szCs w:val="20"/>
          <w:lang w:val="es-MX"/>
        </w:rPr>
      </w:pPr>
      <w:r w:rsidRPr="004E3E07">
        <w:rPr>
          <w:rFonts w:ascii="Cambria" w:eastAsia="Times New Roman" w:hAnsi="Cambria" w:cs="Arial"/>
          <w:sz w:val="20"/>
          <w:szCs w:val="20"/>
          <w:lang w:val="es-MX"/>
        </w:rPr>
        <w:t xml:space="preserve">Con base en lo desarrollado, a pesar de que la CIDH valora que se haya completado el proceso de incorporación de datos al Registro Nacional de Detenciones, nota que la acción de inconstitucionalidad continúa sin ser resuelta y que aún se presentan desafíos en la pronta puesta a disposición de las personas detenidas. En atención a ello, la Comisión concluye que la presente recomendación se encuentra parcialmente cumplida. </w:t>
      </w:r>
    </w:p>
    <w:p w14:paraId="303E50B3" w14:textId="2259D8B5" w:rsidR="00D256EB" w:rsidRPr="004E3E07" w:rsidRDefault="007E25FF" w:rsidP="00D256EB">
      <w:pPr>
        <w:numPr>
          <w:ilvl w:val="0"/>
          <w:numId w:val="5"/>
        </w:numPr>
        <w:shd w:val="clear" w:color="auto" w:fill="FFFFFF"/>
        <w:spacing w:after="240" w:line="240" w:lineRule="auto"/>
        <w:ind w:left="0" w:firstLine="720"/>
        <w:jc w:val="both"/>
        <w:rPr>
          <w:rFonts w:ascii="Cambria" w:eastAsia="Cambria" w:hAnsi="Cambria" w:cs="Cambria"/>
          <w:sz w:val="20"/>
          <w:szCs w:val="20"/>
          <w:lang w:val="es-MX"/>
        </w:rPr>
      </w:pPr>
      <w:r w:rsidRPr="004E3E07">
        <w:rPr>
          <w:rFonts w:ascii="Cambria" w:eastAsia="Cambria" w:hAnsi="Cambria" w:cs="Cambria"/>
          <w:sz w:val="20"/>
          <w:szCs w:val="20"/>
          <w:lang w:val="es-MX"/>
        </w:rPr>
        <w:t xml:space="preserve">En cuanto a la recomendación de </w:t>
      </w:r>
      <w:r w:rsidRPr="004E3E07">
        <w:rPr>
          <w:rFonts w:ascii="Cambria" w:eastAsia="Cambria" w:hAnsi="Cambria" w:cs="Cambria"/>
          <w:b/>
          <w:bCs/>
          <w:sz w:val="20"/>
          <w:szCs w:val="20"/>
          <w:lang w:val="es-MX"/>
        </w:rPr>
        <w:t>asegurar que personal capacitado aplique el Protocolo de Estambul e investigar casos en que los jueces no ordenen investigar denuncias o indicios de tortura</w:t>
      </w:r>
      <w:r w:rsidRPr="004E3E07">
        <w:rPr>
          <w:rFonts w:ascii="Cambria" w:eastAsia="Cambria" w:hAnsi="Cambria" w:cs="Cambria"/>
          <w:sz w:val="20"/>
          <w:szCs w:val="20"/>
          <w:lang w:val="es-MX"/>
        </w:rPr>
        <w:t xml:space="preserve">, el Estado </w:t>
      </w:r>
      <w:r w:rsidR="00DD41EA" w:rsidRPr="004E3E07">
        <w:rPr>
          <w:rFonts w:ascii="Cambria" w:eastAsia="Cambria" w:hAnsi="Cambria" w:cs="Cambria"/>
          <w:sz w:val="20"/>
          <w:szCs w:val="20"/>
          <w:lang w:val="es-MX"/>
        </w:rPr>
        <w:t xml:space="preserve">señaló que </w:t>
      </w:r>
      <w:r w:rsidR="00FC7A0C" w:rsidRPr="004E3E07">
        <w:rPr>
          <w:rFonts w:ascii="Cambria" w:eastAsia="Cambria" w:hAnsi="Cambria" w:cs="Cambria"/>
          <w:sz w:val="20"/>
          <w:szCs w:val="20"/>
          <w:lang w:val="es-MX"/>
        </w:rPr>
        <w:t>l</w:t>
      </w:r>
      <w:r w:rsidR="008D51CC" w:rsidRPr="004E3E07">
        <w:rPr>
          <w:rFonts w:ascii="Cambria" w:eastAsia="Cambria" w:hAnsi="Cambria" w:cs="Cambria"/>
          <w:sz w:val="20"/>
          <w:szCs w:val="20"/>
          <w:lang w:val="es-MX"/>
        </w:rPr>
        <w:t xml:space="preserve">a Ley </w:t>
      </w:r>
      <w:r w:rsidR="00FC7A0C" w:rsidRPr="004E3E07">
        <w:rPr>
          <w:rFonts w:ascii="Cambria" w:eastAsia="Cambria" w:hAnsi="Cambria" w:cs="Cambria"/>
          <w:sz w:val="20"/>
          <w:szCs w:val="20"/>
          <w:lang w:val="es-MX"/>
        </w:rPr>
        <w:t>sobre tortura</w:t>
      </w:r>
      <w:r w:rsidR="008D51CC" w:rsidRPr="004E3E07">
        <w:rPr>
          <w:rFonts w:ascii="Cambria" w:eastAsia="Cambria" w:hAnsi="Cambria" w:cs="Cambria"/>
          <w:sz w:val="20"/>
          <w:szCs w:val="20"/>
          <w:lang w:val="es-MX"/>
        </w:rPr>
        <w:t xml:space="preserve"> </w:t>
      </w:r>
      <w:r w:rsidR="00FC7A0C" w:rsidRPr="004E3E07">
        <w:rPr>
          <w:rFonts w:ascii="Cambria" w:eastAsia="Cambria" w:hAnsi="Cambria" w:cs="Cambria"/>
          <w:sz w:val="20"/>
          <w:szCs w:val="20"/>
          <w:lang w:val="es-MX"/>
        </w:rPr>
        <w:t>dispone que</w:t>
      </w:r>
      <w:r w:rsidR="008D51CC" w:rsidRPr="004E3E07">
        <w:rPr>
          <w:rFonts w:ascii="Cambria" w:eastAsia="Cambria" w:hAnsi="Cambria" w:cs="Cambria"/>
          <w:sz w:val="20"/>
          <w:szCs w:val="20"/>
          <w:lang w:val="es-MX"/>
        </w:rPr>
        <w:t>, en la realización de cualquier dictamen médico-psicológico, se deben observar las directrices señaladas en esa Ley General y en el Protocolo de Estambul; así como el cumplimiento de los más altos estándares internacionales de la materia. Asimismo, las víctimas tienen derecho a ser examinadas por médicos especializados y/o psicólogos de su elección.</w:t>
      </w:r>
      <w:r w:rsidR="00FC7A0C" w:rsidRPr="004E3E07">
        <w:rPr>
          <w:rFonts w:ascii="Cambria" w:eastAsia="Cambria" w:hAnsi="Cambria" w:cs="Cambria"/>
          <w:sz w:val="20"/>
          <w:szCs w:val="20"/>
          <w:lang w:val="es-MX"/>
        </w:rPr>
        <w:t xml:space="preserve"> Según lo informado por el Estado, la norma también señala que en </w:t>
      </w:r>
      <w:r w:rsidR="00D256EB" w:rsidRPr="004E3E07">
        <w:rPr>
          <w:rFonts w:ascii="Cambria" w:eastAsia="Cambria" w:hAnsi="Cambria" w:cs="Cambria"/>
          <w:sz w:val="20"/>
          <w:szCs w:val="20"/>
          <w:lang w:val="es-MX"/>
        </w:rPr>
        <w:t>caso de que el médico legista o facultativo designado por la persona detenida encuentre indicios de tortura, deberá solicitar, mediante el procedimiento legal correspondiente, que un perito especializado realice el dictamen médico-psicológico conforme lo establece el Protocolo de Estambul</w:t>
      </w:r>
      <w:r w:rsidR="00FC7A0C" w:rsidRPr="004E3E07">
        <w:rPr>
          <w:rFonts w:ascii="Cambria" w:eastAsia="Cambria" w:hAnsi="Cambria" w:cs="Cambria"/>
          <w:sz w:val="20"/>
          <w:szCs w:val="20"/>
          <w:lang w:val="es-MX"/>
        </w:rPr>
        <w:t xml:space="preserve"> y deberá avisar de </w:t>
      </w:r>
      <w:r w:rsidR="00D256EB" w:rsidRPr="004E3E07">
        <w:rPr>
          <w:rFonts w:ascii="Cambria" w:eastAsia="Cambria" w:hAnsi="Cambria" w:cs="Cambria"/>
          <w:sz w:val="20"/>
          <w:szCs w:val="20"/>
          <w:lang w:val="es-MX"/>
        </w:rPr>
        <w:t>inmediato a las autoridades competentes para el inicio de las investigaciones de conformidad con la presente Ley</w:t>
      </w:r>
      <w:r w:rsidR="00D40E42" w:rsidRPr="004E3E07">
        <w:rPr>
          <w:rStyle w:val="FootnoteReference"/>
          <w:rFonts w:ascii="Cambria" w:eastAsia="Cambria" w:hAnsi="Cambria" w:cs="Cambria"/>
          <w:sz w:val="20"/>
          <w:szCs w:val="20"/>
          <w:lang w:val="es-MX"/>
        </w:rPr>
        <w:footnoteReference w:id="154"/>
      </w:r>
      <w:r w:rsidR="00D256EB" w:rsidRPr="004E3E07">
        <w:rPr>
          <w:rFonts w:ascii="Cambria" w:eastAsia="Cambria" w:hAnsi="Cambria" w:cs="Cambria"/>
          <w:sz w:val="20"/>
          <w:szCs w:val="20"/>
          <w:lang w:val="es-MX"/>
        </w:rPr>
        <w:t>.</w:t>
      </w:r>
    </w:p>
    <w:p w14:paraId="77AC24C7" w14:textId="6E09CC6B" w:rsidR="00D256EB" w:rsidRPr="004E3E07" w:rsidRDefault="007E49B2" w:rsidP="00CC6C4B">
      <w:pPr>
        <w:numPr>
          <w:ilvl w:val="0"/>
          <w:numId w:val="5"/>
        </w:numPr>
        <w:shd w:val="clear" w:color="auto" w:fill="FFFFFF"/>
        <w:spacing w:after="240" w:line="240" w:lineRule="auto"/>
        <w:ind w:left="0" w:firstLine="720"/>
        <w:jc w:val="both"/>
        <w:rPr>
          <w:rFonts w:ascii="Cambria" w:eastAsia="Cambria" w:hAnsi="Cambria" w:cs="Cambria"/>
          <w:sz w:val="20"/>
          <w:szCs w:val="20"/>
          <w:lang w:val="es-MX"/>
        </w:rPr>
      </w:pPr>
      <w:r w:rsidRPr="004E3E07">
        <w:rPr>
          <w:rFonts w:ascii="Cambria" w:eastAsia="Cambria" w:hAnsi="Cambria" w:cs="Cambria"/>
          <w:sz w:val="20"/>
          <w:szCs w:val="20"/>
          <w:lang w:val="es-MX"/>
        </w:rPr>
        <w:t xml:space="preserve">Tal como fue señalado por el Estado, </w:t>
      </w:r>
      <w:r w:rsidR="00FB5727" w:rsidRPr="004E3E07">
        <w:rPr>
          <w:rFonts w:ascii="Cambria" w:eastAsia="Cambria" w:hAnsi="Cambria" w:cs="Cambria"/>
          <w:sz w:val="20"/>
          <w:szCs w:val="20"/>
          <w:lang w:val="es-MX"/>
        </w:rPr>
        <w:t xml:space="preserve">el dictamen médico-psicológico </w:t>
      </w:r>
      <w:r w:rsidR="0087294C" w:rsidRPr="004E3E07">
        <w:rPr>
          <w:rFonts w:ascii="Cambria" w:eastAsia="Cambria" w:hAnsi="Cambria" w:cs="Cambria"/>
          <w:sz w:val="20"/>
          <w:szCs w:val="20"/>
          <w:lang w:val="es-MX"/>
        </w:rPr>
        <w:t xml:space="preserve">debe ser agregado </w:t>
      </w:r>
      <w:r w:rsidR="0069102E" w:rsidRPr="004E3E07">
        <w:rPr>
          <w:rFonts w:ascii="Cambria" w:eastAsia="Cambria" w:hAnsi="Cambria" w:cs="Cambria"/>
          <w:sz w:val="20"/>
          <w:szCs w:val="20"/>
          <w:lang w:val="es-MX"/>
        </w:rPr>
        <w:t>a la carpeta de investigación</w:t>
      </w:r>
      <w:r w:rsidR="009C388B" w:rsidRPr="004E3E07">
        <w:rPr>
          <w:rFonts w:ascii="Cambria" w:eastAsia="Cambria" w:hAnsi="Cambria" w:cs="Cambria"/>
          <w:sz w:val="20"/>
          <w:szCs w:val="20"/>
          <w:lang w:val="es-MX"/>
        </w:rPr>
        <w:t xml:space="preserve"> de la Fiscalía Especializada que conoce el caso y una copia </w:t>
      </w:r>
      <w:r w:rsidR="00736E75">
        <w:rPr>
          <w:rFonts w:ascii="Cambria" w:eastAsia="Cambria" w:hAnsi="Cambria" w:cs="Cambria"/>
          <w:sz w:val="20"/>
          <w:szCs w:val="20"/>
          <w:lang w:val="es-MX"/>
        </w:rPr>
        <w:t xml:space="preserve">expedida </w:t>
      </w:r>
      <w:r w:rsidR="009C388B" w:rsidRPr="004E3E07">
        <w:rPr>
          <w:rFonts w:ascii="Cambria" w:eastAsia="Cambria" w:hAnsi="Cambria" w:cs="Cambria"/>
          <w:sz w:val="20"/>
          <w:szCs w:val="20"/>
          <w:lang w:val="es-MX"/>
        </w:rPr>
        <w:t>a la víctima o a la persona que la defienda</w:t>
      </w:r>
      <w:r w:rsidR="00AF501F" w:rsidRPr="004E3E07">
        <w:rPr>
          <w:rFonts w:ascii="Cambria" w:eastAsia="Cambria" w:hAnsi="Cambria" w:cs="Cambria"/>
          <w:sz w:val="20"/>
          <w:szCs w:val="20"/>
          <w:lang w:val="es-MX"/>
        </w:rPr>
        <w:t xml:space="preserve">. El Estado también </w:t>
      </w:r>
      <w:r w:rsidR="00255DAF" w:rsidRPr="004E3E07">
        <w:rPr>
          <w:rFonts w:ascii="Cambria" w:eastAsia="Cambria" w:hAnsi="Cambria" w:cs="Cambria"/>
          <w:sz w:val="20"/>
          <w:szCs w:val="20"/>
          <w:lang w:val="es-MX"/>
        </w:rPr>
        <w:t>señaló que la norma dispone la distinción en la aplicación d</w:t>
      </w:r>
      <w:r w:rsidR="00D256EB" w:rsidRPr="004E3E07">
        <w:rPr>
          <w:rFonts w:ascii="Cambria" w:eastAsia="Cambria" w:hAnsi="Cambria" w:cs="Cambria"/>
          <w:sz w:val="20"/>
          <w:szCs w:val="20"/>
          <w:lang w:val="es-MX"/>
        </w:rPr>
        <w:t xml:space="preserve">el dictamen médico-psicológico basado en el Protocolo de Estambul </w:t>
      </w:r>
      <w:r w:rsidR="00255DAF" w:rsidRPr="004E3E07">
        <w:rPr>
          <w:rFonts w:ascii="Cambria" w:eastAsia="Cambria" w:hAnsi="Cambria" w:cs="Cambria"/>
          <w:sz w:val="20"/>
          <w:szCs w:val="20"/>
          <w:lang w:val="es-MX"/>
        </w:rPr>
        <w:t xml:space="preserve">la situación de la </w:t>
      </w:r>
      <w:r w:rsidR="00D256EB" w:rsidRPr="004E3E07">
        <w:rPr>
          <w:rFonts w:ascii="Cambria" w:eastAsia="Cambria" w:hAnsi="Cambria" w:cs="Cambria"/>
          <w:sz w:val="20"/>
          <w:szCs w:val="20"/>
          <w:lang w:val="es-MX"/>
        </w:rPr>
        <w:t xml:space="preserve">víctima </w:t>
      </w:r>
      <w:r w:rsidR="00255DAF" w:rsidRPr="004E3E07">
        <w:rPr>
          <w:rFonts w:ascii="Cambria" w:eastAsia="Cambria" w:hAnsi="Cambria" w:cs="Cambria"/>
          <w:sz w:val="20"/>
          <w:szCs w:val="20"/>
          <w:lang w:val="es-MX"/>
        </w:rPr>
        <w:t>de</w:t>
      </w:r>
      <w:r w:rsidR="00D256EB" w:rsidRPr="004E3E07">
        <w:rPr>
          <w:rFonts w:ascii="Cambria" w:eastAsia="Cambria" w:hAnsi="Cambria" w:cs="Cambria"/>
          <w:sz w:val="20"/>
          <w:szCs w:val="20"/>
          <w:lang w:val="es-MX"/>
        </w:rPr>
        <w:t xml:space="preserve"> mujer, niña, niño o adolescente</w:t>
      </w:r>
      <w:r w:rsidR="001434F1" w:rsidRPr="004E3E07">
        <w:rPr>
          <w:rFonts w:ascii="Cambria" w:eastAsia="Cambria" w:hAnsi="Cambria" w:cs="Cambria"/>
          <w:sz w:val="20"/>
          <w:szCs w:val="20"/>
          <w:lang w:val="es-MX"/>
        </w:rPr>
        <w:t xml:space="preserve">. </w:t>
      </w:r>
      <w:r w:rsidR="00400D85" w:rsidRPr="004E3E07">
        <w:rPr>
          <w:rFonts w:ascii="Cambria" w:eastAsia="Cambria" w:hAnsi="Cambria" w:cs="Cambria"/>
          <w:sz w:val="20"/>
          <w:szCs w:val="20"/>
          <w:lang w:val="es-MX"/>
        </w:rPr>
        <w:t>Asimismo, según lo informado, el dictamen</w:t>
      </w:r>
      <w:r w:rsidR="00910B81" w:rsidRPr="004E3E07">
        <w:rPr>
          <w:rFonts w:ascii="Cambria" w:eastAsia="Cambria" w:hAnsi="Cambria" w:cs="Cambria"/>
          <w:sz w:val="20"/>
          <w:szCs w:val="20"/>
          <w:lang w:val="es-MX"/>
        </w:rPr>
        <w:t>, que conten</w:t>
      </w:r>
      <w:r w:rsidR="00934E14" w:rsidRPr="004E3E07">
        <w:rPr>
          <w:rFonts w:ascii="Cambria" w:eastAsia="Cambria" w:hAnsi="Cambria" w:cs="Cambria"/>
          <w:sz w:val="20"/>
          <w:szCs w:val="20"/>
          <w:lang w:val="es-MX"/>
        </w:rPr>
        <w:t>ga la información sobre antecedentes, estado de salud, resultados y descripción de lesiones y conclusiones,</w:t>
      </w:r>
      <w:r w:rsidR="00D256EB" w:rsidRPr="004E3E07">
        <w:rPr>
          <w:rFonts w:ascii="Cambria" w:eastAsia="Cambria" w:hAnsi="Cambria" w:cs="Cambria"/>
          <w:sz w:val="20"/>
          <w:szCs w:val="20"/>
          <w:lang w:val="es-MX"/>
        </w:rPr>
        <w:t xml:space="preserve"> se integra como medio de prueba en la carpeta</w:t>
      </w:r>
      <w:r w:rsidR="00910B81" w:rsidRPr="004E3E07">
        <w:rPr>
          <w:rFonts w:ascii="Cambria" w:eastAsia="Cambria" w:hAnsi="Cambria" w:cs="Cambria"/>
          <w:sz w:val="20"/>
          <w:szCs w:val="20"/>
          <w:lang w:val="es-MX"/>
        </w:rPr>
        <w:t xml:space="preserve"> de investigación</w:t>
      </w:r>
      <w:r w:rsidR="00FD1B6D" w:rsidRPr="004E3E07">
        <w:rPr>
          <w:rFonts w:ascii="Cambria" w:eastAsia="Cambria" w:hAnsi="Cambria" w:cs="Cambria"/>
          <w:sz w:val="20"/>
          <w:szCs w:val="20"/>
          <w:lang w:val="es-MX"/>
        </w:rPr>
        <w:t>.</w:t>
      </w:r>
    </w:p>
    <w:p w14:paraId="06C99DF8" w14:textId="6AC4D000" w:rsidR="00DF50EB" w:rsidRPr="004E3E07" w:rsidRDefault="00DF50EB" w:rsidP="00CC6C4B">
      <w:pPr>
        <w:numPr>
          <w:ilvl w:val="0"/>
          <w:numId w:val="5"/>
        </w:numPr>
        <w:shd w:val="clear" w:color="auto" w:fill="FFFFFF"/>
        <w:spacing w:after="240" w:line="240" w:lineRule="auto"/>
        <w:ind w:left="0" w:firstLine="720"/>
        <w:jc w:val="both"/>
        <w:rPr>
          <w:rFonts w:ascii="Cambria" w:eastAsia="Cambria" w:hAnsi="Cambria" w:cs="Cambria"/>
          <w:sz w:val="20"/>
          <w:szCs w:val="20"/>
          <w:lang w:val="es-MX"/>
        </w:rPr>
      </w:pPr>
      <w:r>
        <w:rPr>
          <w:rFonts w:ascii="Cambria" w:eastAsia="Cambria" w:hAnsi="Cambria" w:cs="Cambria"/>
          <w:sz w:val="20"/>
          <w:szCs w:val="20"/>
          <w:lang w:val="es-MX"/>
        </w:rPr>
        <w:t xml:space="preserve">La CNDH informó de la impartición del programa de capacitación </w:t>
      </w:r>
      <w:r w:rsidR="00050FD2" w:rsidRPr="00050FD2">
        <w:rPr>
          <w:rFonts w:ascii="Cambria" w:eastAsia="Cambria" w:hAnsi="Cambria" w:cs="Cambria"/>
          <w:sz w:val="20"/>
          <w:szCs w:val="20"/>
          <w:lang w:val="es-MX"/>
        </w:rPr>
        <w:t>“Documentación e investigación de tortura y otros tratos crueles inhumanos y/o degradantes, aplicación de los principios y directrices del Protocolo de Estambul”</w:t>
      </w:r>
      <w:r w:rsidR="00050FD2">
        <w:rPr>
          <w:rFonts w:ascii="Cambria" w:eastAsia="Cambria" w:hAnsi="Cambria" w:cs="Cambria"/>
          <w:sz w:val="20"/>
          <w:szCs w:val="20"/>
          <w:lang w:val="es-MX"/>
        </w:rPr>
        <w:t xml:space="preserve"> que fue replicado por las comisiones estatales de derechos humanos </w:t>
      </w:r>
      <w:r w:rsidR="008241B3">
        <w:rPr>
          <w:rFonts w:ascii="Cambria" w:eastAsia="Cambria" w:hAnsi="Cambria" w:cs="Cambria"/>
          <w:sz w:val="20"/>
          <w:szCs w:val="20"/>
          <w:lang w:val="es-MX"/>
        </w:rPr>
        <w:t xml:space="preserve">Baja California, </w:t>
      </w:r>
      <w:r w:rsidR="007F4FEE">
        <w:rPr>
          <w:rFonts w:ascii="Cambria" w:eastAsia="Cambria" w:hAnsi="Cambria" w:cs="Cambria"/>
          <w:sz w:val="20"/>
          <w:szCs w:val="20"/>
          <w:lang w:val="es-MX"/>
        </w:rPr>
        <w:t xml:space="preserve">Guanajuato, Guerrero, </w:t>
      </w:r>
      <w:r w:rsidR="008241B3">
        <w:rPr>
          <w:rFonts w:ascii="Cambria" w:eastAsia="Cambria" w:hAnsi="Cambria" w:cs="Cambria"/>
          <w:sz w:val="20"/>
          <w:szCs w:val="20"/>
          <w:lang w:val="es-MX"/>
        </w:rPr>
        <w:t xml:space="preserve">Jalisco, </w:t>
      </w:r>
      <w:r w:rsidR="007F4FEE">
        <w:rPr>
          <w:rFonts w:ascii="Cambria" w:eastAsia="Cambria" w:hAnsi="Cambria" w:cs="Cambria"/>
          <w:sz w:val="20"/>
          <w:szCs w:val="20"/>
          <w:lang w:val="es-MX"/>
        </w:rPr>
        <w:t xml:space="preserve">Oaxaca, </w:t>
      </w:r>
      <w:r w:rsidR="008241B3">
        <w:rPr>
          <w:rFonts w:ascii="Cambria" w:eastAsia="Cambria" w:hAnsi="Cambria" w:cs="Cambria"/>
          <w:sz w:val="20"/>
          <w:szCs w:val="20"/>
          <w:lang w:val="es-MX"/>
        </w:rPr>
        <w:t xml:space="preserve">Puebla, Queretaro, </w:t>
      </w:r>
      <w:r w:rsidR="00F1753C">
        <w:rPr>
          <w:rFonts w:ascii="Cambria" w:eastAsia="Cambria" w:hAnsi="Cambria" w:cs="Cambria"/>
          <w:sz w:val="20"/>
          <w:szCs w:val="20"/>
          <w:lang w:val="es-MX"/>
        </w:rPr>
        <w:t xml:space="preserve">San Luis Potosí, </w:t>
      </w:r>
      <w:r w:rsidR="007F4FEE">
        <w:rPr>
          <w:rFonts w:ascii="Cambria" w:eastAsia="Cambria" w:hAnsi="Cambria" w:cs="Cambria"/>
          <w:sz w:val="20"/>
          <w:szCs w:val="20"/>
          <w:lang w:val="es-MX"/>
        </w:rPr>
        <w:t>Veracruz</w:t>
      </w:r>
      <w:r w:rsidR="008241B3">
        <w:rPr>
          <w:rFonts w:ascii="Cambria" w:eastAsia="Cambria" w:hAnsi="Cambria" w:cs="Cambria"/>
          <w:sz w:val="20"/>
          <w:szCs w:val="20"/>
          <w:lang w:val="es-MX"/>
        </w:rPr>
        <w:t xml:space="preserve"> y Yucatán. </w:t>
      </w:r>
    </w:p>
    <w:p w14:paraId="0B79918E" w14:textId="1B59F760" w:rsidR="00363258" w:rsidRPr="004E3E07" w:rsidRDefault="00E742DB" w:rsidP="5258151B">
      <w:pPr>
        <w:numPr>
          <w:ilvl w:val="0"/>
          <w:numId w:val="5"/>
        </w:numPr>
        <w:shd w:val="clear" w:color="auto" w:fill="FFFFFF"/>
        <w:spacing w:after="240" w:line="240" w:lineRule="auto"/>
        <w:ind w:left="0" w:firstLine="720"/>
        <w:jc w:val="both"/>
        <w:rPr>
          <w:rFonts w:ascii="Cambria" w:eastAsia="Cambria" w:hAnsi="Cambria" w:cs="Cambria"/>
          <w:sz w:val="20"/>
          <w:szCs w:val="20"/>
          <w:lang w:val="es-MX"/>
        </w:rPr>
      </w:pPr>
      <w:r w:rsidRPr="004E3E07">
        <w:rPr>
          <w:rFonts w:ascii="Cambria" w:eastAsia="Cambria" w:hAnsi="Cambria" w:cs="Cambria"/>
          <w:sz w:val="20"/>
          <w:szCs w:val="20"/>
          <w:lang w:val="es-MX"/>
        </w:rPr>
        <w:t xml:space="preserve">La CIDH toma nota </w:t>
      </w:r>
      <w:r w:rsidR="00A92EB0" w:rsidRPr="004E3E07">
        <w:rPr>
          <w:rFonts w:ascii="Cambria" w:eastAsia="Cambria" w:hAnsi="Cambria" w:cs="Cambria"/>
          <w:sz w:val="20"/>
          <w:szCs w:val="20"/>
          <w:lang w:val="es-MX"/>
        </w:rPr>
        <w:t xml:space="preserve">de las disposiciones normativas que obligan a las autoridades involucradas en la procuración de justicia de aplicar e integrar en las carpetas de investigación, y de ser el caso, iniciar por impulso procesal propio, la investigación correspondiente. Sin embargo, la recomendación </w:t>
      </w:r>
      <w:r w:rsidR="00366801" w:rsidRPr="004E3E07">
        <w:rPr>
          <w:rFonts w:ascii="Cambria" w:eastAsia="Cambria" w:hAnsi="Cambria" w:cs="Cambria"/>
          <w:sz w:val="20"/>
          <w:szCs w:val="20"/>
          <w:lang w:val="es-MX"/>
        </w:rPr>
        <w:t xml:space="preserve">presenta dos componentes. El primer </w:t>
      </w:r>
      <w:r w:rsidR="001818D2" w:rsidRPr="004E3E07">
        <w:rPr>
          <w:rFonts w:ascii="Cambria" w:eastAsia="Cambria" w:hAnsi="Cambria" w:cs="Cambria"/>
          <w:sz w:val="20"/>
          <w:szCs w:val="20"/>
          <w:lang w:val="es-MX"/>
        </w:rPr>
        <w:t>se dirige a la verificación d</w:t>
      </w:r>
      <w:r w:rsidR="00EA163D" w:rsidRPr="004E3E07">
        <w:rPr>
          <w:rFonts w:ascii="Cambria" w:eastAsia="Cambria" w:hAnsi="Cambria" w:cs="Cambria"/>
          <w:sz w:val="20"/>
          <w:szCs w:val="20"/>
          <w:lang w:val="es-MX"/>
        </w:rPr>
        <w:t xml:space="preserve">e casos en que las personas operadoras de justicia no ordenaron </w:t>
      </w:r>
      <w:r w:rsidR="00EA163D" w:rsidRPr="004E3E07">
        <w:rPr>
          <w:rFonts w:ascii="Cambria" w:eastAsia="Cambria" w:hAnsi="Cambria" w:cs="Cambria"/>
          <w:i/>
          <w:iCs/>
          <w:sz w:val="20"/>
          <w:szCs w:val="20"/>
          <w:lang w:val="es-MX"/>
        </w:rPr>
        <w:t>ex–officio</w:t>
      </w:r>
      <w:r w:rsidR="00EA163D" w:rsidRPr="004E3E07">
        <w:rPr>
          <w:rFonts w:ascii="Cambria" w:eastAsia="Cambria" w:hAnsi="Cambria" w:cs="Cambria"/>
          <w:sz w:val="20"/>
          <w:szCs w:val="20"/>
          <w:lang w:val="es-MX"/>
        </w:rPr>
        <w:t xml:space="preserve"> </w:t>
      </w:r>
      <w:r w:rsidR="00517FD8" w:rsidRPr="004E3E07">
        <w:rPr>
          <w:rFonts w:ascii="Cambria" w:eastAsia="Cambria" w:hAnsi="Cambria" w:cs="Cambria"/>
          <w:sz w:val="20"/>
          <w:szCs w:val="20"/>
          <w:lang w:val="es-MX"/>
        </w:rPr>
        <w:t xml:space="preserve">una investigación por tortura cuando existan indicios o </w:t>
      </w:r>
      <w:r w:rsidR="00C87DC7" w:rsidRPr="004E3E07">
        <w:rPr>
          <w:rFonts w:ascii="Cambria" w:eastAsia="Cambria" w:hAnsi="Cambria" w:cs="Cambria"/>
          <w:sz w:val="20"/>
          <w:szCs w:val="20"/>
          <w:lang w:val="es-MX"/>
        </w:rPr>
        <w:t>denuncias al respecto. Sobre este fragmento de la recomendación, el Estado no aportó información que permita distinguir este tipo de mediciones que demuestren una tendencia a la disminución o erradicación de esta falta de diligencia</w:t>
      </w:r>
      <w:r w:rsidR="00094727" w:rsidRPr="004E3E07">
        <w:rPr>
          <w:rFonts w:ascii="Cambria" w:eastAsia="Cambria" w:hAnsi="Cambria" w:cs="Cambria"/>
          <w:sz w:val="20"/>
          <w:szCs w:val="20"/>
          <w:lang w:val="es-MX"/>
        </w:rPr>
        <w:t xml:space="preserve"> por parte de autoridades judiciales</w:t>
      </w:r>
      <w:r w:rsidR="00C87DC7" w:rsidRPr="004E3E07">
        <w:rPr>
          <w:rFonts w:ascii="Cambria" w:eastAsia="Cambria" w:hAnsi="Cambria" w:cs="Cambria"/>
          <w:sz w:val="20"/>
          <w:szCs w:val="20"/>
          <w:lang w:val="es-MX"/>
        </w:rPr>
        <w:t>. A</w:t>
      </w:r>
      <w:r w:rsidR="00094727" w:rsidRPr="004E3E07">
        <w:rPr>
          <w:rFonts w:ascii="Cambria" w:eastAsia="Cambria" w:hAnsi="Cambria" w:cs="Cambria"/>
          <w:sz w:val="20"/>
          <w:szCs w:val="20"/>
          <w:lang w:val="es-MX"/>
        </w:rPr>
        <w:t xml:space="preserve">l </w:t>
      </w:r>
      <w:r w:rsidR="00C87DC7" w:rsidRPr="004E3E07">
        <w:rPr>
          <w:rFonts w:ascii="Cambria" w:eastAsia="Cambria" w:hAnsi="Cambria" w:cs="Cambria"/>
          <w:sz w:val="20"/>
          <w:szCs w:val="20"/>
          <w:lang w:val="es-MX"/>
        </w:rPr>
        <w:t xml:space="preserve">respecto, en la ENPOL 2021, la CIDH observa que </w:t>
      </w:r>
      <w:r w:rsidR="00B4453E" w:rsidRPr="004E3E07">
        <w:rPr>
          <w:rFonts w:ascii="Cambria" w:eastAsia="Cambria" w:hAnsi="Cambria" w:cs="Cambria"/>
          <w:sz w:val="20"/>
          <w:szCs w:val="20"/>
          <w:lang w:val="es-MX"/>
        </w:rPr>
        <w:t xml:space="preserve">entre 2016 y 2021 los actos </w:t>
      </w:r>
      <w:r w:rsidR="007F4440" w:rsidRPr="004E3E07">
        <w:rPr>
          <w:rFonts w:ascii="Cambria" w:eastAsia="Cambria" w:hAnsi="Cambria" w:cs="Cambria"/>
          <w:sz w:val="20"/>
          <w:szCs w:val="20"/>
          <w:lang w:val="es-MX"/>
        </w:rPr>
        <w:t>que podrían haber desencadenado investigaciones por tortura o trat</w:t>
      </w:r>
      <w:r w:rsidR="005C31B9" w:rsidRPr="004E3E07">
        <w:rPr>
          <w:rFonts w:ascii="Cambria" w:eastAsia="Cambria" w:hAnsi="Cambria" w:cs="Cambria"/>
          <w:sz w:val="20"/>
          <w:szCs w:val="20"/>
          <w:lang w:val="es-MX"/>
        </w:rPr>
        <w:t>os y penas crueles, inhumanos o degr</w:t>
      </w:r>
      <w:r w:rsidR="00B34D34" w:rsidRPr="004E3E07">
        <w:rPr>
          <w:rFonts w:ascii="Cambria" w:eastAsia="Cambria" w:hAnsi="Cambria" w:cs="Cambria"/>
          <w:sz w:val="20"/>
          <w:szCs w:val="20"/>
          <w:lang w:val="es-MX"/>
        </w:rPr>
        <w:t>adantes disminuyeron, aunque aún persisten. Por ejemplo, en 2021 el 45.8% de las personas encuestadas indicó que fue aislada o incomunicada</w:t>
      </w:r>
      <w:r w:rsidR="008016E7" w:rsidRPr="004E3E07">
        <w:rPr>
          <w:rFonts w:ascii="Cambria" w:eastAsia="Cambria" w:hAnsi="Cambria" w:cs="Cambria"/>
          <w:sz w:val="20"/>
          <w:szCs w:val="20"/>
          <w:lang w:val="es-MX"/>
        </w:rPr>
        <w:t xml:space="preserve">, siendo que, </w:t>
      </w:r>
      <w:r w:rsidR="00EE76D2" w:rsidRPr="004E3E07">
        <w:rPr>
          <w:rFonts w:ascii="Cambria" w:eastAsia="Cambria" w:hAnsi="Cambria" w:cs="Cambria"/>
          <w:sz w:val="20"/>
          <w:szCs w:val="20"/>
          <w:lang w:val="es-MX"/>
        </w:rPr>
        <w:t xml:space="preserve">en 2016, el 58.3% de los encuestados </w:t>
      </w:r>
      <w:r w:rsidR="00AA5EB0" w:rsidRPr="004E3E07">
        <w:rPr>
          <w:rFonts w:ascii="Cambria" w:eastAsia="Cambria" w:hAnsi="Cambria" w:cs="Cambria"/>
          <w:sz w:val="20"/>
          <w:szCs w:val="20"/>
          <w:lang w:val="es-MX"/>
        </w:rPr>
        <w:t xml:space="preserve">respondió positivamente a la misma pregunta. </w:t>
      </w:r>
      <w:r w:rsidR="00BF7DC5" w:rsidRPr="004E3E07">
        <w:rPr>
          <w:rFonts w:ascii="Cambria" w:eastAsia="Cambria" w:hAnsi="Cambria" w:cs="Cambria"/>
          <w:sz w:val="20"/>
          <w:szCs w:val="20"/>
          <w:lang w:val="es-MX"/>
        </w:rPr>
        <w:t xml:space="preserve">Asimismo, el </w:t>
      </w:r>
      <w:r w:rsidR="0034748A" w:rsidRPr="004E3E07">
        <w:rPr>
          <w:rFonts w:ascii="Cambria" w:eastAsia="Cambria" w:hAnsi="Cambria" w:cs="Cambria"/>
          <w:sz w:val="20"/>
          <w:szCs w:val="20"/>
          <w:lang w:val="es-MX"/>
        </w:rPr>
        <w:t xml:space="preserve">30.7% y el 28.8% indicó que le vendaron los ojos o cubrieron la cabeza respectivamente en la ENPOL 2021, frente a un </w:t>
      </w:r>
      <w:r w:rsidR="0015073B" w:rsidRPr="004E3E07">
        <w:rPr>
          <w:rFonts w:ascii="Cambria" w:eastAsia="Cambria" w:hAnsi="Cambria" w:cs="Cambria"/>
          <w:sz w:val="20"/>
          <w:szCs w:val="20"/>
          <w:lang w:val="es-MX"/>
        </w:rPr>
        <w:t xml:space="preserve">39.2% y 46.2% respecto de las mismas preguntas en la </w:t>
      </w:r>
      <w:r w:rsidR="0005543A" w:rsidRPr="004E3E07">
        <w:rPr>
          <w:rFonts w:ascii="Cambria" w:eastAsia="Cambria" w:hAnsi="Cambria" w:cs="Cambria"/>
          <w:sz w:val="20"/>
          <w:szCs w:val="20"/>
          <w:lang w:val="es-MX"/>
        </w:rPr>
        <w:t>EN</w:t>
      </w:r>
      <w:r w:rsidR="0015073B" w:rsidRPr="004E3E07">
        <w:rPr>
          <w:rFonts w:ascii="Cambria" w:eastAsia="Cambria" w:hAnsi="Cambria" w:cs="Cambria"/>
          <w:sz w:val="20"/>
          <w:szCs w:val="20"/>
          <w:lang w:val="es-MX"/>
        </w:rPr>
        <w:t xml:space="preserve">POL de 2016. Ahora bien, esta disminución de actos </w:t>
      </w:r>
      <w:r w:rsidR="009A7544" w:rsidRPr="004E3E07">
        <w:rPr>
          <w:rFonts w:ascii="Cambria" w:eastAsia="Cambria" w:hAnsi="Cambria" w:cs="Cambria"/>
          <w:sz w:val="20"/>
          <w:szCs w:val="20"/>
          <w:lang w:val="es-MX"/>
        </w:rPr>
        <w:t>violentos</w:t>
      </w:r>
      <w:r w:rsidR="0015073B" w:rsidRPr="004E3E07">
        <w:rPr>
          <w:rFonts w:ascii="Cambria" w:eastAsia="Cambria" w:hAnsi="Cambria" w:cs="Cambria"/>
          <w:sz w:val="20"/>
          <w:szCs w:val="20"/>
          <w:lang w:val="es-MX"/>
        </w:rPr>
        <w:t xml:space="preserve"> no </w:t>
      </w:r>
      <w:r w:rsidR="006B0B30" w:rsidRPr="004E3E07">
        <w:rPr>
          <w:rFonts w:ascii="Cambria" w:eastAsia="Cambria" w:hAnsi="Cambria" w:cs="Cambria"/>
          <w:sz w:val="20"/>
          <w:szCs w:val="20"/>
          <w:lang w:val="es-MX"/>
        </w:rPr>
        <w:t>proporciona información de la activación de las obligaciones estatales para perseguir de oficio la tortura</w:t>
      </w:r>
      <w:r w:rsidR="00157F70" w:rsidRPr="004E3E07">
        <w:rPr>
          <w:rFonts w:ascii="Cambria" w:eastAsia="Cambria" w:hAnsi="Cambria" w:cs="Cambria"/>
          <w:sz w:val="20"/>
          <w:szCs w:val="20"/>
          <w:lang w:val="es-MX"/>
        </w:rPr>
        <w:t>, en función de lo requerido por la recomendación de la CIDH.</w:t>
      </w:r>
    </w:p>
    <w:p w14:paraId="15D395BC" w14:textId="64E824F8" w:rsidR="00885832" w:rsidRPr="004E3E07" w:rsidRDefault="00A92EB0" w:rsidP="5258151B">
      <w:pPr>
        <w:numPr>
          <w:ilvl w:val="0"/>
          <w:numId w:val="5"/>
        </w:numPr>
        <w:shd w:val="clear" w:color="auto" w:fill="FFFFFF"/>
        <w:spacing w:after="240" w:line="240" w:lineRule="auto"/>
        <w:ind w:left="0" w:firstLine="720"/>
        <w:jc w:val="both"/>
        <w:rPr>
          <w:rFonts w:ascii="Cambria" w:eastAsia="Cambria" w:hAnsi="Cambria" w:cs="Cambria"/>
          <w:sz w:val="20"/>
          <w:szCs w:val="20"/>
          <w:lang w:val="es-MX"/>
        </w:rPr>
      </w:pPr>
      <w:r w:rsidRPr="004E3E07">
        <w:rPr>
          <w:rFonts w:ascii="Cambria" w:eastAsia="Cambria" w:hAnsi="Cambria" w:cs="Cambria"/>
          <w:sz w:val="20"/>
          <w:szCs w:val="20"/>
          <w:lang w:val="es-MX"/>
        </w:rPr>
        <w:t xml:space="preserve"> </w:t>
      </w:r>
      <w:r w:rsidR="007908B4" w:rsidRPr="004E3E07">
        <w:rPr>
          <w:rFonts w:ascii="Cambria" w:eastAsia="Cambria" w:hAnsi="Cambria" w:cs="Cambria"/>
          <w:sz w:val="20"/>
          <w:szCs w:val="20"/>
          <w:lang w:val="es-MX"/>
        </w:rPr>
        <w:t>El segundo fragmento de la recomendación está orientado a</w:t>
      </w:r>
      <w:r w:rsidR="00096FC9" w:rsidRPr="004E3E07">
        <w:rPr>
          <w:rFonts w:ascii="Cambria" w:eastAsia="Cambria" w:hAnsi="Cambria" w:cs="Cambria"/>
          <w:sz w:val="20"/>
          <w:szCs w:val="20"/>
          <w:lang w:val="es-MX"/>
        </w:rPr>
        <w:t xml:space="preserve"> asegurar que se aplique el Protocolo de Estambul. Pese a ello, el Estado no aportó información que permita observar </w:t>
      </w:r>
      <w:r w:rsidR="00554657" w:rsidRPr="004E3E07">
        <w:rPr>
          <w:rFonts w:ascii="Cambria" w:eastAsia="Cambria" w:hAnsi="Cambria" w:cs="Cambria"/>
          <w:sz w:val="20"/>
          <w:szCs w:val="20"/>
          <w:lang w:val="es-MX"/>
        </w:rPr>
        <w:t xml:space="preserve">una evaluación cuantitativa o cualitativa, </w:t>
      </w:r>
      <w:r w:rsidR="007B1D5D" w:rsidRPr="004E3E07">
        <w:rPr>
          <w:rFonts w:ascii="Cambria" w:eastAsia="Cambria" w:hAnsi="Cambria" w:cs="Cambria"/>
          <w:sz w:val="20"/>
          <w:szCs w:val="20"/>
          <w:lang w:val="es-MX"/>
        </w:rPr>
        <w:t xml:space="preserve">que permita evaluar </w:t>
      </w:r>
      <w:r w:rsidR="00DA51BF" w:rsidRPr="004E3E07">
        <w:rPr>
          <w:rFonts w:ascii="Cambria" w:eastAsia="Cambria" w:hAnsi="Cambria" w:cs="Cambria"/>
          <w:sz w:val="20"/>
          <w:szCs w:val="20"/>
          <w:lang w:val="es-MX"/>
        </w:rPr>
        <w:t xml:space="preserve">que México está asegurándose de que el Protocolo de Estambul se están aplicando a nivel nacional </w:t>
      </w:r>
      <w:r w:rsidR="007F70A3" w:rsidRPr="004E3E07">
        <w:rPr>
          <w:rFonts w:ascii="Cambria" w:eastAsia="Cambria" w:hAnsi="Cambria" w:cs="Cambria"/>
          <w:sz w:val="20"/>
          <w:szCs w:val="20"/>
          <w:lang w:val="es-MX"/>
        </w:rPr>
        <w:t>por autoridades competentes e independientes, sin riesgo a represalias, tal como lo dispone la recomendación de la Comisión</w:t>
      </w:r>
      <w:r w:rsidR="00C73256" w:rsidRPr="004E3E07">
        <w:rPr>
          <w:rFonts w:ascii="Cambria" w:eastAsia="Cambria" w:hAnsi="Cambria" w:cs="Cambria"/>
          <w:sz w:val="20"/>
          <w:szCs w:val="20"/>
          <w:lang w:val="es-MX"/>
        </w:rPr>
        <w:t xml:space="preserve">, más allá de reiterar lo que está dispuesto en la Ley sobre la materia. Al respecto, la CIDH </w:t>
      </w:r>
      <w:r w:rsidR="005020FF" w:rsidRPr="004E3E07">
        <w:rPr>
          <w:rFonts w:ascii="Cambria" w:eastAsia="Cambria" w:hAnsi="Cambria" w:cs="Cambria"/>
          <w:sz w:val="20"/>
          <w:szCs w:val="20"/>
          <w:lang w:val="es-MX"/>
        </w:rPr>
        <w:t xml:space="preserve">retoma la información aportada en su última audiencia pública sobre tortura en México, </w:t>
      </w:r>
      <w:r w:rsidR="00DB0FA8" w:rsidRPr="004E3E07">
        <w:rPr>
          <w:rFonts w:ascii="Cambria" w:eastAsia="Cambria" w:hAnsi="Cambria" w:cs="Cambria"/>
          <w:sz w:val="20"/>
          <w:szCs w:val="20"/>
          <w:lang w:val="es-MX"/>
        </w:rPr>
        <w:t xml:space="preserve">según la cual </w:t>
      </w:r>
      <w:r w:rsidR="007640E3" w:rsidRPr="004E3E07">
        <w:rPr>
          <w:rFonts w:ascii="Cambria" w:eastAsia="Cambria" w:hAnsi="Cambria" w:cs="Cambria"/>
          <w:sz w:val="20"/>
          <w:szCs w:val="20"/>
          <w:lang w:val="es-MX"/>
        </w:rPr>
        <w:t>la FGR</w:t>
      </w:r>
      <w:r w:rsidR="00AE5920" w:rsidRPr="004E3E07">
        <w:rPr>
          <w:rFonts w:ascii="Cambria" w:eastAsia="Cambria" w:hAnsi="Cambria" w:cs="Cambria"/>
          <w:sz w:val="20"/>
          <w:szCs w:val="20"/>
          <w:lang w:val="es-MX"/>
        </w:rPr>
        <w:t xml:space="preserve"> conducía más de 5.000 investigaciones iniciadas por tortura</w:t>
      </w:r>
      <w:r w:rsidR="00325B37" w:rsidRPr="004E3E07">
        <w:rPr>
          <w:rFonts w:ascii="Cambria" w:eastAsia="Cambria" w:hAnsi="Cambria" w:cs="Cambria"/>
          <w:sz w:val="20"/>
          <w:szCs w:val="20"/>
          <w:lang w:val="es-MX"/>
        </w:rPr>
        <w:t xml:space="preserve">, sin embargo, el Estado no ha indicado </w:t>
      </w:r>
      <w:r w:rsidR="0015149A" w:rsidRPr="004E3E07">
        <w:rPr>
          <w:rFonts w:ascii="Cambria" w:eastAsia="Cambria" w:hAnsi="Cambria" w:cs="Cambria"/>
          <w:sz w:val="20"/>
          <w:szCs w:val="20"/>
          <w:lang w:val="es-MX"/>
        </w:rPr>
        <w:t>en cuántas de ellas se habría practicado el Protocolo de Estambul correspondiente</w:t>
      </w:r>
      <w:r w:rsidR="007675ED" w:rsidRPr="004E3E07">
        <w:rPr>
          <w:rStyle w:val="FootnoteReference"/>
          <w:rFonts w:ascii="Cambria" w:eastAsia="Cambria" w:hAnsi="Cambria" w:cs="Cambria"/>
          <w:sz w:val="20"/>
          <w:szCs w:val="20"/>
          <w:lang w:val="es-MX"/>
        </w:rPr>
        <w:footnoteReference w:id="155"/>
      </w:r>
      <w:r w:rsidR="0015149A" w:rsidRPr="004E3E07">
        <w:rPr>
          <w:rFonts w:ascii="Cambria" w:eastAsia="Cambria" w:hAnsi="Cambria" w:cs="Cambria"/>
          <w:sz w:val="20"/>
          <w:szCs w:val="20"/>
          <w:lang w:val="es-MX"/>
        </w:rPr>
        <w:t>.</w:t>
      </w:r>
    </w:p>
    <w:p w14:paraId="146069C5" w14:textId="7427CAA2" w:rsidR="002277F5" w:rsidRPr="004E3E07" w:rsidRDefault="00A500DF" w:rsidP="5258151B">
      <w:pPr>
        <w:numPr>
          <w:ilvl w:val="0"/>
          <w:numId w:val="5"/>
        </w:numPr>
        <w:shd w:val="clear" w:color="auto" w:fill="FFFFFF"/>
        <w:spacing w:after="240" w:line="240" w:lineRule="auto"/>
        <w:ind w:left="0" w:firstLine="720"/>
        <w:jc w:val="both"/>
        <w:rPr>
          <w:rFonts w:ascii="Cambria" w:eastAsia="Cambria" w:hAnsi="Cambria" w:cs="Cambria"/>
          <w:sz w:val="20"/>
          <w:szCs w:val="20"/>
          <w:lang w:val="es-MX"/>
        </w:rPr>
      </w:pPr>
      <w:r w:rsidRPr="004E3E07">
        <w:rPr>
          <w:rFonts w:ascii="Cambria" w:eastAsia="Cambria" w:hAnsi="Cambria" w:cs="Cambria"/>
          <w:sz w:val="20"/>
          <w:szCs w:val="20"/>
          <w:lang w:val="es-MX"/>
        </w:rPr>
        <w:t xml:space="preserve">En su última entrega, el Estado cometió las mismas omisiones informativas, </w:t>
      </w:r>
      <w:r w:rsidR="00704A8D" w:rsidRPr="004E3E07">
        <w:rPr>
          <w:rFonts w:ascii="Cambria" w:eastAsia="Cambria" w:hAnsi="Cambria" w:cs="Cambria"/>
          <w:sz w:val="20"/>
          <w:szCs w:val="20"/>
          <w:lang w:val="es-MX"/>
        </w:rPr>
        <w:t>pese a ello</w:t>
      </w:r>
      <w:r w:rsidRPr="004E3E07">
        <w:rPr>
          <w:rFonts w:ascii="Cambria" w:eastAsia="Cambria" w:hAnsi="Cambria" w:cs="Cambria"/>
          <w:sz w:val="20"/>
          <w:szCs w:val="20"/>
          <w:lang w:val="es-MX"/>
        </w:rPr>
        <w:t xml:space="preserve"> la CIDH </w:t>
      </w:r>
      <w:r w:rsidR="00704A8D" w:rsidRPr="004E3E07">
        <w:rPr>
          <w:rFonts w:ascii="Cambria" w:eastAsia="Cambria" w:hAnsi="Cambria" w:cs="Cambria"/>
          <w:sz w:val="20"/>
          <w:szCs w:val="20"/>
          <w:lang w:val="es-MX"/>
        </w:rPr>
        <w:t>mantuvo la calificación</w:t>
      </w:r>
      <w:r w:rsidRPr="004E3E07">
        <w:rPr>
          <w:rFonts w:ascii="Cambria" w:eastAsia="Cambria" w:hAnsi="Cambria" w:cs="Cambria"/>
          <w:sz w:val="20"/>
          <w:szCs w:val="20"/>
          <w:lang w:val="es-MX"/>
        </w:rPr>
        <w:t xml:space="preserve"> </w:t>
      </w:r>
      <w:r w:rsidR="00704A8D" w:rsidRPr="004E3E07">
        <w:rPr>
          <w:rFonts w:ascii="Cambria" w:eastAsia="Cambria" w:hAnsi="Cambria" w:cs="Cambria"/>
          <w:sz w:val="20"/>
          <w:szCs w:val="20"/>
          <w:lang w:val="es-MX"/>
        </w:rPr>
        <w:t>de</w:t>
      </w:r>
      <w:r w:rsidR="00E45373" w:rsidRPr="004E3E07">
        <w:rPr>
          <w:rFonts w:ascii="Cambria" w:eastAsia="Cambria" w:hAnsi="Cambria" w:cs="Cambria"/>
          <w:sz w:val="20"/>
          <w:szCs w:val="20"/>
          <w:lang w:val="es-MX"/>
        </w:rPr>
        <w:t>l cumplimiento de</w:t>
      </w:r>
      <w:r w:rsidRPr="004E3E07">
        <w:rPr>
          <w:rFonts w:ascii="Cambria" w:eastAsia="Cambria" w:hAnsi="Cambria" w:cs="Cambria"/>
          <w:sz w:val="20"/>
          <w:szCs w:val="20"/>
          <w:lang w:val="es-MX"/>
        </w:rPr>
        <w:t xml:space="preserve"> </w:t>
      </w:r>
      <w:r w:rsidR="00852BD6" w:rsidRPr="004E3E07">
        <w:rPr>
          <w:rFonts w:ascii="Cambria" w:eastAsia="Cambria" w:hAnsi="Cambria" w:cs="Cambria"/>
          <w:sz w:val="20"/>
          <w:szCs w:val="20"/>
          <w:lang w:val="es-MX"/>
        </w:rPr>
        <w:t>la recomendación</w:t>
      </w:r>
      <w:r w:rsidR="00704A8D" w:rsidRPr="004E3E07">
        <w:rPr>
          <w:rFonts w:ascii="Cambria" w:eastAsia="Cambria" w:hAnsi="Cambria" w:cs="Cambria"/>
          <w:sz w:val="20"/>
          <w:szCs w:val="20"/>
          <w:lang w:val="es-MX"/>
        </w:rPr>
        <w:t xml:space="preserve"> </w:t>
      </w:r>
      <w:r w:rsidR="00852BD6" w:rsidRPr="004E3E07">
        <w:rPr>
          <w:rFonts w:ascii="Cambria" w:eastAsia="Cambria" w:hAnsi="Cambria" w:cs="Cambria"/>
          <w:sz w:val="20"/>
          <w:szCs w:val="20"/>
          <w:lang w:val="es-MX"/>
        </w:rPr>
        <w:t>en cumplimiento parcial. Sin embargo, considerando la información presentada y la celebración de una audiencia temática al respecto</w:t>
      </w:r>
      <w:r w:rsidR="00C165D1" w:rsidRPr="004E3E07">
        <w:rPr>
          <w:rFonts w:ascii="Cambria" w:eastAsia="Cambria" w:hAnsi="Cambria" w:cs="Cambria"/>
          <w:sz w:val="20"/>
          <w:szCs w:val="20"/>
          <w:lang w:val="es-MX"/>
        </w:rPr>
        <w:t xml:space="preserve"> en diciembre de 2020</w:t>
      </w:r>
      <w:r w:rsidR="00852BD6" w:rsidRPr="004E3E07">
        <w:rPr>
          <w:rFonts w:ascii="Cambria" w:eastAsia="Cambria" w:hAnsi="Cambria" w:cs="Cambria"/>
          <w:sz w:val="20"/>
          <w:szCs w:val="20"/>
          <w:lang w:val="es-MX"/>
        </w:rPr>
        <w:t xml:space="preserve">, </w:t>
      </w:r>
      <w:r w:rsidR="00C165D1" w:rsidRPr="004E3E07">
        <w:rPr>
          <w:rFonts w:ascii="Cambria" w:eastAsia="Cambria" w:hAnsi="Cambria" w:cs="Cambria"/>
          <w:sz w:val="20"/>
          <w:szCs w:val="20"/>
          <w:lang w:val="es-MX"/>
        </w:rPr>
        <w:t xml:space="preserve">así como por tratarse de una </w:t>
      </w:r>
      <w:r w:rsidR="00852BD6" w:rsidRPr="004E3E07">
        <w:rPr>
          <w:rFonts w:ascii="Cambria" w:eastAsia="Cambria" w:hAnsi="Cambria" w:cs="Cambria"/>
          <w:sz w:val="20"/>
          <w:szCs w:val="20"/>
          <w:lang w:val="es-MX"/>
        </w:rPr>
        <w:t xml:space="preserve">recomendación </w:t>
      </w:r>
      <w:r w:rsidR="00C165D1" w:rsidRPr="004E3E07">
        <w:rPr>
          <w:rFonts w:ascii="Cambria" w:eastAsia="Cambria" w:hAnsi="Cambria" w:cs="Cambria"/>
          <w:sz w:val="20"/>
          <w:szCs w:val="20"/>
          <w:lang w:val="es-MX"/>
        </w:rPr>
        <w:t>sobre</w:t>
      </w:r>
      <w:r w:rsidR="00852BD6" w:rsidRPr="004E3E07">
        <w:rPr>
          <w:rFonts w:ascii="Cambria" w:eastAsia="Cambria" w:hAnsi="Cambria" w:cs="Cambria"/>
          <w:sz w:val="20"/>
          <w:szCs w:val="20"/>
          <w:lang w:val="es-MX"/>
        </w:rPr>
        <w:t xml:space="preserve"> una grave violación de derechos humanos, </w:t>
      </w:r>
      <w:r w:rsidR="00C165D1" w:rsidRPr="004E3E07">
        <w:rPr>
          <w:rFonts w:ascii="Cambria" w:eastAsia="Cambria" w:hAnsi="Cambria" w:cs="Cambria"/>
          <w:sz w:val="20"/>
          <w:szCs w:val="20"/>
          <w:lang w:val="es-MX"/>
        </w:rPr>
        <w:t>la Comisión considera que la recomendación se encuentra pendiente de cumplimiento.</w:t>
      </w:r>
    </w:p>
    <w:p w14:paraId="1AA100AB" w14:textId="14EFE83E" w:rsidR="00C2291A" w:rsidRDefault="007E25FF" w:rsidP="00C2291A">
      <w:pPr>
        <w:numPr>
          <w:ilvl w:val="0"/>
          <w:numId w:val="5"/>
        </w:numPr>
        <w:shd w:val="clear" w:color="auto" w:fill="FFFFFF"/>
        <w:spacing w:after="240" w:line="240" w:lineRule="auto"/>
        <w:ind w:left="0" w:firstLine="720"/>
        <w:jc w:val="both"/>
        <w:rPr>
          <w:rFonts w:ascii="Cambria" w:eastAsia="Cambria" w:hAnsi="Cambria" w:cs="Cambria"/>
          <w:sz w:val="20"/>
          <w:szCs w:val="20"/>
          <w:lang w:val="es-MX"/>
        </w:rPr>
      </w:pPr>
      <w:r w:rsidRPr="004E3E07">
        <w:rPr>
          <w:rFonts w:ascii="Cambria" w:eastAsia="Cambria" w:hAnsi="Cambria" w:cs="Cambria"/>
          <w:sz w:val="20"/>
          <w:szCs w:val="20"/>
          <w:lang w:val="es-MX"/>
        </w:rPr>
        <w:t xml:space="preserve">Sobre la recomendación de establecer el </w:t>
      </w:r>
      <w:r w:rsidRPr="004E3E07">
        <w:rPr>
          <w:rFonts w:ascii="Cambria" w:eastAsia="Cambria" w:hAnsi="Cambria" w:cs="Cambria"/>
          <w:b/>
          <w:bCs/>
          <w:sz w:val="20"/>
          <w:szCs w:val="20"/>
          <w:lang w:val="es-MX"/>
        </w:rPr>
        <w:t>uso obligatorio de cámaras durante interrogatorios y patrullas</w:t>
      </w:r>
      <w:r w:rsidRPr="004E3E07">
        <w:rPr>
          <w:rFonts w:ascii="Cambria" w:eastAsia="Cambria" w:hAnsi="Cambria" w:cs="Cambria"/>
          <w:sz w:val="20"/>
          <w:szCs w:val="20"/>
          <w:lang w:val="es-MX"/>
        </w:rPr>
        <w:t xml:space="preserve">, el Estado </w:t>
      </w:r>
      <w:r w:rsidR="005C21C3" w:rsidRPr="004E3E07">
        <w:rPr>
          <w:rFonts w:ascii="Cambria" w:eastAsia="Cambria" w:hAnsi="Cambria" w:cs="Cambria"/>
          <w:sz w:val="20"/>
          <w:szCs w:val="20"/>
          <w:lang w:val="es-MX"/>
        </w:rPr>
        <w:t>señaló que el artículo 37 de la Ley Nacional sobre el Uso de la Fuerza establece que los vehículos que se utilicen en el ejercicio del uso de la fuerza contarán con mecanismos tecnológicos para vigilar la seguridad de los agentes y de las personas alrededor. Asimismo, indicó que el artículo 38 de la misma norma señala que el material audiovisual será accesible para investigaciones y procedimientos judiciales</w:t>
      </w:r>
      <w:r w:rsidRPr="004E3E07">
        <w:rPr>
          <w:rFonts w:ascii="Cambria" w:eastAsia="Cambria" w:hAnsi="Cambria" w:cs="Cambria"/>
          <w:sz w:val="20"/>
          <w:szCs w:val="20"/>
          <w:vertAlign w:val="superscript"/>
          <w:lang w:val="es-MX"/>
        </w:rPr>
        <w:footnoteReference w:id="156"/>
      </w:r>
      <w:r w:rsidRPr="004E3E07">
        <w:rPr>
          <w:rFonts w:ascii="Cambria" w:eastAsia="Cambria" w:hAnsi="Cambria" w:cs="Cambria"/>
          <w:sz w:val="20"/>
          <w:szCs w:val="20"/>
          <w:lang w:val="es-MX"/>
        </w:rPr>
        <w:t xml:space="preserve">. </w:t>
      </w:r>
      <w:r w:rsidR="00C2291A">
        <w:rPr>
          <w:rFonts w:ascii="Cambria" w:eastAsia="Cambria" w:hAnsi="Cambria" w:cs="Cambria"/>
          <w:sz w:val="20"/>
          <w:szCs w:val="20"/>
          <w:lang w:val="es-MX"/>
        </w:rPr>
        <w:t>Por su parte, la CNDH informó a la CIDH que</w:t>
      </w:r>
      <w:r w:rsidR="004C7992">
        <w:rPr>
          <w:rFonts w:ascii="Cambria" w:eastAsia="Cambria" w:hAnsi="Cambria" w:cs="Cambria"/>
          <w:sz w:val="20"/>
          <w:szCs w:val="20"/>
          <w:lang w:val="es-MX"/>
        </w:rPr>
        <w:t xml:space="preserve">, a partir de la firma de un convenio de cooperación, el </w:t>
      </w:r>
      <w:r w:rsidR="004C7992" w:rsidRPr="004C7992">
        <w:rPr>
          <w:rFonts w:ascii="Cambria" w:eastAsia="Cambria" w:hAnsi="Cambria" w:cs="Cambria"/>
          <w:sz w:val="20"/>
          <w:szCs w:val="20"/>
          <w:lang w:val="es-MX"/>
        </w:rPr>
        <w:t xml:space="preserve">Comité Nacional para la Prevención de la Tortura de Argentina </w:t>
      </w:r>
      <w:r w:rsidR="004C7992">
        <w:rPr>
          <w:rFonts w:ascii="Cambria" w:eastAsia="Cambria" w:hAnsi="Cambria" w:cs="Cambria"/>
          <w:sz w:val="20"/>
          <w:szCs w:val="20"/>
          <w:lang w:val="es-MX"/>
        </w:rPr>
        <w:t xml:space="preserve">remitió </w:t>
      </w:r>
      <w:r w:rsidR="004C7992" w:rsidRPr="004C7992">
        <w:rPr>
          <w:rFonts w:ascii="Cambria" w:eastAsia="Cambria" w:hAnsi="Cambria" w:cs="Cambria"/>
          <w:sz w:val="20"/>
          <w:szCs w:val="20"/>
          <w:lang w:val="es-MX"/>
        </w:rPr>
        <w:t>a la Dirección Ejecutiva del Mecanismo Nacional de Prevención de la Tortura el documento “Uso de videocámaras, sistemas de videovigilancia y grabación en los lugares de detención”, el que establece el uso de cámaras, de manera obligatoria y protocolizada en interrogatorios, patrullas y otros lugares de privación de la libertad, a efecto de salvaguardar los derechos humanos y como manera preventiva de la tortura y otros tratos crueles inhumanos y degradante</w:t>
      </w:r>
      <w:r w:rsidR="004C7992">
        <w:rPr>
          <w:rStyle w:val="FootnoteReference"/>
          <w:rFonts w:ascii="Cambria" w:eastAsia="Cambria" w:hAnsi="Cambria" w:cs="Cambria"/>
          <w:sz w:val="20"/>
          <w:szCs w:val="20"/>
          <w:lang w:val="es-MX"/>
        </w:rPr>
        <w:footnoteReference w:id="157"/>
      </w:r>
      <w:r w:rsidR="004C7992">
        <w:rPr>
          <w:rFonts w:ascii="Cambria" w:eastAsia="Cambria" w:hAnsi="Cambria" w:cs="Cambria"/>
          <w:sz w:val="20"/>
          <w:szCs w:val="20"/>
          <w:lang w:val="es-MX"/>
        </w:rPr>
        <w:t>.</w:t>
      </w:r>
    </w:p>
    <w:p w14:paraId="069BC3D4" w14:textId="37783BF5" w:rsidR="00C2291A" w:rsidRPr="00C2291A" w:rsidRDefault="007E25FF" w:rsidP="00C2291A">
      <w:pPr>
        <w:numPr>
          <w:ilvl w:val="0"/>
          <w:numId w:val="5"/>
        </w:numPr>
        <w:shd w:val="clear" w:color="auto" w:fill="FFFFFF"/>
        <w:spacing w:after="240" w:line="240" w:lineRule="auto"/>
        <w:ind w:left="0" w:firstLine="720"/>
        <w:jc w:val="both"/>
        <w:rPr>
          <w:rFonts w:ascii="Cambria" w:eastAsia="Cambria" w:hAnsi="Cambria" w:cs="Cambria"/>
          <w:sz w:val="20"/>
          <w:szCs w:val="20"/>
          <w:lang w:val="es-MX"/>
        </w:rPr>
      </w:pPr>
      <w:r w:rsidRPr="004E3E07">
        <w:rPr>
          <w:rFonts w:ascii="Cambria" w:eastAsia="Cambria" w:hAnsi="Cambria" w:cs="Cambria"/>
          <w:sz w:val="20"/>
          <w:szCs w:val="20"/>
          <w:lang w:val="es-MX"/>
        </w:rPr>
        <w:t>La CIDH encuentra que esta información no permite analizar el nivel de avance en el cumplimiento de la recomendación, con lo cual concluye que la recomendación se encuentra incumplida.</w:t>
      </w:r>
    </w:p>
    <w:p w14:paraId="60806BCC" w14:textId="5D859D7F" w:rsidR="007C74D7" w:rsidRPr="004E3E07" w:rsidRDefault="007E25FF" w:rsidP="5258151B">
      <w:pPr>
        <w:numPr>
          <w:ilvl w:val="0"/>
          <w:numId w:val="5"/>
        </w:numPr>
        <w:shd w:val="clear" w:color="auto" w:fill="FFFFFF"/>
        <w:spacing w:after="240" w:line="240" w:lineRule="auto"/>
        <w:ind w:left="0" w:firstLine="720"/>
        <w:jc w:val="both"/>
        <w:rPr>
          <w:rFonts w:ascii="Cambria" w:eastAsia="Cambria" w:hAnsi="Cambria" w:cs="Cambria"/>
          <w:sz w:val="20"/>
          <w:szCs w:val="20"/>
          <w:lang w:val="es-MX"/>
        </w:rPr>
      </w:pPr>
      <w:r w:rsidRPr="004E3E07">
        <w:rPr>
          <w:rFonts w:ascii="Cambria" w:eastAsia="Cambria" w:hAnsi="Cambria" w:cs="Cambria"/>
          <w:sz w:val="20"/>
          <w:szCs w:val="20"/>
          <w:lang w:val="es-MX"/>
        </w:rPr>
        <w:t xml:space="preserve">Acerca de la recomendación de </w:t>
      </w:r>
      <w:r w:rsidRPr="004E3E07">
        <w:rPr>
          <w:rFonts w:ascii="Cambria" w:eastAsia="Cambria" w:hAnsi="Cambria" w:cs="Cambria"/>
          <w:b/>
          <w:bCs/>
          <w:sz w:val="20"/>
          <w:szCs w:val="20"/>
          <w:lang w:val="es-MX"/>
        </w:rPr>
        <w:t>asegurar estadísticas uniformes y mejorar el sistema de recopilación de información</w:t>
      </w:r>
      <w:r w:rsidRPr="004E3E07">
        <w:rPr>
          <w:rFonts w:ascii="Cambria" w:eastAsia="Cambria" w:hAnsi="Cambria" w:cs="Cambria"/>
          <w:sz w:val="20"/>
          <w:szCs w:val="20"/>
          <w:lang w:val="es-MX"/>
        </w:rPr>
        <w:t>, el Estado informó que</w:t>
      </w:r>
      <w:r w:rsidR="001A0FCE" w:rsidRPr="004E3E07">
        <w:rPr>
          <w:rFonts w:ascii="Cambria" w:eastAsia="Cambria" w:hAnsi="Cambria" w:cs="Cambria"/>
          <w:sz w:val="20"/>
          <w:szCs w:val="20"/>
          <w:lang w:val="es-MX"/>
        </w:rPr>
        <w:t xml:space="preserve"> la Ley Nacional sobre el Uso de la Fuerza </w:t>
      </w:r>
      <w:r w:rsidR="007C74D7" w:rsidRPr="004E3E07">
        <w:rPr>
          <w:rFonts w:ascii="Cambria" w:eastAsia="Cambria" w:hAnsi="Cambria" w:cs="Cambria"/>
          <w:sz w:val="20"/>
          <w:szCs w:val="20"/>
          <w:lang w:val="es-MX"/>
        </w:rPr>
        <w:t>dispone que siempre que los miembros de las instituciones de seguridad utilicen la fuerza en cumplimiento de sus funciones deberán realizar un reporte pormenorizado a su superior jerárquico inmediato, una copia de este se integrará al expediente del agente al mando del operativo y en lo conducente de cada uno de los participantes. Los superiores jerárquicos serán responsables cuando deban tener o tengan conocimiento de que los agentes bajo su mando hayan empleado ilícitamente la fuerza, los instrumentos o armas de fuego a su cargo y no lo impidan o no lo denuncien ante las autoridades correspondientes</w:t>
      </w:r>
      <w:r w:rsidR="006E6105" w:rsidRPr="004E3E07">
        <w:rPr>
          <w:rFonts w:ascii="Cambria" w:eastAsia="Cambria" w:hAnsi="Cambria" w:cs="Cambria"/>
          <w:sz w:val="20"/>
          <w:szCs w:val="20"/>
          <w:vertAlign w:val="superscript"/>
          <w:lang w:val="es-MX"/>
        </w:rPr>
        <w:footnoteReference w:id="158"/>
      </w:r>
      <w:r w:rsidR="007C74D7" w:rsidRPr="004E3E07">
        <w:rPr>
          <w:rFonts w:ascii="Cambria" w:eastAsia="Cambria" w:hAnsi="Cambria" w:cs="Cambria"/>
          <w:sz w:val="20"/>
          <w:szCs w:val="20"/>
          <w:lang w:val="es-MX"/>
        </w:rPr>
        <w:t>.</w:t>
      </w:r>
    </w:p>
    <w:p w14:paraId="08912C5A" w14:textId="04CB6560" w:rsidR="0071414D" w:rsidRPr="004E3E07" w:rsidRDefault="0071414D" w:rsidP="5258151B">
      <w:pPr>
        <w:numPr>
          <w:ilvl w:val="0"/>
          <w:numId w:val="5"/>
        </w:numPr>
        <w:shd w:val="clear" w:color="auto" w:fill="FFFFFF"/>
        <w:spacing w:after="240" w:line="240" w:lineRule="auto"/>
        <w:ind w:left="0" w:firstLine="720"/>
        <w:jc w:val="both"/>
        <w:rPr>
          <w:rFonts w:ascii="Cambria" w:eastAsia="Cambria" w:hAnsi="Cambria" w:cs="Cambria"/>
          <w:sz w:val="20"/>
          <w:szCs w:val="20"/>
          <w:lang w:val="es-MX"/>
        </w:rPr>
      </w:pPr>
      <w:r w:rsidRPr="004E3E07">
        <w:rPr>
          <w:rFonts w:ascii="Cambria" w:eastAsia="Cambria" w:hAnsi="Cambria" w:cs="Cambria"/>
          <w:sz w:val="20"/>
          <w:szCs w:val="20"/>
          <w:lang w:val="es-MX"/>
        </w:rPr>
        <w:t xml:space="preserve">Asimismo, tal como ya se ha señalado en este informe, la CIDH observa positivamente que este año se aplicó nuevamente la ENPOL 2021. Dicho instrumento resulta fundamental para observar </w:t>
      </w:r>
      <w:r w:rsidR="00A57096" w:rsidRPr="004E3E07">
        <w:rPr>
          <w:rFonts w:ascii="Cambria" w:eastAsia="Cambria" w:hAnsi="Cambria" w:cs="Cambria"/>
          <w:sz w:val="20"/>
          <w:szCs w:val="20"/>
          <w:lang w:val="es-MX"/>
        </w:rPr>
        <w:t>los avances del Estado en la erradicación de</w:t>
      </w:r>
      <w:r w:rsidR="006C59CD" w:rsidRPr="004E3E07">
        <w:rPr>
          <w:rFonts w:ascii="Cambria" w:eastAsia="Cambria" w:hAnsi="Cambria" w:cs="Cambria"/>
          <w:sz w:val="20"/>
          <w:szCs w:val="20"/>
          <w:lang w:val="es-MX"/>
        </w:rPr>
        <w:t xml:space="preserve"> la</w:t>
      </w:r>
      <w:r w:rsidR="00A57096" w:rsidRPr="004E3E07">
        <w:rPr>
          <w:rFonts w:ascii="Cambria" w:eastAsia="Cambria" w:hAnsi="Cambria" w:cs="Cambria"/>
          <w:sz w:val="20"/>
          <w:szCs w:val="20"/>
          <w:lang w:val="es-MX"/>
        </w:rPr>
        <w:t xml:space="preserve"> tortura</w:t>
      </w:r>
      <w:r w:rsidR="00156E3F" w:rsidRPr="004E3E07">
        <w:rPr>
          <w:rFonts w:ascii="Cambria" w:eastAsia="Cambria" w:hAnsi="Cambria" w:cs="Cambria"/>
          <w:sz w:val="20"/>
          <w:szCs w:val="20"/>
          <w:lang w:val="es-MX"/>
        </w:rPr>
        <w:t xml:space="preserve">, trato </w:t>
      </w:r>
      <w:r w:rsidR="006C59CD" w:rsidRPr="004E3E07">
        <w:rPr>
          <w:rFonts w:ascii="Cambria" w:eastAsia="Cambria" w:hAnsi="Cambria" w:cs="Cambria"/>
          <w:sz w:val="20"/>
          <w:szCs w:val="20"/>
          <w:lang w:val="es-MX"/>
        </w:rPr>
        <w:t xml:space="preserve">o penas crueles, inhumanas o degradantes, </w:t>
      </w:r>
      <w:r w:rsidR="00A57096" w:rsidRPr="004E3E07">
        <w:rPr>
          <w:rFonts w:ascii="Cambria" w:eastAsia="Cambria" w:hAnsi="Cambria" w:cs="Cambria"/>
          <w:sz w:val="20"/>
          <w:szCs w:val="20"/>
          <w:lang w:val="es-MX"/>
        </w:rPr>
        <w:t xml:space="preserve">de las personas que son detenidas, procesadas y privadas </w:t>
      </w:r>
      <w:r w:rsidR="006C59CD" w:rsidRPr="004E3E07">
        <w:rPr>
          <w:rFonts w:ascii="Cambria" w:eastAsia="Cambria" w:hAnsi="Cambria" w:cs="Cambria"/>
          <w:sz w:val="20"/>
          <w:szCs w:val="20"/>
          <w:lang w:val="es-MX"/>
        </w:rPr>
        <w:t>de la libertad</w:t>
      </w:r>
      <w:r w:rsidR="009F5F08" w:rsidRPr="004E3E07">
        <w:rPr>
          <w:rStyle w:val="FootnoteReference"/>
          <w:rFonts w:ascii="Cambria" w:eastAsia="Cambria" w:hAnsi="Cambria" w:cs="Cambria"/>
          <w:sz w:val="20"/>
          <w:szCs w:val="20"/>
          <w:lang w:val="es-MX"/>
        </w:rPr>
        <w:footnoteReference w:id="159"/>
      </w:r>
      <w:r w:rsidR="006C59CD" w:rsidRPr="004E3E07">
        <w:rPr>
          <w:rFonts w:ascii="Cambria" w:eastAsia="Cambria" w:hAnsi="Cambria" w:cs="Cambria"/>
          <w:sz w:val="20"/>
          <w:szCs w:val="20"/>
          <w:lang w:val="es-MX"/>
        </w:rPr>
        <w:t>.</w:t>
      </w:r>
    </w:p>
    <w:p w14:paraId="5F183690" w14:textId="563D9460" w:rsidR="00501264" w:rsidRPr="004E3E07" w:rsidRDefault="00501264" w:rsidP="00304C5E">
      <w:pPr>
        <w:numPr>
          <w:ilvl w:val="0"/>
          <w:numId w:val="5"/>
        </w:numPr>
        <w:shd w:val="clear" w:color="auto" w:fill="FFFFFF"/>
        <w:spacing w:after="240" w:line="240" w:lineRule="auto"/>
        <w:ind w:left="0" w:firstLine="720"/>
        <w:jc w:val="both"/>
        <w:rPr>
          <w:rFonts w:ascii="Cambria" w:eastAsia="Cambria" w:hAnsi="Cambria" w:cs="Cambria"/>
          <w:sz w:val="20"/>
          <w:szCs w:val="20"/>
          <w:lang w:val="es-MX"/>
        </w:rPr>
      </w:pPr>
      <w:r w:rsidRPr="004E3E07">
        <w:rPr>
          <w:rFonts w:ascii="Cambria" w:eastAsia="Cambria" w:hAnsi="Cambria" w:cs="Cambria"/>
          <w:sz w:val="20"/>
          <w:szCs w:val="20"/>
          <w:lang w:val="es-MX"/>
        </w:rPr>
        <w:t>De otro lado</w:t>
      </w:r>
      <w:r w:rsidR="004B44C0" w:rsidRPr="004E3E07">
        <w:rPr>
          <w:rFonts w:ascii="Cambria" w:eastAsia="Cambria" w:hAnsi="Cambria" w:cs="Cambria"/>
          <w:sz w:val="20"/>
          <w:szCs w:val="20"/>
          <w:lang w:val="es-MX"/>
        </w:rPr>
        <w:t xml:space="preserve">, la CIDH reitera lo ya indicado en este informe, en relación con el Renadet </w:t>
      </w:r>
      <w:r w:rsidR="00304C5E" w:rsidRPr="004E3E07">
        <w:rPr>
          <w:rFonts w:ascii="Cambria" w:eastAsia="Cambria" w:hAnsi="Cambria" w:cs="Cambria"/>
          <w:sz w:val="20"/>
          <w:szCs w:val="20"/>
          <w:lang w:val="es-MX"/>
        </w:rPr>
        <w:t xml:space="preserve">y el </w:t>
      </w:r>
      <w:r w:rsidR="00304C5E" w:rsidRPr="004E3E07">
        <w:rPr>
          <w:rFonts w:ascii="Cambria" w:eastAsia="Times New Roman" w:hAnsi="Cambria" w:cs="Arial"/>
          <w:sz w:val="20"/>
          <w:szCs w:val="20"/>
          <w:lang w:val="es-MX"/>
        </w:rPr>
        <w:t>incumplimiento de la obligación del Estado de crear y operar el registro del delito de tortura</w:t>
      </w:r>
      <w:r w:rsidR="00304C5E" w:rsidRPr="004E3E07">
        <w:rPr>
          <w:rStyle w:val="FootnoteReference"/>
          <w:rFonts w:ascii="Cambria" w:eastAsia="Times New Roman" w:hAnsi="Cambria" w:cs="Arial"/>
          <w:sz w:val="20"/>
          <w:szCs w:val="20"/>
          <w:lang w:val="es-MX"/>
        </w:rPr>
        <w:footnoteReference w:id="160"/>
      </w:r>
      <w:r w:rsidR="00304C5E" w:rsidRPr="004E3E07">
        <w:rPr>
          <w:rFonts w:ascii="Cambria" w:eastAsia="Times New Roman" w:hAnsi="Cambria" w:cs="Arial"/>
          <w:sz w:val="20"/>
          <w:szCs w:val="20"/>
          <w:lang w:val="es-MX"/>
        </w:rPr>
        <w:t>.</w:t>
      </w:r>
    </w:p>
    <w:p w14:paraId="146069C8" w14:textId="0D618EE7" w:rsidR="002277F5" w:rsidRPr="004E3E07" w:rsidRDefault="00AB585E" w:rsidP="5258151B">
      <w:pPr>
        <w:numPr>
          <w:ilvl w:val="0"/>
          <w:numId w:val="5"/>
        </w:numPr>
        <w:shd w:val="clear" w:color="auto" w:fill="FFFFFF"/>
        <w:spacing w:after="240" w:line="240" w:lineRule="auto"/>
        <w:ind w:left="0" w:firstLine="720"/>
        <w:jc w:val="both"/>
        <w:rPr>
          <w:rFonts w:ascii="Cambria" w:eastAsia="Cambria" w:hAnsi="Cambria" w:cs="Cambria"/>
          <w:sz w:val="20"/>
          <w:szCs w:val="20"/>
          <w:lang w:val="es-MX"/>
        </w:rPr>
      </w:pPr>
      <w:r w:rsidRPr="004E3E07">
        <w:rPr>
          <w:rFonts w:ascii="Cambria" w:eastAsia="Cambria" w:hAnsi="Cambria" w:cs="Cambria"/>
          <w:sz w:val="20"/>
          <w:szCs w:val="20"/>
          <w:lang w:val="es-MX"/>
        </w:rPr>
        <w:t xml:space="preserve">En </w:t>
      </w:r>
      <w:r w:rsidR="007E25FF" w:rsidRPr="004E3E07">
        <w:rPr>
          <w:rFonts w:ascii="Cambria" w:eastAsia="Cambria" w:hAnsi="Cambria" w:cs="Cambria"/>
          <w:sz w:val="20"/>
          <w:szCs w:val="20"/>
          <w:lang w:val="es-MX"/>
        </w:rPr>
        <w:t xml:space="preserve">estos términos, </w:t>
      </w:r>
      <w:r w:rsidR="00800FA1" w:rsidRPr="004E3E07">
        <w:rPr>
          <w:rFonts w:ascii="Cambria" w:eastAsia="Cambria" w:hAnsi="Cambria" w:cs="Cambria"/>
          <w:sz w:val="20"/>
          <w:szCs w:val="20"/>
          <w:lang w:val="es-MX"/>
        </w:rPr>
        <w:t xml:space="preserve">la CIDH encuentra positivo </w:t>
      </w:r>
      <w:r w:rsidR="007E25FF" w:rsidRPr="004E3E07">
        <w:rPr>
          <w:rFonts w:ascii="Cambria" w:eastAsia="Cambria" w:hAnsi="Cambria" w:cs="Cambria"/>
          <w:sz w:val="20"/>
          <w:szCs w:val="20"/>
          <w:lang w:val="es-MX"/>
        </w:rPr>
        <w:t>que</w:t>
      </w:r>
      <w:r w:rsidR="00620CF3" w:rsidRPr="004E3E07">
        <w:rPr>
          <w:rFonts w:ascii="Cambria" w:eastAsia="Cambria" w:hAnsi="Cambria" w:cs="Cambria"/>
          <w:sz w:val="20"/>
          <w:szCs w:val="20"/>
          <w:lang w:val="es-MX"/>
        </w:rPr>
        <w:t>, casi después de cinco años, se haya aplicado</w:t>
      </w:r>
      <w:r w:rsidR="00800FA1" w:rsidRPr="004E3E07">
        <w:rPr>
          <w:rFonts w:ascii="Cambria" w:eastAsia="Cambria" w:hAnsi="Cambria" w:cs="Cambria"/>
          <w:sz w:val="20"/>
          <w:szCs w:val="20"/>
          <w:lang w:val="es-MX"/>
        </w:rPr>
        <w:t xml:space="preserve"> la ENPOL, y alienta al </w:t>
      </w:r>
      <w:r w:rsidR="007E25FF" w:rsidRPr="004E3E07">
        <w:rPr>
          <w:rFonts w:ascii="Cambria" w:eastAsia="Cambria" w:hAnsi="Cambria" w:cs="Cambria"/>
          <w:sz w:val="20"/>
          <w:szCs w:val="20"/>
          <w:lang w:val="es-MX"/>
        </w:rPr>
        <w:t xml:space="preserve">Estado </w:t>
      </w:r>
      <w:r w:rsidR="00800FA1" w:rsidRPr="004E3E07">
        <w:rPr>
          <w:rFonts w:ascii="Cambria" w:eastAsia="Cambria" w:hAnsi="Cambria" w:cs="Cambria"/>
          <w:sz w:val="20"/>
          <w:szCs w:val="20"/>
          <w:lang w:val="es-MX"/>
        </w:rPr>
        <w:t xml:space="preserve">a que </w:t>
      </w:r>
      <w:r w:rsidR="009C4F39" w:rsidRPr="004E3E07">
        <w:rPr>
          <w:rFonts w:ascii="Cambria" w:eastAsia="Cambria" w:hAnsi="Cambria" w:cs="Cambria"/>
          <w:sz w:val="20"/>
          <w:szCs w:val="20"/>
          <w:lang w:val="es-MX"/>
        </w:rPr>
        <w:t>a partir de dicho instrumento s</w:t>
      </w:r>
      <w:r w:rsidR="00800FA1" w:rsidRPr="004E3E07">
        <w:rPr>
          <w:rFonts w:ascii="Cambria" w:eastAsia="Cambria" w:hAnsi="Cambria" w:cs="Cambria"/>
          <w:sz w:val="20"/>
          <w:szCs w:val="20"/>
          <w:lang w:val="es-MX"/>
        </w:rPr>
        <w:t xml:space="preserve">e adopten políticas </w:t>
      </w:r>
      <w:r w:rsidR="009C4F39" w:rsidRPr="004E3E07">
        <w:rPr>
          <w:rFonts w:ascii="Cambria" w:eastAsia="Cambria" w:hAnsi="Cambria" w:cs="Cambria"/>
          <w:sz w:val="20"/>
          <w:szCs w:val="20"/>
          <w:lang w:val="es-MX"/>
        </w:rPr>
        <w:t>basadas en evidencia que contribuyan en el cumplimiento de sus compromisos internacionales en relación con la erradicación de la tortura y tratos o penas crueles, inhumanas o degradantes.</w:t>
      </w:r>
      <w:r w:rsidR="007B7DB7" w:rsidRPr="004E3E07">
        <w:rPr>
          <w:rFonts w:ascii="Cambria" w:eastAsia="Cambria" w:hAnsi="Cambria" w:cs="Cambria"/>
          <w:sz w:val="20"/>
          <w:szCs w:val="20"/>
          <w:lang w:val="es-MX"/>
        </w:rPr>
        <w:t xml:space="preserve"> La CIDH estima que el Estado ha retomado el cumplimiento de la presente recomendación, sin embargo, </w:t>
      </w:r>
      <w:r w:rsidR="00506082" w:rsidRPr="004E3E07">
        <w:rPr>
          <w:rFonts w:ascii="Cambria" w:eastAsia="Cambria" w:hAnsi="Cambria" w:cs="Cambria"/>
          <w:sz w:val="20"/>
          <w:szCs w:val="20"/>
          <w:lang w:val="es-MX"/>
        </w:rPr>
        <w:t xml:space="preserve">sigue siendo preocupante </w:t>
      </w:r>
      <w:r w:rsidR="007B7DB7" w:rsidRPr="004E3E07">
        <w:rPr>
          <w:rFonts w:ascii="Cambria" w:eastAsia="Cambria" w:hAnsi="Cambria" w:cs="Cambria"/>
          <w:sz w:val="20"/>
          <w:szCs w:val="20"/>
          <w:lang w:val="es-MX"/>
        </w:rPr>
        <w:t xml:space="preserve">la </w:t>
      </w:r>
      <w:r w:rsidR="00506082" w:rsidRPr="004E3E07">
        <w:rPr>
          <w:rFonts w:ascii="Cambria" w:eastAsia="Cambria" w:hAnsi="Cambria" w:cs="Cambria"/>
          <w:sz w:val="20"/>
          <w:szCs w:val="20"/>
          <w:lang w:val="es-MX"/>
        </w:rPr>
        <w:t>falta de</w:t>
      </w:r>
      <w:r w:rsidR="007E25FF" w:rsidRPr="004E3E07">
        <w:rPr>
          <w:rFonts w:ascii="Cambria" w:eastAsia="Cambria" w:hAnsi="Cambria" w:cs="Cambria"/>
          <w:sz w:val="20"/>
          <w:szCs w:val="20"/>
          <w:lang w:val="es-MX"/>
        </w:rPr>
        <w:t xml:space="preserve"> implementación del Registro del Delito de Tortura, dispuesto por mandato legal en 2017</w:t>
      </w:r>
      <w:r w:rsidR="007B7DB7" w:rsidRPr="004E3E07">
        <w:rPr>
          <w:rFonts w:ascii="Cambria" w:eastAsia="Cambria" w:hAnsi="Cambria" w:cs="Cambria"/>
          <w:sz w:val="20"/>
          <w:szCs w:val="20"/>
          <w:lang w:val="es-MX"/>
        </w:rPr>
        <w:t>. En virtud de las consideraciones anteriores</w:t>
      </w:r>
      <w:r w:rsidR="007E25FF" w:rsidRPr="004E3E07">
        <w:rPr>
          <w:rFonts w:ascii="Cambria" w:eastAsia="Cambria" w:hAnsi="Cambria" w:cs="Cambria"/>
          <w:sz w:val="20"/>
          <w:szCs w:val="20"/>
          <w:lang w:val="es-MX"/>
        </w:rPr>
        <w:t xml:space="preserve">, la CIDH estima que la presente recomendación está </w:t>
      </w:r>
      <w:r w:rsidR="007B7DB7" w:rsidRPr="004E3E07">
        <w:rPr>
          <w:rFonts w:ascii="Cambria" w:eastAsia="Cambria" w:hAnsi="Cambria" w:cs="Cambria"/>
          <w:sz w:val="20"/>
          <w:szCs w:val="20"/>
          <w:lang w:val="es-MX"/>
        </w:rPr>
        <w:t>pendiente de cumplimiento</w:t>
      </w:r>
      <w:r w:rsidR="007E25FF" w:rsidRPr="004E3E07">
        <w:rPr>
          <w:rFonts w:ascii="Cambria" w:eastAsia="Cambria" w:hAnsi="Cambria" w:cs="Cambria"/>
          <w:sz w:val="20"/>
          <w:szCs w:val="20"/>
          <w:lang w:val="es-MX"/>
        </w:rPr>
        <w:t>.</w:t>
      </w:r>
    </w:p>
    <w:p w14:paraId="0E8F983D" w14:textId="607526D8" w:rsidR="006657B8" w:rsidRPr="004E3E07" w:rsidRDefault="007E25FF" w:rsidP="5258151B">
      <w:pPr>
        <w:numPr>
          <w:ilvl w:val="0"/>
          <w:numId w:val="5"/>
        </w:numPr>
        <w:shd w:val="clear" w:color="auto" w:fill="FFFFFF"/>
        <w:spacing w:after="240" w:line="240" w:lineRule="auto"/>
        <w:ind w:left="0" w:firstLine="720"/>
        <w:jc w:val="both"/>
        <w:rPr>
          <w:rFonts w:ascii="Cambria" w:eastAsia="Cambria" w:hAnsi="Cambria" w:cs="Cambria"/>
          <w:sz w:val="20"/>
          <w:szCs w:val="20"/>
          <w:lang w:val="es-MX"/>
        </w:rPr>
      </w:pPr>
      <w:r w:rsidRPr="004E3E07">
        <w:rPr>
          <w:rFonts w:ascii="Cambria" w:eastAsia="Cambria" w:hAnsi="Cambria" w:cs="Cambria"/>
          <w:sz w:val="20"/>
          <w:szCs w:val="20"/>
          <w:lang w:val="es-MX"/>
        </w:rPr>
        <w:t xml:space="preserve">En cuanto a la recomendación de </w:t>
      </w:r>
      <w:r w:rsidRPr="004E3E07">
        <w:rPr>
          <w:rFonts w:ascii="Cambria" w:eastAsia="Cambria" w:hAnsi="Cambria" w:cs="Cambria"/>
          <w:b/>
          <w:bCs/>
          <w:sz w:val="20"/>
          <w:szCs w:val="20"/>
          <w:lang w:val="es-MX"/>
        </w:rPr>
        <w:t>eliminar el arraigo y la flagrancia equiparada</w:t>
      </w:r>
      <w:r w:rsidRPr="004E3E07">
        <w:rPr>
          <w:rFonts w:ascii="Cambria" w:eastAsia="Cambria" w:hAnsi="Cambria" w:cs="Cambria"/>
          <w:sz w:val="20"/>
          <w:szCs w:val="20"/>
          <w:lang w:val="es-MX"/>
        </w:rPr>
        <w:t>, la CIDH ha dado cuenta anteriormente de que la flagrancia equiparada fue declarada inconstitucional desde el año 2015 por la SCJN, por lo cual esa parte de la recomendación se considera en cumplimiento total. Por lo que refiere a la figura de arraigo, el Estado</w:t>
      </w:r>
      <w:r w:rsidR="00511186" w:rsidRPr="004E3E07">
        <w:rPr>
          <w:rFonts w:ascii="Cambria" w:eastAsia="Cambria" w:hAnsi="Cambria" w:cs="Cambria"/>
          <w:sz w:val="20"/>
          <w:szCs w:val="20"/>
          <w:lang w:val="es-MX"/>
        </w:rPr>
        <w:t xml:space="preserve"> informó que </w:t>
      </w:r>
      <w:r w:rsidR="00AE742A" w:rsidRPr="004E3E07">
        <w:rPr>
          <w:rFonts w:ascii="Cambria" w:eastAsia="Cambria" w:hAnsi="Cambria" w:cs="Cambria"/>
          <w:sz w:val="20"/>
          <w:szCs w:val="20"/>
          <w:lang w:val="es-MX"/>
        </w:rPr>
        <w:t>desde 2019 existe</w:t>
      </w:r>
      <w:r w:rsidR="005A085F" w:rsidRPr="004E3E07">
        <w:rPr>
          <w:rFonts w:ascii="Cambria" w:eastAsia="Cambria" w:hAnsi="Cambria" w:cs="Cambria"/>
          <w:sz w:val="20"/>
          <w:szCs w:val="20"/>
          <w:lang w:val="es-MX"/>
        </w:rPr>
        <w:t>n</w:t>
      </w:r>
      <w:r w:rsidR="00AE742A" w:rsidRPr="004E3E07">
        <w:rPr>
          <w:rFonts w:ascii="Cambria" w:eastAsia="Cambria" w:hAnsi="Cambria" w:cs="Cambria"/>
          <w:sz w:val="20"/>
          <w:szCs w:val="20"/>
          <w:lang w:val="es-MX"/>
        </w:rPr>
        <w:t xml:space="preserve"> </w:t>
      </w:r>
      <w:r w:rsidR="005A085F" w:rsidRPr="004E3E07">
        <w:rPr>
          <w:rFonts w:ascii="Cambria" w:eastAsia="Cambria" w:hAnsi="Cambria" w:cs="Cambria"/>
          <w:sz w:val="20"/>
          <w:szCs w:val="20"/>
          <w:lang w:val="es-MX"/>
        </w:rPr>
        <w:t xml:space="preserve">dos </w:t>
      </w:r>
      <w:r w:rsidR="00AE742A" w:rsidRPr="004E3E07">
        <w:rPr>
          <w:rFonts w:ascii="Cambria" w:eastAsia="Cambria" w:hAnsi="Cambria" w:cs="Cambria"/>
          <w:sz w:val="20"/>
          <w:szCs w:val="20"/>
          <w:lang w:val="es-MX"/>
        </w:rPr>
        <w:t>iniciativ</w:t>
      </w:r>
      <w:r w:rsidR="00634FCE" w:rsidRPr="004E3E07">
        <w:rPr>
          <w:rFonts w:ascii="Cambria" w:eastAsia="Cambria" w:hAnsi="Cambria" w:cs="Cambria"/>
          <w:sz w:val="20"/>
          <w:szCs w:val="20"/>
          <w:lang w:val="es-MX"/>
        </w:rPr>
        <w:t>a</w:t>
      </w:r>
      <w:r w:rsidR="005A085F" w:rsidRPr="004E3E07">
        <w:rPr>
          <w:rFonts w:ascii="Cambria" w:eastAsia="Cambria" w:hAnsi="Cambria" w:cs="Cambria"/>
          <w:sz w:val="20"/>
          <w:szCs w:val="20"/>
          <w:lang w:val="es-MX"/>
        </w:rPr>
        <w:t>s</w:t>
      </w:r>
      <w:r w:rsidR="003A6D94" w:rsidRPr="004E3E07">
        <w:rPr>
          <w:rFonts w:ascii="Cambria" w:eastAsia="Cambria" w:hAnsi="Cambria" w:cs="Cambria"/>
          <w:sz w:val="20"/>
          <w:szCs w:val="20"/>
          <w:lang w:val="es-MX"/>
        </w:rPr>
        <w:t xml:space="preserve"> en el Senado</w:t>
      </w:r>
      <w:r w:rsidR="00634FCE" w:rsidRPr="004E3E07">
        <w:rPr>
          <w:rFonts w:ascii="Cambria" w:eastAsia="Cambria" w:hAnsi="Cambria" w:cs="Cambria"/>
          <w:sz w:val="20"/>
          <w:szCs w:val="20"/>
          <w:lang w:val="es-MX"/>
        </w:rPr>
        <w:t xml:space="preserve"> para derogar el párrafo octavo </w:t>
      </w:r>
      <w:r w:rsidR="009947D3" w:rsidRPr="004E3E07">
        <w:rPr>
          <w:rFonts w:ascii="Cambria" w:eastAsia="Cambria" w:hAnsi="Cambria" w:cs="Cambria"/>
          <w:sz w:val="20"/>
          <w:szCs w:val="20"/>
          <w:lang w:val="es-MX"/>
        </w:rPr>
        <w:t>del artículo 16 de la Constitución de México</w:t>
      </w:r>
      <w:r w:rsidR="00F335B2" w:rsidRPr="004E3E07">
        <w:rPr>
          <w:rFonts w:ascii="Cambria" w:eastAsia="Cambria" w:hAnsi="Cambria" w:cs="Cambria"/>
          <w:sz w:val="20"/>
          <w:szCs w:val="20"/>
          <w:lang w:val="es-MX"/>
        </w:rPr>
        <w:t>, que reconoce el arraigo</w:t>
      </w:r>
      <w:r w:rsidR="00EC4BC8" w:rsidRPr="004E3E07">
        <w:rPr>
          <w:rFonts w:ascii="Cambria" w:eastAsia="Cambria" w:hAnsi="Cambria" w:cs="Cambria"/>
          <w:sz w:val="20"/>
          <w:szCs w:val="20"/>
          <w:vertAlign w:val="superscript"/>
          <w:lang w:val="es-MX"/>
        </w:rPr>
        <w:footnoteReference w:id="161"/>
      </w:r>
      <w:r w:rsidR="00F335B2" w:rsidRPr="004E3E07">
        <w:rPr>
          <w:rFonts w:ascii="Cambria" w:eastAsia="Cambria" w:hAnsi="Cambria" w:cs="Cambria"/>
          <w:sz w:val="20"/>
          <w:szCs w:val="20"/>
          <w:lang w:val="es-MX"/>
        </w:rPr>
        <w:t>.</w:t>
      </w:r>
    </w:p>
    <w:p w14:paraId="193F1BA7" w14:textId="3F6BDA21" w:rsidR="00736E75" w:rsidRPr="004E3E07" w:rsidRDefault="007E25FF" w:rsidP="00871DF5">
      <w:pPr>
        <w:numPr>
          <w:ilvl w:val="0"/>
          <w:numId w:val="5"/>
        </w:numPr>
        <w:shd w:val="clear" w:color="auto" w:fill="FFFFFF"/>
        <w:spacing w:after="240" w:line="240" w:lineRule="auto"/>
        <w:ind w:left="0" w:firstLine="720"/>
        <w:jc w:val="both"/>
        <w:rPr>
          <w:rFonts w:ascii="Cambria" w:eastAsia="Cambria" w:hAnsi="Cambria" w:cs="Cambria"/>
          <w:sz w:val="20"/>
          <w:szCs w:val="20"/>
          <w:lang w:val="es-MX"/>
        </w:rPr>
      </w:pPr>
      <w:r w:rsidRPr="004E3E07">
        <w:rPr>
          <w:rFonts w:ascii="Cambria" w:eastAsia="Cambria" w:hAnsi="Cambria" w:cs="Cambria"/>
          <w:sz w:val="20"/>
          <w:szCs w:val="20"/>
          <w:lang w:val="es-MX"/>
        </w:rPr>
        <w:t xml:space="preserve"> </w:t>
      </w:r>
      <w:r w:rsidR="00AF5271" w:rsidRPr="004E3E07">
        <w:rPr>
          <w:rFonts w:ascii="Cambria" w:eastAsia="Cambria" w:hAnsi="Cambria" w:cs="Cambria"/>
          <w:sz w:val="20"/>
          <w:szCs w:val="20"/>
          <w:lang w:val="es-MX"/>
        </w:rPr>
        <w:t xml:space="preserve">La CIDH continuará monitoreando </w:t>
      </w:r>
      <w:r w:rsidR="000E5BCC" w:rsidRPr="004E3E07">
        <w:rPr>
          <w:rFonts w:ascii="Cambria" w:eastAsia="Cambria" w:hAnsi="Cambria" w:cs="Cambria"/>
          <w:sz w:val="20"/>
          <w:szCs w:val="20"/>
          <w:lang w:val="es-MX"/>
        </w:rPr>
        <w:t>el avance</w:t>
      </w:r>
      <w:r w:rsidRPr="004E3E07">
        <w:rPr>
          <w:rFonts w:ascii="Cambria" w:eastAsia="Cambria" w:hAnsi="Cambria" w:cs="Cambria"/>
          <w:sz w:val="20"/>
          <w:szCs w:val="20"/>
          <w:lang w:val="es-MX"/>
        </w:rPr>
        <w:t xml:space="preserve"> de las </w:t>
      </w:r>
      <w:r w:rsidR="000E5BCC" w:rsidRPr="004E3E07">
        <w:rPr>
          <w:rFonts w:ascii="Cambria" w:eastAsia="Cambria" w:hAnsi="Cambria" w:cs="Cambria"/>
          <w:sz w:val="20"/>
          <w:szCs w:val="20"/>
          <w:lang w:val="es-MX"/>
        </w:rPr>
        <w:t xml:space="preserve">propuestas legislativas que buscan eliminar el arraigo del texto constitucional. </w:t>
      </w:r>
      <w:r w:rsidR="00EC4BC8" w:rsidRPr="004E3E07">
        <w:rPr>
          <w:rFonts w:ascii="Cambria" w:eastAsia="Cambria" w:hAnsi="Cambria" w:cs="Cambria"/>
          <w:sz w:val="20"/>
          <w:szCs w:val="20"/>
          <w:lang w:val="es-MX"/>
        </w:rPr>
        <w:t xml:space="preserve">Sin embargo, en consideración </w:t>
      </w:r>
      <w:r w:rsidR="000E5BCC" w:rsidRPr="004E3E07">
        <w:rPr>
          <w:rFonts w:ascii="Cambria" w:eastAsia="Cambria" w:hAnsi="Cambria" w:cs="Cambria"/>
          <w:sz w:val="20"/>
          <w:szCs w:val="20"/>
          <w:lang w:val="es-MX"/>
        </w:rPr>
        <w:t>de que el arraigo continúa vigente en el texto constitucional</w:t>
      </w:r>
      <w:r w:rsidRPr="004E3E07">
        <w:rPr>
          <w:rFonts w:ascii="Cambria" w:eastAsia="Cambria" w:hAnsi="Cambria" w:cs="Cambria"/>
          <w:sz w:val="20"/>
          <w:szCs w:val="20"/>
          <w:lang w:val="es-MX"/>
        </w:rPr>
        <w:t xml:space="preserve">, la CIDH concluye que la presente recomendación se </w:t>
      </w:r>
      <w:r w:rsidR="000E5BCC" w:rsidRPr="004E3E07">
        <w:rPr>
          <w:rFonts w:ascii="Cambria" w:eastAsia="Cambria" w:hAnsi="Cambria" w:cs="Cambria"/>
          <w:sz w:val="20"/>
          <w:szCs w:val="20"/>
          <w:lang w:val="es-MX"/>
        </w:rPr>
        <w:t>mantiene</w:t>
      </w:r>
      <w:r w:rsidRPr="004E3E07">
        <w:rPr>
          <w:rFonts w:ascii="Cambria" w:eastAsia="Cambria" w:hAnsi="Cambria" w:cs="Cambria"/>
          <w:sz w:val="20"/>
          <w:szCs w:val="20"/>
          <w:lang w:val="es-MX"/>
        </w:rPr>
        <w:t xml:space="preserve"> </w:t>
      </w:r>
      <w:r w:rsidR="000E5BCC" w:rsidRPr="004E3E07">
        <w:rPr>
          <w:rFonts w:ascii="Cambria" w:eastAsia="Cambria" w:hAnsi="Cambria" w:cs="Cambria"/>
          <w:sz w:val="20"/>
          <w:szCs w:val="20"/>
          <w:lang w:val="es-MX"/>
        </w:rPr>
        <w:t>en</w:t>
      </w:r>
      <w:r w:rsidRPr="004E3E07">
        <w:rPr>
          <w:rFonts w:ascii="Cambria" w:eastAsia="Cambria" w:hAnsi="Cambria" w:cs="Cambria"/>
          <w:sz w:val="20"/>
          <w:szCs w:val="20"/>
          <w:lang w:val="es-MX"/>
        </w:rPr>
        <w:t xml:space="preserve"> cumplimiento parcial.</w:t>
      </w:r>
    </w:p>
    <w:p w14:paraId="146069CA" w14:textId="77777777" w:rsidR="002277F5" w:rsidRPr="00BD18FA" w:rsidRDefault="007E25FF" w:rsidP="00BD18FA">
      <w:pPr>
        <w:pStyle w:val="Heading2"/>
      </w:pPr>
      <w:r w:rsidRPr="00BD18FA">
        <w:t>Ejecuciones extrajudiciales</w:t>
      </w:r>
    </w:p>
    <w:p w14:paraId="146069CB" w14:textId="77777777" w:rsidR="002277F5" w:rsidRPr="004E3E07" w:rsidRDefault="007E25FF">
      <w:pPr>
        <w:numPr>
          <w:ilvl w:val="0"/>
          <w:numId w:val="17"/>
        </w:numPr>
        <w:pBdr>
          <w:top w:val="nil"/>
          <w:left w:val="nil"/>
          <w:bottom w:val="nil"/>
          <w:right w:val="nil"/>
          <w:between w:val="nil"/>
        </w:pBdr>
        <w:shd w:val="clear" w:color="auto" w:fill="D9D9D9"/>
        <w:spacing w:after="0" w:line="240" w:lineRule="auto"/>
        <w:ind w:hanging="720"/>
        <w:jc w:val="both"/>
        <w:rPr>
          <w:rFonts w:ascii="Cambria" w:hAnsi="Cambria"/>
          <w:lang w:val="es-MX"/>
        </w:rPr>
      </w:pPr>
      <w:r w:rsidRPr="004E3E07">
        <w:rPr>
          <w:rFonts w:ascii="Cambria" w:eastAsia="Cambria" w:hAnsi="Cambria" w:cs="Cambria"/>
          <w:sz w:val="20"/>
          <w:szCs w:val="20"/>
          <w:lang w:val="es-MX"/>
        </w:rPr>
        <w:t>En cualquier acto en donde haya privación de la vida por integrantes de las fuerzas de seguridad, realizar una averiguación e investigación exhaustiva conforme a los estándares internacionales, que las investigaciones desde la escena del crimen sean procedidas por peritos no integrantes de organismos policiales o militares.</w:t>
      </w:r>
    </w:p>
    <w:p w14:paraId="146069CC" w14:textId="77777777" w:rsidR="002277F5" w:rsidRPr="004E3E07" w:rsidRDefault="007E25FF">
      <w:pPr>
        <w:numPr>
          <w:ilvl w:val="0"/>
          <w:numId w:val="17"/>
        </w:numPr>
        <w:pBdr>
          <w:top w:val="nil"/>
          <w:left w:val="nil"/>
          <w:bottom w:val="nil"/>
          <w:right w:val="nil"/>
          <w:between w:val="nil"/>
        </w:pBdr>
        <w:shd w:val="clear" w:color="auto" w:fill="D9D9D9"/>
        <w:spacing w:after="0" w:line="240" w:lineRule="auto"/>
        <w:ind w:hanging="720"/>
        <w:jc w:val="both"/>
        <w:rPr>
          <w:rFonts w:ascii="Cambria" w:hAnsi="Cambria"/>
          <w:lang w:val="es-MX"/>
        </w:rPr>
      </w:pPr>
      <w:r w:rsidRPr="004E3E07">
        <w:rPr>
          <w:rFonts w:ascii="Cambria" w:eastAsia="Cambria" w:hAnsi="Cambria" w:cs="Cambria"/>
          <w:sz w:val="20"/>
          <w:szCs w:val="20"/>
          <w:lang w:val="es-MX"/>
        </w:rPr>
        <w:t>Asegurar que las Fuerzas Armadas registren las cifras sobre personas muertas y heridas en sus operaciones y que se abran las investigaciones correspondientes cuando corresponda.</w:t>
      </w:r>
    </w:p>
    <w:p w14:paraId="146069CD" w14:textId="77777777" w:rsidR="002277F5" w:rsidRPr="004E3E07" w:rsidRDefault="007E25FF">
      <w:pPr>
        <w:numPr>
          <w:ilvl w:val="0"/>
          <w:numId w:val="17"/>
        </w:numPr>
        <w:pBdr>
          <w:top w:val="nil"/>
          <w:left w:val="nil"/>
          <w:bottom w:val="nil"/>
          <w:right w:val="nil"/>
          <w:between w:val="nil"/>
        </w:pBdr>
        <w:shd w:val="clear" w:color="auto" w:fill="D9D9D9"/>
        <w:spacing w:after="0" w:line="240" w:lineRule="auto"/>
        <w:ind w:hanging="720"/>
        <w:jc w:val="both"/>
        <w:rPr>
          <w:rFonts w:ascii="Cambria" w:hAnsi="Cambria"/>
          <w:lang w:val="es-MX"/>
        </w:rPr>
      </w:pPr>
      <w:r w:rsidRPr="004E3E07">
        <w:rPr>
          <w:rFonts w:ascii="Cambria" w:eastAsia="Cambria" w:hAnsi="Cambria" w:cs="Cambria"/>
          <w:sz w:val="20"/>
          <w:szCs w:val="20"/>
          <w:lang w:val="es-MX"/>
        </w:rPr>
        <w:t>Establecer un registro nacional sobre la localización de restos no identificados inhumados en panteones de todo el país con causa de muerte violenta. Asimismo, se recomienda la búsqueda de fosas clandestinas en estados que han registrado altos niveles de violencia. </w:t>
      </w:r>
    </w:p>
    <w:p w14:paraId="146069CE" w14:textId="77777777" w:rsidR="002277F5" w:rsidRPr="004E3E07" w:rsidRDefault="007E25FF">
      <w:pPr>
        <w:numPr>
          <w:ilvl w:val="0"/>
          <w:numId w:val="17"/>
        </w:numPr>
        <w:pBdr>
          <w:top w:val="nil"/>
          <w:left w:val="nil"/>
          <w:bottom w:val="nil"/>
          <w:right w:val="nil"/>
          <w:between w:val="nil"/>
        </w:pBdr>
        <w:shd w:val="clear" w:color="auto" w:fill="D9D9D9"/>
        <w:spacing w:after="0" w:line="240" w:lineRule="auto"/>
        <w:ind w:hanging="720"/>
        <w:jc w:val="both"/>
        <w:rPr>
          <w:rFonts w:ascii="Cambria" w:hAnsi="Cambria"/>
          <w:lang w:val="es-MX"/>
        </w:rPr>
      </w:pPr>
      <w:r w:rsidRPr="004E3E07">
        <w:rPr>
          <w:rFonts w:ascii="Cambria" w:eastAsia="Cambria" w:hAnsi="Cambria" w:cs="Cambria"/>
          <w:sz w:val="20"/>
          <w:szCs w:val="20"/>
          <w:lang w:val="es-MX"/>
        </w:rPr>
        <w:t>Crear una institución nacional autónoma de servicios forenses que cuente con infraestructura adecuada, suficientes recursos humanos y financieros, y protocolos estandarizados aplicables a nivel nacional.</w:t>
      </w:r>
    </w:p>
    <w:p w14:paraId="146069CF" w14:textId="77777777" w:rsidR="002277F5" w:rsidRPr="004E3E07" w:rsidRDefault="007E25FF">
      <w:pPr>
        <w:numPr>
          <w:ilvl w:val="0"/>
          <w:numId w:val="17"/>
        </w:numPr>
        <w:pBdr>
          <w:top w:val="nil"/>
          <w:left w:val="nil"/>
          <w:bottom w:val="nil"/>
          <w:right w:val="nil"/>
          <w:between w:val="nil"/>
        </w:pBdr>
        <w:shd w:val="clear" w:color="auto" w:fill="D9D9D9"/>
        <w:spacing w:after="0" w:line="240" w:lineRule="auto"/>
        <w:ind w:hanging="720"/>
        <w:jc w:val="both"/>
        <w:rPr>
          <w:rFonts w:ascii="Cambria" w:hAnsi="Cambria"/>
          <w:lang w:val="es-MX"/>
        </w:rPr>
      </w:pPr>
      <w:r w:rsidRPr="004E3E07">
        <w:rPr>
          <w:rFonts w:ascii="Cambria" w:eastAsia="Cambria" w:hAnsi="Cambria" w:cs="Cambria"/>
          <w:sz w:val="20"/>
          <w:szCs w:val="20"/>
          <w:lang w:val="es-MX"/>
        </w:rPr>
        <w:t>Realizar todos los procesos de exhumación e identificación de restos con apego estricto al trato digno de los familiares de las víctimas por parte de las autoridades de todos los niveles de gobierno involucradas en el proceso.</w:t>
      </w:r>
    </w:p>
    <w:p w14:paraId="146069D0" w14:textId="77777777" w:rsidR="002277F5" w:rsidRPr="004E3E07" w:rsidRDefault="007E25FF">
      <w:pPr>
        <w:numPr>
          <w:ilvl w:val="0"/>
          <w:numId w:val="17"/>
        </w:numPr>
        <w:pBdr>
          <w:top w:val="nil"/>
          <w:left w:val="nil"/>
          <w:bottom w:val="nil"/>
          <w:right w:val="nil"/>
          <w:between w:val="nil"/>
        </w:pBdr>
        <w:shd w:val="clear" w:color="auto" w:fill="D9D9D9"/>
        <w:spacing w:after="0" w:line="240" w:lineRule="auto"/>
        <w:ind w:hanging="720"/>
        <w:jc w:val="both"/>
        <w:rPr>
          <w:rFonts w:ascii="Cambria" w:hAnsi="Cambria"/>
          <w:lang w:val="es-MX"/>
        </w:rPr>
      </w:pPr>
      <w:r w:rsidRPr="004E3E07">
        <w:rPr>
          <w:rFonts w:ascii="Cambria" w:eastAsia="Cambria" w:hAnsi="Cambria" w:cs="Cambria"/>
          <w:sz w:val="20"/>
          <w:szCs w:val="20"/>
          <w:lang w:val="es-MX"/>
        </w:rPr>
        <w:t>Continuar y profundizar el trabajo de la Comisión Forense para la Identificación de Restos en los casos que se encuentren en las rutas de migrantes. Adoptar las medidas que sean necesarias para la creación del Mecanismo Transnacional de Acceso a la Justicia para Migrantes y sus Familias, así como la creación de una Fiscalía Especial para los Delitos de Violencia contra Personas Migrantes a nivel federal. </w:t>
      </w:r>
    </w:p>
    <w:p w14:paraId="146069D1" w14:textId="77777777" w:rsidR="002277F5" w:rsidRPr="004E3E07" w:rsidRDefault="007E25FF">
      <w:pPr>
        <w:numPr>
          <w:ilvl w:val="0"/>
          <w:numId w:val="17"/>
        </w:numPr>
        <w:pBdr>
          <w:top w:val="nil"/>
          <w:left w:val="nil"/>
          <w:bottom w:val="nil"/>
          <w:right w:val="nil"/>
          <w:between w:val="nil"/>
        </w:pBdr>
        <w:shd w:val="clear" w:color="auto" w:fill="D9D9D9"/>
        <w:spacing w:after="0" w:line="240" w:lineRule="auto"/>
        <w:ind w:hanging="720"/>
        <w:jc w:val="both"/>
        <w:rPr>
          <w:rFonts w:ascii="Cambria" w:hAnsi="Cambria"/>
          <w:lang w:val="es-MX"/>
        </w:rPr>
      </w:pPr>
      <w:r w:rsidRPr="004E3E07">
        <w:rPr>
          <w:rFonts w:ascii="Cambria" w:eastAsia="Cambria" w:hAnsi="Cambria" w:cs="Cambria"/>
          <w:sz w:val="20"/>
          <w:szCs w:val="20"/>
          <w:lang w:val="es-MX"/>
        </w:rPr>
        <w:t>Implementar un mecanismo nacional que facilite el intercambio de información forense sobre restos no identificados de personas mexicanas y centroamericanas desaparecidas en México con los bancos forenses de migrantes desaparecidos que se han desarrollado en la región.</w:t>
      </w:r>
    </w:p>
    <w:p w14:paraId="146069D2" w14:textId="77777777" w:rsidR="002277F5" w:rsidRPr="004E3E07" w:rsidRDefault="002277F5">
      <w:pPr>
        <w:shd w:val="clear" w:color="auto" w:fill="FFFFFF"/>
        <w:spacing w:after="240" w:line="240" w:lineRule="auto"/>
        <w:ind w:left="720"/>
        <w:jc w:val="both"/>
        <w:rPr>
          <w:rFonts w:ascii="Cambria" w:eastAsia="Cambria" w:hAnsi="Cambria" w:cs="Cambria"/>
          <w:sz w:val="20"/>
          <w:szCs w:val="20"/>
          <w:lang w:val="es-MX"/>
        </w:rPr>
      </w:pPr>
    </w:p>
    <w:p w14:paraId="146069D3" w14:textId="4BDD79E9" w:rsidR="002277F5" w:rsidRPr="004E3E07" w:rsidRDefault="007E25FF" w:rsidP="5258151B">
      <w:pPr>
        <w:numPr>
          <w:ilvl w:val="0"/>
          <w:numId w:val="5"/>
        </w:numPr>
        <w:shd w:val="clear" w:color="auto" w:fill="FFFFFF"/>
        <w:spacing w:after="240" w:line="240" w:lineRule="auto"/>
        <w:ind w:left="0" w:firstLine="720"/>
        <w:jc w:val="both"/>
        <w:rPr>
          <w:rFonts w:ascii="Cambria" w:eastAsia="Cambria" w:hAnsi="Cambria" w:cs="Cambria"/>
          <w:sz w:val="20"/>
          <w:szCs w:val="20"/>
          <w:lang w:val="es-MX"/>
        </w:rPr>
      </w:pPr>
      <w:r w:rsidRPr="004E3E07">
        <w:rPr>
          <w:rFonts w:ascii="Cambria" w:eastAsia="Cambria" w:hAnsi="Cambria" w:cs="Cambria"/>
          <w:sz w:val="20"/>
          <w:szCs w:val="20"/>
          <w:lang w:val="es-MX"/>
        </w:rPr>
        <w:t xml:space="preserve">En cuanto a la recomendación de </w:t>
      </w:r>
      <w:r w:rsidRPr="004E3E07">
        <w:rPr>
          <w:rFonts w:ascii="Cambria" w:eastAsia="Cambria" w:hAnsi="Cambria" w:cs="Cambria"/>
          <w:b/>
          <w:bCs/>
          <w:sz w:val="20"/>
          <w:szCs w:val="20"/>
          <w:lang w:val="es-MX"/>
        </w:rPr>
        <w:t>realizar una investigación conforme estándares internacionales en los casos en que haya privación de la vida por integrantes de las fuerzas de seguridad con peritos que</w:t>
      </w:r>
      <w:r w:rsidRPr="004E3E07">
        <w:rPr>
          <w:rFonts w:ascii="Cambria" w:eastAsia="Cambria" w:hAnsi="Cambria" w:cs="Cambria"/>
          <w:sz w:val="20"/>
          <w:szCs w:val="20"/>
          <w:lang w:val="es-MX"/>
        </w:rPr>
        <w:t xml:space="preserve"> </w:t>
      </w:r>
      <w:r w:rsidRPr="004E3E07">
        <w:rPr>
          <w:rFonts w:ascii="Cambria" w:eastAsia="Cambria" w:hAnsi="Cambria" w:cs="Cambria"/>
          <w:b/>
          <w:bCs/>
          <w:sz w:val="20"/>
          <w:szCs w:val="20"/>
          <w:lang w:val="es-MX"/>
        </w:rPr>
        <w:t>no pertenezcan a estas fuerzas</w:t>
      </w:r>
      <w:r w:rsidRPr="004E3E07">
        <w:rPr>
          <w:rFonts w:ascii="Cambria" w:eastAsia="Cambria" w:hAnsi="Cambria" w:cs="Cambria"/>
          <w:sz w:val="20"/>
          <w:szCs w:val="20"/>
          <w:lang w:val="es-MX"/>
        </w:rPr>
        <w:t>,</w:t>
      </w:r>
      <w:r w:rsidR="0035759F" w:rsidRPr="004E3E07">
        <w:rPr>
          <w:rFonts w:ascii="Cambria" w:eastAsia="Cambria" w:hAnsi="Cambria" w:cs="Cambria"/>
          <w:sz w:val="20"/>
          <w:szCs w:val="20"/>
          <w:lang w:val="es-MX"/>
        </w:rPr>
        <w:t xml:space="preserve"> </w:t>
      </w:r>
      <w:r w:rsidR="002E7CBD" w:rsidRPr="004E3E07">
        <w:rPr>
          <w:rFonts w:ascii="Cambria" w:eastAsia="Cambria" w:hAnsi="Cambria" w:cs="Cambria"/>
          <w:sz w:val="20"/>
          <w:szCs w:val="20"/>
          <w:lang w:val="es-MX"/>
        </w:rPr>
        <w:t>e</w:t>
      </w:r>
      <w:r w:rsidR="00E80775" w:rsidRPr="004E3E07">
        <w:rPr>
          <w:rFonts w:ascii="Cambria" w:eastAsia="Cambria" w:hAnsi="Cambria" w:cs="Cambria"/>
          <w:sz w:val="20"/>
          <w:szCs w:val="20"/>
          <w:lang w:val="es-MX"/>
        </w:rPr>
        <w:t xml:space="preserve">l Estado </w:t>
      </w:r>
      <w:r w:rsidR="008F60DD" w:rsidRPr="004E3E07">
        <w:rPr>
          <w:rFonts w:ascii="Cambria" w:eastAsia="Cambria" w:hAnsi="Cambria" w:cs="Cambria"/>
          <w:sz w:val="20"/>
          <w:szCs w:val="20"/>
          <w:lang w:val="es-MX"/>
        </w:rPr>
        <w:t xml:space="preserve">indicó </w:t>
      </w:r>
      <w:r w:rsidR="0035759F" w:rsidRPr="004E3E07">
        <w:rPr>
          <w:rFonts w:ascii="Cambria" w:eastAsia="Cambria" w:hAnsi="Cambria" w:cs="Cambria"/>
          <w:sz w:val="20"/>
          <w:szCs w:val="20"/>
          <w:lang w:val="es-MX"/>
        </w:rPr>
        <w:t>que</w:t>
      </w:r>
      <w:r w:rsidR="008F60DD" w:rsidRPr="004E3E07">
        <w:rPr>
          <w:rFonts w:ascii="Cambria" w:eastAsia="Cambria" w:hAnsi="Cambria" w:cs="Cambria"/>
          <w:sz w:val="20"/>
          <w:szCs w:val="20"/>
          <w:lang w:val="es-MX"/>
        </w:rPr>
        <w:t xml:space="preserve"> </w:t>
      </w:r>
      <w:r w:rsidR="002E7CBD" w:rsidRPr="004E3E07">
        <w:rPr>
          <w:rFonts w:ascii="Cambria" w:eastAsia="Cambria" w:hAnsi="Cambria" w:cs="Cambria"/>
          <w:sz w:val="20"/>
          <w:szCs w:val="20"/>
          <w:lang w:val="es-MX"/>
        </w:rPr>
        <w:t>en operativos que requieran y autoricen desde la planeación el uso de la fuerza letal podrán ser registrados audiovisualmente a fin de verificar el desarrollo de los mismos, además de que el material audiovisual será accesible para investigaciones y procedimientos judiciales. E</w:t>
      </w:r>
      <w:r w:rsidR="002E7CBD" w:rsidRPr="004E3E07">
        <w:rPr>
          <w:rFonts w:ascii="Cambria" w:hAnsi="Cambria"/>
          <w:sz w:val="20"/>
          <w:szCs w:val="20"/>
          <w:lang w:val="es-MX"/>
        </w:rPr>
        <w:t xml:space="preserve">l Estado indicó que </w:t>
      </w:r>
      <w:r w:rsidR="008F60DD" w:rsidRPr="004E3E07">
        <w:rPr>
          <w:rFonts w:ascii="Cambria" w:hAnsi="Cambria"/>
          <w:sz w:val="20"/>
          <w:szCs w:val="20"/>
          <w:lang w:val="es-MX"/>
        </w:rPr>
        <w:t>las instituciones de seguridad deben presentar informes públicos anuales que permitan conocer el desarrollo de las actividades que involucren el uso de la fuerza</w:t>
      </w:r>
      <w:r w:rsidR="002E7CBD" w:rsidRPr="004E3E07">
        <w:rPr>
          <w:rFonts w:ascii="Cambria" w:hAnsi="Cambria"/>
          <w:sz w:val="20"/>
          <w:szCs w:val="20"/>
          <w:lang w:val="es-MX"/>
        </w:rPr>
        <w:t>, además de que los agentes de instituciones de seguridad pública deberán realizar un informe pormenorizado a su superior jerárquico cuando hagan uso de la fuerza</w:t>
      </w:r>
      <w:r w:rsidR="008F60DD" w:rsidRPr="004E3E07">
        <w:rPr>
          <w:rStyle w:val="FootnoteReference"/>
          <w:rFonts w:ascii="Cambria" w:hAnsi="Cambria"/>
          <w:sz w:val="20"/>
          <w:szCs w:val="20"/>
          <w:lang w:val="es-MX"/>
        </w:rPr>
        <w:footnoteReference w:id="162"/>
      </w:r>
      <w:r w:rsidR="008F60DD" w:rsidRPr="004E3E07">
        <w:rPr>
          <w:rFonts w:ascii="Cambria" w:hAnsi="Cambria"/>
          <w:sz w:val="20"/>
          <w:szCs w:val="20"/>
          <w:lang w:val="es-MX"/>
        </w:rPr>
        <w:t>.</w:t>
      </w:r>
    </w:p>
    <w:p w14:paraId="4A2E2004" w14:textId="7BFB43DA" w:rsidR="008F60DD" w:rsidRPr="004E3E07" w:rsidRDefault="008303B1" w:rsidP="65FCB332">
      <w:pPr>
        <w:numPr>
          <w:ilvl w:val="0"/>
          <w:numId w:val="5"/>
        </w:numPr>
        <w:shd w:val="clear" w:color="auto" w:fill="FFFFFF" w:themeFill="background1"/>
        <w:spacing w:after="240" w:line="240" w:lineRule="auto"/>
        <w:ind w:left="0" w:firstLine="720"/>
        <w:jc w:val="both"/>
        <w:rPr>
          <w:rFonts w:ascii="Cambria" w:eastAsia="Cambria" w:hAnsi="Cambria" w:cs="Cambria"/>
          <w:sz w:val="20"/>
          <w:szCs w:val="20"/>
          <w:lang w:val="es-MX"/>
        </w:rPr>
      </w:pPr>
      <w:r w:rsidRPr="004E3E07">
        <w:rPr>
          <w:rFonts w:ascii="Cambria" w:eastAsia="Cambria" w:hAnsi="Cambria" w:cs="Cambria"/>
          <w:sz w:val="20"/>
          <w:szCs w:val="20"/>
          <w:lang w:val="es-MX"/>
        </w:rPr>
        <w:t xml:space="preserve">La CIDH recibió información de sociedad civil señalando ineficacia de los controles internos y </w:t>
      </w:r>
      <w:r w:rsidRPr="00A61D5D">
        <w:rPr>
          <w:rFonts w:ascii="Cambria" w:eastAsia="Cambria" w:hAnsi="Cambria" w:cs="Cambria"/>
          <w:sz w:val="20"/>
          <w:szCs w:val="20"/>
          <w:lang w:val="es-MX"/>
        </w:rPr>
        <w:t>externos de la Guardia Nacional. En particular, el Centro PRODH subrayó demoras en la presentación de</w:t>
      </w:r>
      <w:r w:rsidR="22D7A336" w:rsidRPr="00A61D5D">
        <w:rPr>
          <w:rFonts w:ascii="Cambria" w:eastAsia="Cambria" w:hAnsi="Cambria" w:cs="Cambria"/>
          <w:sz w:val="20"/>
          <w:szCs w:val="20"/>
          <w:lang w:val="es-MX"/>
        </w:rPr>
        <w:t>l</w:t>
      </w:r>
      <w:r w:rsidRPr="004E3E07">
        <w:rPr>
          <w:rFonts w:ascii="Cambria" w:eastAsia="Cambria" w:hAnsi="Cambria" w:cs="Cambria"/>
          <w:sz w:val="20"/>
          <w:szCs w:val="20"/>
          <w:lang w:val="es-MX"/>
        </w:rPr>
        <w:t xml:space="preserve"> informe anual </w:t>
      </w:r>
      <w:r w:rsidR="00C92408" w:rsidRPr="004E3E07">
        <w:rPr>
          <w:rFonts w:ascii="Cambria" w:eastAsia="Cambria" w:hAnsi="Cambria" w:cs="Cambria"/>
          <w:sz w:val="20"/>
          <w:szCs w:val="20"/>
          <w:lang w:val="es-MX"/>
        </w:rPr>
        <w:t xml:space="preserve">2020 </w:t>
      </w:r>
      <w:r w:rsidRPr="004E3E07">
        <w:rPr>
          <w:rFonts w:ascii="Cambria" w:eastAsia="Cambria" w:hAnsi="Cambria" w:cs="Cambria"/>
          <w:sz w:val="20"/>
          <w:szCs w:val="20"/>
          <w:lang w:val="es-MX"/>
        </w:rPr>
        <w:t>de la Guardia Nacional ante el Senado de la República e</w:t>
      </w:r>
      <w:r w:rsidR="00C92408" w:rsidRPr="004E3E07">
        <w:rPr>
          <w:rFonts w:ascii="Cambria" w:eastAsia="Cambria" w:hAnsi="Cambria" w:cs="Cambria"/>
          <w:sz w:val="20"/>
          <w:szCs w:val="20"/>
          <w:lang w:val="es-MX"/>
        </w:rPr>
        <w:t xml:space="preserve"> indicó un escaso escrutinio </w:t>
      </w:r>
      <w:r w:rsidRPr="004E3E07">
        <w:rPr>
          <w:rFonts w:ascii="Cambria" w:eastAsia="Cambria" w:hAnsi="Cambria" w:cs="Cambria"/>
          <w:sz w:val="20"/>
          <w:szCs w:val="20"/>
          <w:lang w:val="es-MX"/>
        </w:rPr>
        <w:t>por parte del Senado</w:t>
      </w:r>
      <w:r w:rsidR="00C92408" w:rsidRPr="004E3E07">
        <w:rPr>
          <w:rFonts w:ascii="Cambria" w:eastAsia="Cambria" w:hAnsi="Cambria" w:cs="Cambria"/>
          <w:sz w:val="20"/>
          <w:szCs w:val="20"/>
          <w:lang w:val="es-MX"/>
        </w:rPr>
        <w:t xml:space="preserve"> que aprobó el informe en noviembre de 2021</w:t>
      </w:r>
      <w:r w:rsidR="00C92408" w:rsidRPr="004E3E07">
        <w:rPr>
          <w:rStyle w:val="FootnoteReference"/>
          <w:rFonts w:ascii="Cambria" w:eastAsia="Cambria" w:hAnsi="Cambria" w:cs="Cambria"/>
          <w:sz w:val="20"/>
          <w:szCs w:val="20"/>
          <w:lang w:val="es-MX"/>
        </w:rPr>
        <w:footnoteReference w:id="163"/>
      </w:r>
      <w:r w:rsidRPr="004E3E07">
        <w:rPr>
          <w:rFonts w:ascii="Cambria" w:eastAsia="Cambria" w:hAnsi="Cambria" w:cs="Cambria"/>
          <w:sz w:val="20"/>
          <w:szCs w:val="20"/>
          <w:lang w:val="es-MX"/>
        </w:rPr>
        <w:t xml:space="preserve">. </w:t>
      </w:r>
    </w:p>
    <w:p w14:paraId="146069D6" w14:textId="4C733FFD" w:rsidR="002277F5" w:rsidRPr="004E3E07" w:rsidRDefault="007E25FF" w:rsidP="5258151B">
      <w:pPr>
        <w:numPr>
          <w:ilvl w:val="0"/>
          <w:numId w:val="5"/>
        </w:numPr>
        <w:shd w:val="clear" w:color="auto" w:fill="FFFFFF"/>
        <w:spacing w:after="240" w:line="240" w:lineRule="auto"/>
        <w:ind w:left="0" w:firstLine="720"/>
        <w:jc w:val="both"/>
        <w:rPr>
          <w:rFonts w:ascii="Cambria" w:eastAsia="Cambria" w:hAnsi="Cambria" w:cs="Cambria"/>
          <w:sz w:val="20"/>
          <w:szCs w:val="20"/>
          <w:lang w:val="es-MX"/>
        </w:rPr>
      </w:pPr>
      <w:r w:rsidRPr="004E3E07">
        <w:rPr>
          <w:rFonts w:ascii="Cambria" w:eastAsia="Cambria" w:hAnsi="Cambria" w:cs="Cambria"/>
          <w:sz w:val="20"/>
          <w:szCs w:val="20"/>
          <w:lang w:val="es-MX"/>
        </w:rPr>
        <w:t xml:space="preserve">Ante la falta de información actualizada remitida por el Estado, y los cuestionamientos respecto de </w:t>
      </w:r>
      <w:r w:rsidR="00DC2B89">
        <w:rPr>
          <w:rFonts w:ascii="Cambria" w:eastAsia="Cambria" w:hAnsi="Cambria" w:cs="Cambria"/>
          <w:sz w:val="20"/>
          <w:szCs w:val="20"/>
          <w:lang w:val="es-MX"/>
        </w:rPr>
        <w:t>los mecanismos de fiscalización</w:t>
      </w:r>
      <w:r w:rsidRPr="004E3E07">
        <w:rPr>
          <w:rFonts w:ascii="Cambria" w:eastAsia="Cambria" w:hAnsi="Cambria" w:cs="Cambria"/>
          <w:sz w:val="20"/>
          <w:szCs w:val="20"/>
          <w:lang w:val="es-MX"/>
        </w:rPr>
        <w:t xml:space="preserve"> sobre los operativos que involucran el uso de la fuerza, especialmente en el caso de las Fuerzas Armadas, la CIDH considera que esta recomendación se encuentra aún pendiente de cumplimiento. </w:t>
      </w:r>
    </w:p>
    <w:p w14:paraId="146069D7" w14:textId="09FFAC0B" w:rsidR="002277F5" w:rsidRPr="004E3E07" w:rsidRDefault="007E25FF" w:rsidP="5258151B">
      <w:pPr>
        <w:numPr>
          <w:ilvl w:val="0"/>
          <w:numId w:val="5"/>
        </w:numPr>
        <w:shd w:val="clear" w:color="auto" w:fill="FFFFFF"/>
        <w:spacing w:after="240" w:line="240" w:lineRule="auto"/>
        <w:ind w:left="0" w:firstLine="720"/>
        <w:jc w:val="both"/>
        <w:rPr>
          <w:rFonts w:ascii="Cambria" w:eastAsia="Cambria" w:hAnsi="Cambria" w:cs="Cambria"/>
          <w:sz w:val="20"/>
          <w:szCs w:val="20"/>
          <w:lang w:val="es-MX"/>
        </w:rPr>
      </w:pPr>
      <w:r w:rsidRPr="004E3E07">
        <w:rPr>
          <w:rFonts w:ascii="Cambria" w:eastAsia="Cambria" w:hAnsi="Cambria" w:cs="Cambria"/>
          <w:sz w:val="20"/>
          <w:szCs w:val="20"/>
          <w:lang w:val="es-MX"/>
        </w:rPr>
        <w:t xml:space="preserve">Sobre la recomendación de asegurar que las fuerzas armadas </w:t>
      </w:r>
      <w:r w:rsidRPr="004E3E07">
        <w:rPr>
          <w:rFonts w:ascii="Cambria" w:eastAsia="Cambria" w:hAnsi="Cambria" w:cs="Cambria"/>
          <w:b/>
          <w:bCs/>
          <w:sz w:val="20"/>
          <w:szCs w:val="20"/>
          <w:lang w:val="es-MX"/>
        </w:rPr>
        <w:t>registren las cifras de personas muertas y heridas en sus operaciones y abran las investigaciones pertinentes</w:t>
      </w:r>
      <w:r w:rsidRPr="004E3E07">
        <w:rPr>
          <w:rFonts w:ascii="Cambria" w:eastAsia="Cambria" w:hAnsi="Cambria" w:cs="Cambria"/>
          <w:sz w:val="20"/>
          <w:szCs w:val="20"/>
          <w:lang w:val="es-MX"/>
        </w:rPr>
        <w:t xml:space="preserve">, </w:t>
      </w:r>
      <w:r w:rsidR="002E7CBD" w:rsidRPr="004E3E07">
        <w:rPr>
          <w:rFonts w:ascii="Cambria" w:eastAsia="Cambria" w:hAnsi="Cambria" w:cs="Cambria"/>
          <w:sz w:val="20"/>
          <w:szCs w:val="20"/>
          <w:lang w:val="es-MX"/>
        </w:rPr>
        <w:t xml:space="preserve">el Estado reiteró que los agentes estatales de instituciones de seguridad que utilicen la fuerza en cumplimiento de sus funciones debe realizar un informe pormenorizado a su superior jerárquico reportando: (i) los datos de identificación del agente; (ii) el nivel de fuerza utilizado; (iii) las circunstancias de modo, tiempo, lugar y razones que motivaron el uso de la fuerza; y en su caso (iv) indicar la utilización de armas letales. </w:t>
      </w:r>
    </w:p>
    <w:p w14:paraId="146069DA" w14:textId="77777777" w:rsidR="002277F5" w:rsidRPr="004E3E07" w:rsidRDefault="007E25FF" w:rsidP="5258151B">
      <w:pPr>
        <w:numPr>
          <w:ilvl w:val="0"/>
          <w:numId w:val="5"/>
        </w:numPr>
        <w:shd w:val="clear" w:color="auto" w:fill="FFFFFF"/>
        <w:spacing w:after="240" w:line="240" w:lineRule="auto"/>
        <w:ind w:left="0" w:firstLine="720"/>
        <w:jc w:val="both"/>
        <w:rPr>
          <w:rFonts w:ascii="Cambria" w:eastAsia="Cambria" w:hAnsi="Cambria" w:cs="Cambria"/>
          <w:sz w:val="20"/>
          <w:szCs w:val="20"/>
          <w:lang w:val="es-MX"/>
        </w:rPr>
      </w:pPr>
      <w:r w:rsidRPr="004E3E07">
        <w:rPr>
          <w:rFonts w:ascii="Cambria" w:eastAsia="Cambria" w:hAnsi="Cambria" w:cs="Cambria"/>
          <w:sz w:val="20"/>
          <w:szCs w:val="20"/>
          <w:lang w:val="es-MX"/>
        </w:rPr>
        <w:t xml:space="preserve">Respecto de esta recomendación, la CIDH reitera sus observaciones respecto de los problemas relacionados con la elaboración de informes sobre operaciones en las que se emplea el uso de la fuerza letal según lo establecido en la Ley Nacional sobre el uso de la Fuerza. Sumado a lo anterior, la Comisión encuentra que el Estado ha brindado información sobre la parte de las recomendaciones relacionada con el registro, pero no aportó información relacionada con la apertura de investigaciones en materia de ejecuciones extrajudiciales o de algún índice sobre apertura de investigaciones y judicialización de casos que permita evaluar en qué sentido el Estado está cumpliendo con esta recomendación. En estos términos, la CIDH encuentra que la recomendación se mantiene en cumplimiento parcial sustancial. </w:t>
      </w:r>
    </w:p>
    <w:p w14:paraId="2AFC0621" w14:textId="688B7E2A" w:rsidR="001A441A" w:rsidRPr="004E3E07" w:rsidRDefault="007E25FF" w:rsidP="00DE3448">
      <w:pPr>
        <w:numPr>
          <w:ilvl w:val="0"/>
          <w:numId w:val="5"/>
        </w:numPr>
        <w:shd w:val="clear" w:color="auto" w:fill="FFFFFF"/>
        <w:spacing w:after="240" w:line="240" w:lineRule="auto"/>
        <w:ind w:left="0" w:firstLine="720"/>
        <w:jc w:val="both"/>
        <w:rPr>
          <w:rFonts w:ascii="Cambria" w:eastAsia="Cambria" w:hAnsi="Cambria" w:cs="Cambria"/>
          <w:sz w:val="20"/>
          <w:szCs w:val="20"/>
          <w:lang w:val="es-MX"/>
        </w:rPr>
      </w:pPr>
      <w:r w:rsidRPr="004E3E07">
        <w:rPr>
          <w:rFonts w:ascii="Cambria" w:eastAsia="Cambria" w:hAnsi="Cambria" w:cs="Cambria"/>
          <w:sz w:val="20"/>
          <w:szCs w:val="20"/>
          <w:lang w:val="es-MX"/>
        </w:rPr>
        <w:t xml:space="preserve">En relación con la recomendación de establecer </w:t>
      </w:r>
      <w:r w:rsidRPr="004E3E07">
        <w:rPr>
          <w:rFonts w:ascii="Cambria" w:eastAsia="Cambria" w:hAnsi="Cambria" w:cs="Cambria"/>
          <w:b/>
          <w:bCs/>
          <w:sz w:val="20"/>
          <w:szCs w:val="20"/>
          <w:lang w:val="es-MX"/>
        </w:rPr>
        <w:t>un registro nacional sobre localizaciones de restos no identificados y búsqueda de fosas clandestinas</w:t>
      </w:r>
      <w:r w:rsidR="00A2044C" w:rsidRPr="004E3E07">
        <w:rPr>
          <w:rFonts w:ascii="Cambria" w:eastAsia="Cambria" w:hAnsi="Cambria" w:cs="Cambria"/>
          <w:sz w:val="20"/>
          <w:szCs w:val="20"/>
          <w:lang w:val="es-MX"/>
        </w:rPr>
        <w:t xml:space="preserve">, </w:t>
      </w:r>
      <w:r w:rsidR="00F941A4" w:rsidRPr="004E3E07">
        <w:rPr>
          <w:rFonts w:ascii="Cambria" w:eastAsia="Cambria" w:hAnsi="Cambria" w:cs="Cambria"/>
          <w:sz w:val="20"/>
          <w:szCs w:val="20"/>
          <w:lang w:val="es-MX"/>
        </w:rPr>
        <w:t>la C</w:t>
      </w:r>
      <w:r w:rsidR="00DE3448" w:rsidRPr="004E3E07">
        <w:rPr>
          <w:rFonts w:ascii="Cambria" w:eastAsia="Cambria" w:hAnsi="Cambria" w:cs="Cambria"/>
          <w:sz w:val="20"/>
          <w:szCs w:val="20"/>
          <w:lang w:val="es-MX"/>
        </w:rPr>
        <w:t>IDH observa que la</w:t>
      </w:r>
      <w:r w:rsidR="00F941A4" w:rsidRPr="004E3E07">
        <w:rPr>
          <w:rFonts w:ascii="Cambria" w:eastAsia="Cambria" w:hAnsi="Cambria" w:cs="Cambria"/>
          <w:sz w:val="20"/>
          <w:szCs w:val="20"/>
          <w:lang w:val="es-MX"/>
        </w:rPr>
        <w:t xml:space="preserve"> CNB</w:t>
      </w:r>
      <w:r w:rsidR="00A2044C" w:rsidRPr="004E3E07">
        <w:rPr>
          <w:rFonts w:ascii="Cambria" w:eastAsia="Cambria" w:hAnsi="Cambria" w:cs="Cambria"/>
          <w:sz w:val="20"/>
          <w:szCs w:val="20"/>
          <w:lang w:val="es-MX"/>
        </w:rPr>
        <w:t xml:space="preserve"> </w:t>
      </w:r>
      <w:r w:rsidR="00DE3448" w:rsidRPr="004E3E07">
        <w:rPr>
          <w:rFonts w:ascii="Cambria" w:eastAsia="Cambria" w:hAnsi="Cambria" w:cs="Cambria"/>
          <w:sz w:val="20"/>
          <w:szCs w:val="20"/>
          <w:lang w:val="es-MX"/>
        </w:rPr>
        <w:t>concentra</w:t>
      </w:r>
      <w:r w:rsidR="00A2044C" w:rsidRPr="004E3E07">
        <w:rPr>
          <w:rFonts w:ascii="Cambria" w:eastAsia="Cambria" w:hAnsi="Cambria" w:cs="Cambria"/>
          <w:sz w:val="20"/>
          <w:szCs w:val="20"/>
          <w:lang w:val="es-MX"/>
        </w:rPr>
        <w:t xml:space="preserve"> un registro de contextos de hallazgo y cuerpos exhumados con la finalidad de tener un diagnóstico que incida en la búsqueda de personas, y </w:t>
      </w:r>
      <w:r w:rsidR="00DE3448" w:rsidRPr="004E3E07">
        <w:rPr>
          <w:rFonts w:ascii="Cambria" w:eastAsia="Cambria" w:hAnsi="Cambria" w:cs="Cambria"/>
          <w:sz w:val="20"/>
          <w:szCs w:val="20"/>
          <w:lang w:val="es-MX"/>
        </w:rPr>
        <w:t>cuya</w:t>
      </w:r>
      <w:r w:rsidR="00A2044C" w:rsidRPr="004E3E07">
        <w:rPr>
          <w:rFonts w:ascii="Cambria" w:eastAsia="Cambria" w:hAnsi="Cambria" w:cs="Cambria"/>
          <w:sz w:val="20"/>
          <w:szCs w:val="20"/>
          <w:lang w:val="es-MX"/>
        </w:rPr>
        <w:t xml:space="preserve"> información deberá </w:t>
      </w:r>
      <w:r w:rsidR="001A441A" w:rsidRPr="004E3E07">
        <w:rPr>
          <w:rFonts w:ascii="Cambria" w:eastAsia="Cambria" w:hAnsi="Cambria" w:cs="Cambria"/>
          <w:sz w:val="20"/>
          <w:szCs w:val="20"/>
          <w:lang w:val="es-MX"/>
        </w:rPr>
        <w:t xml:space="preserve">ser </w:t>
      </w:r>
      <w:r w:rsidR="00A2044C" w:rsidRPr="004E3E07">
        <w:rPr>
          <w:rFonts w:ascii="Cambria" w:eastAsia="Cambria" w:hAnsi="Cambria" w:cs="Cambria"/>
          <w:sz w:val="20"/>
          <w:szCs w:val="20"/>
          <w:lang w:val="es-MX"/>
        </w:rPr>
        <w:t>aliment</w:t>
      </w:r>
      <w:r w:rsidR="001A441A" w:rsidRPr="004E3E07">
        <w:rPr>
          <w:rFonts w:ascii="Cambria" w:eastAsia="Cambria" w:hAnsi="Cambria" w:cs="Cambria"/>
          <w:sz w:val="20"/>
          <w:szCs w:val="20"/>
          <w:lang w:val="es-MX"/>
        </w:rPr>
        <w:t>ada en</w:t>
      </w:r>
      <w:r w:rsidR="00A2044C" w:rsidRPr="004E3E07">
        <w:rPr>
          <w:rFonts w:ascii="Cambria" w:eastAsia="Cambria" w:hAnsi="Cambria" w:cs="Cambria"/>
          <w:sz w:val="20"/>
          <w:szCs w:val="20"/>
          <w:lang w:val="es-MX"/>
        </w:rPr>
        <w:t xml:space="preserve"> el Registro Nacional de Fosas</w:t>
      </w:r>
      <w:r w:rsidR="001A441A" w:rsidRPr="004E3E07">
        <w:rPr>
          <w:rFonts w:ascii="Cambria" w:eastAsia="Cambria" w:hAnsi="Cambria" w:cs="Cambria"/>
          <w:sz w:val="20"/>
          <w:szCs w:val="20"/>
          <w:lang w:val="es-MX"/>
        </w:rPr>
        <w:t xml:space="preserve"> </w:t>
      </w:r>
      <w:r w:rsidR="00F26783" w:rsidRPr="004E3E07">
        <w:rPr>
          <w:rFonts w:ascii="Cambria" w:eastAsia="Cambria" w:hAnsi="Cambria" w:cs="Cambria"/>
          <w:sz w:val="20"/>
          <w:szCs w:val="20"/>
          <w:lang w:val="es-MX"/>
        </w:rPr>
        <w:t>de conformidad con la Ley General de Desaparición, cuando</w:t>
      </w:r>
      <w:r w:rsidR="001A441A" w:rsidRPr="004E3E07">
        <w:rPr>
          <w:rFonts w:ascii="Cambria" w:eastAsia="Cambria" w:hAnsi="Cambria" w:cs="Cambria"/>
          <w:sz w:val="20"/>
          <w:szCs w:val="20"/>
          <w:lang w:val="es-MX"/>
        </w:rPr>
        <w:t xml:space="preserve"> se encuentre en funcionamiento</w:t>
      </w:r>
      <w:r w:rsidR="00A2044C" w:rsidRPr="004E3E07">
        <w:rPr>
          <w:rFonts w:ascii="Cambria" w:eastAsia="Cambria" w:hAnsi="Cambria" w:cs="Cambria"/>
          <w:sz w:val="20"/>
          <w:szCs w:val="20"/>
          <w:lang w:val="es-MX"/>
        </w:rPr>
        <w:t>. Además, el Estado indicó que la CNB viene sistematizando los registros de inhumación en fosas comunes de panteones municipales en una base de datos homologada nacional denominad</w:t>
      </w:r>
      <w:r w:rsidR="00F941A4" w:rsidRPr="004E3E07">
        <w:rPr>
          <w:rFonts w:ascii="Cambria" w:eastAsia="Cambria" w:hAnsi="Cambria" w:cs="Cambria"/>
          <w:sz w:val="20"/>
          <w:szCs w:val="20"/>
          <w:lang w:val="es-MX"/>
        </w:rPr>
        <w:t>a</w:t>
      </w:r>
      <w:r w:rsidR="00A2044C" w:rsidRPr="004E3E07">
        <w:rPr>
          <w:rFonts w:ascii="Cambria" w:eastAsia="Cambria" w:hAnsi="Cambria" w:cs="Cambria"/>
          <w:sz w:val="20"/>
          <w:szCs w:val="20"/>
          <w:lang w:val="es-MX"/>
        </w:rPr>
        <w:t xml:space="preserve"> Módulo de Fosas Comunes. </w:t>
      </w:r>
      <w:r w:rsidR="001A441A" w:rsidRPr="004E3E07">
        <w:rPr>
          <w:rFonts w:ascii="Cambria" w:eastAsia="Cambria" w:hAnsi="Cambria" w:cs="Cambria"/>
          <w:sz w:val="20"/>
          <w:szCs w:val="20"/>
          <w:lang w:val="es-MX"/>
        </w:rPr>
        <w:t>Al respecto, l</w:t>
      </w:r>
      <w:r w:rsidR="003B6B7F" w:rsidRPr="004E3E07">
        <w:rPr>
          <w:rFonts w:ascii="Cambria" w:eastAsia="Cambria" w:hAnsi="Cambria" w:cs="Cambria"/>
          <w:sz w:val="20"/>
          <w:szCs w:val="20"/>
          <w:lang w:val="es-MX"/>
        </w:rPr>
        <w:t xml:space="preserve">a CIDH </w:t>
      </w:r>
      <w:r w:rsidR="00F941A4" w:rsidRPr="004E3E07">
        <w:rPr>
          <w:rFonts w:ascii="Cambria" w:eastAsia="Cambria" w:hAnsi="Cambria" w:cs="Cambria"/>
          <w:sz w:val="20"/>
          <w:szCs w:val="20"/>
          <w:lang w:val="es-MX"/>
        </w:rPr>
        <w:t xml:space="preserve">toma nota del levantamiento de </w:t>
      </w:r>
      <w:r w:rsidR="003B6B7F" w:rsidRPr="004E3E07">
        <w:rPr>
          <w:rFonts w:ascii="Cambria" w:eastAsia="Cambria" w:hAnsi="Cambria" w:cs="Cambria"/>
          <w:sz w:val="20"/>
          <w:szCs w:val="20"/>
          <w:lang w:val="es-MX"/>
        </w:rPr>
        <w:t xml:space="preserve">15.000 </w:t>
      </w:r>
      <w:r w:rsidR="00F941A4" w:rsidRPr="004E3E07">
        <w:rPr>
          <w:rFonts w:ascii="Cambria" w:eastAsia="Cambria" w:hAnsi="Cambria" w:cs="Cambria"/>
          <w:sz w:val="20"/>
          <w:szCs w:val="20"/>
          <w:lang w:val="es-MX"/>
        </w:rPr>
        <w:t>registros</w:t>
      </w:r>
      <w:r w:rsidR="00DE3448" w:rsidRPr="004E3E07">
        <w:rPr>
          <w:rFonts w:ascii="Cambria" w:eastAsia="Cambria" w:hAnsi="Cambria" w:cs="Cambria"/>
          <w:sz w:val="20"/>
          <w:szCs w:val="20"/>
          <w:lang w:val="es-MX"/>
        </w:rPr>
        <w:t xml:space="preserve"> que han</w:t>
      </w:r>
      <w:r w:rsidR="00F941A4" w:rsidRPr="004E3E07">
        <w:rPr>
          <w:rFonts w:ascii="Cambria" w:eastAsia="Cambria" w:hAnsi="Cambria" w:cs="Cambria"/>
          <w:sz w:val="20"/>
          <w:szCs w:val="20"/>
          <w:lang w:val="es-MX"/>
        </w:rPr>
        <w:t xml:space="preserve"> sido confrontados</w:t>
      </w:r>
      <w:r w:rsidR="003B6B7F" w:rsidRPr="004E3E07">
        <w:rPr>
          <w:rFonts w:ascii="Cambria" w:eastAsia="Cambria" w:hAnsi="Cambria" w:cs="Cambria"/>
          <w:sz w:val="20"/>
          <w:szCs w:val="20"/>
          <w:lang w:val="es-MX"/>
        </w:rPr>
        <w:t xml:space="preserve"> con el RNPDNO. </w:t>
      </w:r>
      <w:r w:rsidR="00DE3448" w:rsidRPr="004E3E07">
        <w:rPr>
          <w:rFonts w:ascii="Cambria" w:eastAsia="Cambria" w:hAnsi="Cambria" w:cs="Cambria"/>
          <w:sz w:val="20"/>
          <w:szCs w:val="20"/>
          <w:lang w:val="es-MX"/>
        </w:rPr>
        <w:t xml:space="preserve">De este universo de registros, la CNB ha podido confirmar que al menos el 38% de los cuerpos de </w:t>
      </w:r>
      <w:r w:rsidR="003B6B7F" w:rsidRPr="004E3E07">
        <w:rPr>
          <w:rFonts w:ascii="Cambria" w:eastAsia="Cambria" w:hAnsi="Cambria" w:cs="Cambria"/>
          <w:sz w:val="20"/>
          <w:szCs w:val="20"/>
          <w:lang w:val="es-MX"/>
        </w:rPr>
        <w:t>personas</w:t>
      </w:r>
      <w:r w:rsidR="00DE3448" w:rsidRPr="004E3E07">
        <w:rPr>
          <w:rFonts w:ascii="Cambria" w:eastAsia="Cambria" w:hAnsi="Cambria" w:cs="Cambria"/>
          <w:sz w:val="20"/>
          <w:szCs w:val="20"/>
          <w:lang w:val="es-MX"/>
        </w:rPr>
        <w:t xml:space="preserve"> fallecidas </w:t>
      </w:r>
      <w:r w:rsidR="003B6B7F" w:rsidRPr="004E3E07">
        <w:rPr>
          <w:rFonts w:ascii="Cambria" w:eastAsia="Cambria" w:hAnsi="Cambria" w:cs="Cambria"/>
          <w:sz w:val="20"/>
          <w:szCs w:val="20"/>
          <w:lang w:val="es-MX"/>
        </w:rPr>
        <w:t>en fosas comunes no han sido identificadas</w:t>
      </w:r>
      <w:r w:rsidR="003B6B7F" w:rsidRPr="004E3E07">
        <w:rPr>
          <w:rStyle w:val="FootnoteReference"/>
          <w:rFonts w:ascii="Cambria" w:eastAsia="Cambria" w:hAnsi="Cambria" w:cs="Cambria"/>
          <w:sz w:val="20"/>
          <w:szCs w:val="20"/>
          <w:lang w:val="es-MX"/>
        </w:rPr>
        <w:footnoteReference w:id="164"/>
      </w:r>
      <w:r w:rsidR="003B6B7F" w:rsidRPr="004E3E07">
        <w:rPr>
          <w:rFonts w:ascii="Cambria" w:eastAsia="Cambria" w:hAnsi="Cambria" w:cs="Cambria"/>
          <w:sz w:val="20"/>
          <w:szCs w:val="20"/>
          <w:lang w:val="es-MX"/>
        </w:rPr>
        <w:t xml:space="preserve">. </w:t>
      </w:r>
    </w:p>
    <w:p w14:paraId="501DBEF0" w14:textId="301413DF" w:rsidR="00F26783" w:rsidRPr="004E3E07" w:rsidRDefault="001A441A" w:rsidP="00F26783">
      <w:pPr>
        <w:numPr>
          <w:ilvl w:val="0"/>
          <w:numId w:val="5"/>
        </w:numPr>
        <w:shd w:val="clear" w:color="auto" w:fill="FFFFFF"/>
        <w:spacing w:after="240" w:line="240" w:lineRule="auto"/>
        <w:ind w:left="0" w:firstLine="720"/>
        <w:jc w:val="both"/>
        <w:rPr>
          <w:rFonts w:ascii="Cambria" w:eastAsia="Cambria" w:hAnsi="Cambria" w:cs="Cambria"/>
          <w:sz w:val="20"/>
          <w:szCs w:val="20"/>
          <w:lang w:val="es-MX"/>
        </w:rPr>
      </w:pPr>
      <w:r w:rsidRPr="004E3E07">
        <w:rPr>
          <w:rFonts w:ascii="Cambria" w:eastAsia="Cambria" w:hAnsi="Cambria" w:cs="Cambria"/>
          <w:sz w:val="20"/>
          <w:szCs w:val="20"/>
          <w:lang w:val="es-MX"/>
        </w:rPr>
        <w:t>Aunado a lo anterior, la Comisión reitera las</w:t>
      </w:r>
      <w:r w:rsidR="00DE3448" w:rsidRPr="004E3E07">
        <w:rPr>
          <w:rFonts w:ascii="Cambria" w:eastAsia="Cambria" w:hAnsi="Cambria" w:cs="Cambria"/>
          <w:sz w:val="20"/>
          <w:szCs w:val="20"/>
          <w:lang w:val="es-MX"/>
        </w:rPr>
        <w:t xml:space="preserve"> observaciones consignadas en el presente informe </w:t>
      </w:r>
      <w:r w:rsidR="00390E9A" w:rsidRPr="004E3E07">
        <w:rPr>
          <w:rFonts w:ascii="Cambria" w:eastAsia="Cambria" w:hAnsi="Cambria" w:cs="Cambria"/>
          <w:sz w:val="20"/>
          <w:szCs w:val="20"/>
          <w:lang w:val="es-MX"/>
        </w:rPr>
        <w:t>relativas</w:t>
      </w:r>
      <w:r w:rsidRPr="004E3E07">
        <w:rPr>
          <w:rFonts w:ascii="Cambria" w:eastAsia="Cambria" w:hAnsi="Cambria" w:cs="Cambria"/>
          <w:sz w:val="20"/>
          <w:szCs w:val="20"/>
          <w:lang w:val="es-MX"/>
        </w:rPr>
        <w:t xml:space="preserve"> a </w:t>
      </w:r>
      <w:r w:rsidR="00DE3448" w:rsidRPr="004E3E07">
        <w:rPr>
          <w:rFonts w:ascii="Cambria" w:eastAsia="Cambria" w:hAnsi="Cambria" w:cs="Cambria"/>
          <w:sz w:val="20"/>
          <w:szCs w:val="20"/>
          <w:lang w:val="es-MX"/>
        </w:rPr>
        <w:t xml:space="preserve">la adopción de medidas </w:t>
      </w:r>
      <w:r w:rsidRPr="004E3E07">
        <w:rPr>
          <w:rFonts w:ascii="Cambria" w:eastAsia="Cambria" w:hAnsi="Cambria" w:cs="Cambria"/>
          <w:sz w:val="20"/>
          <w:szCs w:val="20"/>
          <w:lang w:val="es-MX"/>
        </w:rPr>
        <w:t xml:space="preserve">estatales </w:t>
      </w:r>
      <w:r w:rsidR="00DE3448" w:rsidRPr="004E3E07">
        <w:rPr>
          <w:rFonts w:ascii="Cambria" w:eastAsia="Cambria" w:hAnsi="Cambria" w:cs="Cambria"/>
          <w:sz w:val="20"/>
          <w:szCs w:val="20"/>
          <w:lang w:val="es-MX"/>
        </w:rPr>
        <w:t xml:space="preserve">para </w:t>
      </w:r>
      <w:r w:rsidRPr="004E3E07">
        <w:rPr>
          <w:rFonts w:ascii="Cambria" w:eastAsia="Cambria" w:hAnsi="Cambria" w:cs="Cambria"/>
          <w:sz w:val="20"/>
          <w:szCs w:val="20"/>
          <w:lang w:val="es-MX"/>
        </w:rPr>
        <w:t>implementar</w:t>
      </w:r>
      <w:r w:rsidR="00F26783" w:rsidRPr="004E3E07">
        <w:rPr>
          <w:rFonts w:ascii="Cambria" w:eastAsia="Cambria" w:hAnsi="Cambria" w:cs="Cambria"/>
          <w:sz w:val="20"/>
          <w:szCs w:val="20"/>
          <w:lang w:val="es-MX"/>
        </w:rPr>
        <w:t xml:space="preserve"> el Registro Nacional de Fosas </w:t>
      </w:r>
      <w:r w:rsidRPr="004E3E07">
        <w:rPr>
          <w:rFonts w:ascii="Cambria" w:eastAsia="Cambria" w:hAnsi="Cambria" w:cs="Cambria"/>
          <w:sz w:val="20"/>
          <w:szCs w:val="20"/>
          <w:lang w:val="es-MX"/>
        </w:rPr>
        <w:t>y</w:t>
      </w:r>
      <w:r w:rsidR="00F26783" w:rsidRPr="004E3E07">
        <w:rPr>
          <w:rFonts w:ascii="Cambria" w:eastAsia="Cambria" w:hAnsi="Cambria" w:cs="Cambria"/>
          <w:sz w:val="20"/>
          <w:szCs w:val="20"/>
          <w:lang w:val="es-MX"/>
        </w:rPr>
        <w:t xml:space="preserve"> el Registro Nacional de Personas Fallecidas No Identificadas y No Reclamadas </w:t>
      </w:r>
      <w:r w:rsidRPr="004E3E07">
        <w:rPr>
          <w:rFonts w:ascii="Cambria" w:eastAsia="Cambria" w:hAnsi="Cambria" w:cs="Cambria"/>
          <w:sz w:val="20"/>
          <w:szCs w:val="20"/>
          <w:lang w:val="es-MX"/>
        </w:rPr>
        <w:t xml:space="preserve">previstas en </w:t>
      </w:r>
      <w:r w:rsidR="00F26783" w:rsidRPr="004E3E07">
        <w:rPr>
          <w:rFonts w:ascii="Cambria" w:eastAsia="Cambria" w:hAnsi="Cambria" w:cs="Cambria"/>
          <w:sz w:val="20"/>
          <w:szCs w:val="20"/>
          <w:lang w:val="es-MX"/>
        </w:rPr>
        <w:t xml:space="preserve">la Ley General de Desaparición. En particular, la CIDH observa que su establecimiento se encuentra proyectado </w:t>
      </w:r>
      <w:r w:rsidRPr="004E3E07">
        <w:rPr>
          <w:rFonts w:ascii="Cambria" w:eastAsia="Cambria" w:hAnsi="Cambria" w:cs="Cambria"/>
          <w:sz w:val="20"/>
          <w:szCs w:val="20"/>
          <w:lang w:val="es-MX"/>
        </w:rPr>
        <w:t>en distintas fases ejecución hasta su pleno funcionamiento</w:t>
      </w:r>
      <w:r w:rsidR="00F26783" w:rsidRPr="004E3E07">
        <w:rPr>
          <w:rFonts w:ascii="Cambria" w:eastAsia="Cambria" w:hAnsi="Cambria" w:cs="Cambria"/>
          <w:sz w:val="20"/>
          <w:szCs w:val="20"/>
          <w:lang w:val="es-MX"/>
        </w:rPr>
        <w:t xml:space="preserve"> previsto </w:t>
      </w:r>
      <w:r w:rsidRPr="004E3E07">
        <w:rPr>
          <w:rFonts w:ascii="Cambria" w:eastAsia="Cambria" w:hAnsi="Cambria" w:cs="Cambria"/>
          <w:sz w:val="20"/>
          <w:szCs w:val="20"/>
          <w:lang w:val="es-MX"/>
        </w:rPr>
        <w:t>en 2024</w:t>
      </w:r>
      <w:r w:rsidR="00F26783" w:rsidRPr="004E3E07">
        <w:rPr>
          <w:rFonts w:ascii="Cambria" w:eastAsia="Cambria" w:hAnsi="Cambria" w:cs="Cambria"/>
          <w:sz w:val="20"/>
          <w:szCs w:val="20"/>
          <w:lang w:val="es-MX"/>
        </w:rPr>
        <w:t>, además de que se trabaja en un sistema para garantizar su interoperabilidad</w:t>
      </w:r>
      <w:r w:rsidR="005B2BED">
        <w:rPr>
          <w:rFonts w:ascii="Cambria" w:eastAsia="Cambria" w:hAnsi="Cambria" w:cs="Cambria"/>
          <w:sz w:val="20"/>
          <w:szCs w:val="20"/>
          <w:lang w:val="es-MX"/>
        </w:rPr>
        <w:t>.</w:t>
      </w:r>
    </w:p>
    <w:p w14:paraId="789FE17F" w14:textId="7D81279C" w:rsidR="00EE4D9C" w:rsidRPr="004E3E07" w:rsidRDefault="00EE4D9C" w:rsidP="00DE3448">
      <w:pPr>
        <w:numPr>
          <w:ilvl w:val="0"/>
          <w:numId w:val="5"/>
        </w:numPr>
        <w:shd w:val="clear" w:color="auto" w:fill="FFFFFF"/>
        <w:spacing w:after="240" w:line="240" w:lineRule="auto"/>
        <w:ind w:left="0" w:firstLine="720"/>
        <w:jc w:val="both"/>
        <w:rPr>
          <w:rFonts w:ascii="Cambria" w:eastAsia="Cambria" w:hAnsi="Cambria" w:cs="Cambria"/>
          <w:sz w:val="20"/>
          <w:szCs w:val="20"/>
          <w:lang w:val="es-MX"/>
        </w:rPr>
      </w:pPr>
      <w:r w:rsidRPr="004E3E07">
        <w:rPr>
          <w:rFonts w:ascii="Cambria" w:eastAsia="Cambria" w:hAnsi="Cambria" w:cs="Cambria"/>
          <w:sz w:val="20"/>
          <w:szCs w:val="20"/>
          <w:lang w:val="es-MX"/>
        </w:rPr>
        <w:t>Sin perjuicio de lo anterior,</w:t>
      </w:r>
      <w:r w:rsidR="001A441A" w:rsidRPr="004E3E07">
        <w:rPr>
          <w:rFonts w:ascii="Cambria" w:eastAsia="Cambria" w:hAnsi="Cambria" w:cs="Cambria"/>
          <w:sz w:val="20"/>
          <w:szCs w:val="20"/>
          <w:lang w:val="es-MX"/>
        </w:rPr>
        <w:t xml:space="preserve"> </w:t>
      </w:r>
      <w:r w:rsidRPr="004E3E07">
        <w:rPr>
          <w:rFonts w:ascii="Cambria" w:eastAsia="Cambria" w:hAnsi="Cambria" w:cs="Cambria"/>
          <w:sz w:val="20"/>
          <w:szCs w:val="20"/>
          <w:lang w:val="es-MX"/>
        </w:rPr>
        <w:t xml:space="preserve">según </w:t>
      </w:r>
      <w:r w:rsidR="005560F2">
        <w:rPr>
          <w:rFonts w:ascii="Cambria" w:eastAsia="Cambria" w:hAnsi="Cambria" w:cs="Cambria"/>
          <w:sz w:val="20"/>
          <w:szCs w:val="20"/>
          <w:lang w:val="es-MX"/>
        </w:rPr>
        <w:t>un informe</w:t>
      </w:r>
      <w:r w:rsidRPr="004E3E07">
        <w:rPr>
          <w:rFonts w:ascii="Cambria" w:eastAsia="Cambria" w:hAnsi="Cambria" w:cs="Cambria"/>
          <w:sz w:val="20"/>
          <w:szCs w:val="20"/>
          <w:lang w:val="es-MX"/>
        </w:rPr>
        <w:t xml:space="preserve"> del Movimiento Nacional por Nuestros </w:t>
      </w:r>
      <w:r w:rsidRPr="004B6023">
        <w:rPr>
          <w:rFonts w:ascii="Cambria" w:eastAsia="Cambria" w:hAnsi="Cambria" w:cs="Cambria"/>
          <w:sz w:val="20"/>
          <w:szCs w:val="20"/>
          <w:lang w:val="es-MX"/>
        </w:rPr>
        <w:t xml:space="preserve">Desaparecidos en México </w:t>
      </w:r>
      <w:r w:rsidR="005560F2" w:rsidRPr="004B6023">
        <w:rPr>
          <w:rFonts w:ascii="Cambria" w:eastAsia="Cambria" w:hAnsi="Cambria" w:cs="Cambria"/>
          <w:sz w:val="20"/>
          <w:szCs w:val="20"/>
          <w:lang w:val="es-MX"/>
        </w:rPr>
        <w:t>publicado en agosto de 2021</w:t>
      </w:r>
      <w:r w:rsidRPr="004B6023">
        <w:rPr>
          <w:rFonts w:ascii="Cambria" w:eastAsia="Cambria" w:hAnsi="Cambria" w:cs="Cambria"/>
          <w:sz w:val="20"/>
          <w:szCs w:val="20"/>
          <w:lang w:val="es-MX"/>
        </w:rPr>
        <w:t xml:space="preserve">, </w:t>
      </w:r>
      <w:r w:rsidRPr="004B6023">
        <w:rPr>
          <w:rStyle w:val="normaltextrun"/>
          <w:rFonts w:ascii="Cambria" w:hAnsi="Cambria"/>
          <w:sz w:val="20"/>
          <w:szCs w:val="20"/>
          <w:shd w:val="clear" w:color="auto" w:fill="FFFFFF"/>
          <w:lang w:val="es-MX"/>
        </w:rPr>
        <w:t>hasta antes del 30 de agosto de 2020, al menos 52.000 cuerpos, cadáveres u osamentas de personas fallecidas sin identificar y un número aún desconocido de fragmentos óseos se encontrarían bajo resguardo de las autoridades</w:t>
      </w:r>
      <w:r w:rsidRPr="004E3E07">
        <w:rPr>
          <w:rStyle w:val="normaltextrun"/>
          <w:rFonts w:ascii="Cambria" w:hAnsi="Cambria"/>
          <w:sz w:val="20"/>
          <w:szCs w:val="20"/>
          <w:shd w:val="clear" w:color="auto" w:fill="FFFFFF"/>
          <w:lang w:val="es-MX"/>
        </w:rPr>
        <w:t xml:space="preserve"> estatales en el país</w:t>
      </w:r>
      <w:r w:rsidRPr="004E3E07">
        <w:rPr>
          <w:rStyle w:val="FootnoteReference"/>
          <w:rFonts w:ascii="Cambria" w:hAnsi="Cambria"/>
          <w:sz w:val="20"/>
          <w:szCs w:val="20"/>
          <w:shd w:val="clear" w:color="auto" w:fill="FFFFFF"/>
          <w:lang w:val="es-MX"/>
        </w:rPr>
        <w:footnoteReference w:id="165"/>
      </w:r>
      <w:r w:rsidRPr="004E3E07">
        <w:rPr>
          <w:rStyle w:val="normaltextrun"/>
          <w:rFonts w:ascii="Cambria" w:hAnsi="Cambria"/>
          <w:sz w:val="20"/>
          <w:szCs w:val="20"/>
          <w:shd w:val="clear" w:color="auto" w:fill="FFFFFF"/>
          <w:lang w:val="es-MX"/>
        </w:rPr>
        <w:t xml:space="preserve">. </w:t>
      </w:r>
      <w:r w:rsidR="001A441A" w:rsidRPr="004E3E07">
        <w:rPr>
          <w:rStyle w:val="normaltextrun"/>
          <w:rFonts w:ascii="Cambria" w:hAnsi="Cambria"/>
          <w:sz w:val="20"/>
          <w:szCs w:val="20"/>
          <w:shd w:val="clear" w:color="auto" w:fill="FFFFFF"/>
          <w:lang w:val="es-MX"/>
        </w:rPr>
        <w:t>La CIDH observa que l</w:t>
      </w:r>
      <w:r w:rsidRPr="004E3E07">
        <w:rPr>
          <w:rStyle w:val="normaltextrun"/>
          <w:rFonts w:ascii="Cambria" w:hAnsi="Cambria"/>
          <w:sz w:val="20"/>
          <w:szCs w:val="20"/>
          <w:shd w:val="clear" w:color="auto" w:fill="FFFFFF"/>
          <w:lang w:val="es-MX"/>
        </w:rPr>
        <w:t>as deficiencias en el tratamiento, identificación, resguardo, trazabilidad y restitución de restos humanos, aunado a la magnitud de personas fallecidas sin identificar</w:t>
      </w:r>
      <w:r w:rsidR="00F26783" w:rsidRPr="004E3E07">
        <w:rPr>
          <w:rStyle w:val="normaltextrun"/>
          <w:rFonts w:ascii="Cambria" w:hAnsi="Cambria"/>
          <w:sz w:val="20"/>
          <w:szCs w:val="20"/>
          <w:shd w:val="clear" w:color="auto" w:fill="FFFFFF"/>
          <w:lang w:val="es-MX"/>
        </w:rPr>
        <w:t xml:space="preserve"> urgen la pronta instalación </w:t>
      </w:r>
      <w:r w:rsidR="001A00AE" w:rsidRPr="004E3E07">
        <w:rPr>
          <w:rStyle w:val="normaltextrun"/>
          <w:rFonts w:ascii="Cambria" w:hAnsi="Cambria"/>
          <w:sz w:val="20"/>
          <w:szCs w:val="20"/>
          <w:shd w:val="clear" w:color="auto" w:fill="FFFFFF"/>
          <w:lang w:val="es-MX"/>
        </w:rPr>
        <w:t>tanto del Registro Nacional de Personas Fallecidas No Identificadas y No Reclamadas, así como del Registro Nacional de Fosas</w:t>
      </w:r>
      <w:r w:rsidR="00385ABE">
        <w:rPr>
          <w:rStyle w:val="normaltextrun"/>
          <w:rFonts w:ascii="Cambria" w:hAnsi="Cambria"/>
          <w:sz w:val="20"/>
          <w:szCs w:val="20"/>
          <w:shd w:val="clear" w:color="auto" w:fill="FFFFFF"/>
          <w:lang w:val="es-MX"/>
        </w:rPr>
        <w:t>, así como garantizar su interoperabilidad con otras bases de datos previstas en la Ley General de Desaparición</w:t>
      </w:r>
      <w:r w:rsidR="00385ABE">
        <w:rPr>
          <w:rStyle w:val="eop"/>
          <w:rFonts w:ascii="Cambria" w:hAnsi="Cambria"/>
          <w:sz w:val="20"/>
          <w:szCs w:val="20"/>
          <w:shd w:val="clear" w:color="auto" w:fill="FFFFFF"/>
          <w:lang w:val="es-MX"/>
        </w:rPr>
        <w:t xml:space="preserve">. </w:t>
      </w:r>
    </w:p>
    <w:p w14:paraId="146069DC" w14:textId="21BD886A" w:rsidR="002277F5" w:rsidRPr="004E3E07" w:rsidRDefault="004B7E39" w:rsidP="5258151B">
      <w:pPr>
        <w:numPr>
          <w:ilvl w:val="0"/>
          <w:numId w:val="5"/>
        </w:numPr>
        <w:shd w:val="clear" w:color="auto" w:fill="FFFFFF"/>
        <w:spacing w:after="240" w:line="240" w:lineRule="auto"/>
        <w:ind w:left="0" w:firstLine="720"/>
        <w:jc w:val="both"/>
        <w:rPr>
          <w:rFonts w:ascii="Cambria" w:eastAsia="Cambria" w:hAnsi="Cambria" w:cs="Cambria"/>
          <w:sz w:val="20"/>
          <w:szCs w:val="20"/>
          <w:lang w:val="es-MX"/>
        </w:rPr>
      </w:pPr>
      <w:r w:rsidRPr="004E3E07">
        <w:rPr>
          <w:rFonts w:ascii="Cambria" w:eastAsia="Cambria" w:hAnsi="Cambria" w:cs="Cambria"/>
          <w:sz w:val="20"/>
          <w:szCs w:val="20"/>
          <w:lang w:val="es-MX"/>
        </w:rPr>
        <w:t>En estos términos, l</w:t>
      </w:r>
      <w:r w:rsidR="00A621A7" w:rsidRPr="004E3E07">
        <w:rPr>
          <w:rFonts w:ascii="Cambria" w:eastAsia="Cambria" w:hAnsi="Cambria" w:cs="Cambria"/>
          <w:sz w:val="20"/>
          <w:szCs w:val="20"/>
          <w:lang w:val="es-MX"/>
        </w:rPr>
        <w:t xml:space="preserve">a CIDH valora los </w:t>
      </w:r>
      <w:r w:rsidRPr="004E3E07">
        <w:rPr>
          <w:rFonts w:ascii="Cambria" w:eastAsia="Cambria" w:hAnsi="Cambria" w:cs="Cambria"/>
          <w:sz w:val="20"/>
          <w:szCs w:val="20"/>
          <w:lang w:val="es-MX"/>
        </w:rPr>
        <w:t>esfuerzos emprendidos por la CNB</w:t>
      </w:r>
      <w:r w:rsidR="00A621A7" w:rsidRPr="004E3E07">
        <w:rPr>
          <w:rFonts w:ascii="Cambria" w:eastAsia="Cambria" w:hAnsi="Cambria" w:cs="Cambria"/>
          <w:sz w:val="20"/>
          <w:szCs w:val="20"/>
          <w:lang w:val="es-MX"/>
        </w:rPr>
        <w:t xml:space="preserve"> para </w:t>
      </w:r>
      <w:r w:rsidRPr="004E3E07">
        <w:rPr>
          <w:rFonts w:ascii="Cambria" w:eastAsia="Cambria" w:hAnsi="Cambria" w:cs="Cambria"/>
          <w:sz w:val="20"/>
          <w:szCs w:val="20"/>
          <w:lang w:val="es-MX"/>
        </w:rPr>
        <w:t>recopilar</w:t>
      </w:r>
      <w:r w:rsidR="00F941A4" w:rsidRPr="004E3E07">
        <w:rPr>
          <w:rFonts w:ascii="Cambria" w:eastAsia="Cambria" w:hAnsi="Cambria" w:cs="Cambria"/>
          <w:sz w:val="20"/>
          <w:szCs w:val="20"/>
          <w:lang w:val="es-MX"/>
        </w:rPr>
        <w:t xml:space="preserve"> información sobre contextos de hallazgos</w:t>
      </w:r>
      <w:r w:rsidRPr="004E3E07">
        <w:rPr>
          <w:rFonts w:ascii="Cambria" w:eastAsia="Cambria" w:hAnsi="Cambria" w:cs="Cambria"/>
          <w:sz w:val="20"/>
          <w:szCs w:val="20"/>
          <w:lang w:val="es-MX"/>
        </w:rPr>
        <w:t xml:space="preserve"> y fosas comunes, y reitera sus observaciones en relación con la adopción de medidas para la puesta en marcha </w:t>
      </w:r>
      <w:r w:rsidR="001A00AE" w:rsidRPr="004E3E07">
        <w:rPr>
          <w:rFonts w:ascii="Cambria" w:eastAsia="Cambria" w:hAnsi="Cambria" w:cs="Cambria"/>
          <w:sz w:val="20"/>
          <w:szCs w:val="20"/>
          <w:lang w:val="es-MX"/>
        </w:rPr>
        <w:t>de los registros antes mencionados</w:t>
      </w:r>
      <w:r w:rsidRPr="004E3E07">
        <w:rPr>
          <w:rFonts w:ascii="Cambria" w:eastAsia="Cambria" w:hAnsi="Cambria" w:cs="Cambria"/>
          <w:sz w:val="20"/>
          <w:szCs w:val="20"/>
          <w:lang w:val="es-MX"/>
        </w:rPr>
        <w:t>.</w:t>
      </w:r>
      <w:r w:rsidR="00B41C99" w:rsidRPr="004E3E07">
        <w:rPr>
          <w:rFonts w:ascii="Cambria" w:eastAsia="Cambria" w:hAnsi="Cambria" w:cs="Cambria"/>
          <w:sz w:val="20"/>
          <w:szCs w:val="20"/>
          <w:lang w:val="es-MX"/>
        </w:rPr>
        <w:t xml:space="preserve"> </w:t>
      </w:r>
      <w:r w:rsidRPr="004E3E07">
        <w:rPr>
          <w:rFonts w:ascii="Cambria" w:eastAsia="Cambria" w:hAnsi="Cambria" w:cs="Cambria"/>
          <w:sz w:val="20"/>
          <w:szCs w:val="20"/>
          <w:lang w:val="es-MX"/>
        </w:rPr>
        <w:t xml:space="preserve">Considerando la adopción de medidas para el establecimiento de </w:t>
      </w:r>
      <w:r w:rsidR="001A00AE" w:rsidRPr="004E3E07">
        <w:rPr>
          <w:rFonts w:ascii="Cambria" w:eastAsia="Cambria" w:hAnsi="Cambria" w:cs="Cambria"/>
          <w:sz w:val="20"/>
          <w:szCs w:val="20"/>
          <w:lang w:val="es-MX"/>
        </w:rPr>
        <w:t>estas bases de datos</w:t>
      </w:r>
      <w:r w:rsidRPr="004E3E07">
        <w:rPr>
          <w:rFonts w:ascii="Cambria" w:eastAsia="Cambria" w:hAnsi="Cambria" w:cs="Cambria"/>
          <w:sz w:val="20"/>
          <w:szCs w:val="20"/>
          <w:lang w:val="es-MX"/>
        </w:rPr>
        <w:t xml:space="preserve">, pero bajo la lógica de que aún </w:t>
      </w:r>
      <w:r w:rsidR="00B41C99" w:rsidRPr="004E3E07">
        <w:rPr>
          <w:rFonts w:ascii="Cambria" w:eastAsia="Cambria" w:hAnsi="Cambria" w:cs="Cambria"/>
          <w:sz w:val="20"/>
          <w:szCs w:val="20"/>
          <w:lang w:val="es-MX"/>
        </w:rPr>
        <w:t xml:space="preserve">no se </w:t>
      </w:r>
      <w:r w:rsidR="001A00AE" w:rsidRPr="004E3E07">
        <w:rPr>
          <w:rFonts w:ascii="Cambria" w:eastAsia="Cambria" w:hAnsi="Cambria" w:cs="Cambria"/>
          <w:sz w:val="20"/>
          <w:szCs w:val="20"/>
          <w:lang w:val="es-MX"/>
        </w:rPr>
        <w:t>encuentran</w:t>
      </w:r>
      <w:r w:rsidR="00B41C99" w:rsidRPr="004E3E07">
        <w:rPr>
          <w:rFonts w:ascii="Cambria" w:eastAsia="Cambria" w:hAnsi="Cambria" w:cs="Cambria"/>
          <w:sz w:val="20"/>
          <w:szCs w:val="20"/>
          <w:lang w:val="es-MX"/>
        </w:rPr>
        <w:t xml:space="preserve"> en operación</w:t>
      </w:r>
      <w:r w:rsidR="007E25FF" w:rsidRPr="004E3E07">
        <w:rPr>
          <w:rFonts w:ascii="Cambria" w:eastAsia="Cambria" w:hAnsi="Cambria" w:cs="Cambria"/>
          <w:sz w:val="20"/>
          <w:szCs w:val="20"/>
          <w:lang w:val="es-MX"/>
        </w:rPr>
        <w:t xml:space="preserve">, la Comisión considera que esta recomendación se </w:t>
      </w:r>
      <w:r w:rsidRPr="004E3E07">
        <w:rPr>
          <w:rFonts w:ascii="Cambria" w:eastAsia="Cambria" w:hAnsi="Cambria" w:cs="Cambria"/>
          <w:sz w:val="20"/>
          <w:szCs w:val="20"/>
          <w:lang w:val="es-MX"/>
        </w:rPr>
        <w:t xml:space="preserve">encuentra en </w:t>
      </w:r>
      <w:r w:rsidR="007E25FF" w:rsidRPr="004E3E07">
        <w:rPr>
          <w:rFonts w:ascii="Cambria" w:eastAsia="Cambria" w:hAnsi="Cambria" w:cs="Cambria"/>
          <w:sz w:val="20"/>
          <w:szCs w:val="20"/>
          <w:lang w:val="es-MX"/>
        </w:rPr>
        <w:t>cumplimiento</w:t>
      </w:r>
      <w:r w:rsidRPr="004E3E07">
        <w:rPr>
          <w:rFonts w:ascii="Cambria" w:eastAsia="Cambria" w:hAnsi="Cambria" w:cs="Cambria"/>
          <w:sz w:val="20"/>
          <w:szCs w:val="20"/>
          <w:lang w:val="es-MX"/>
        </w:rPr>
        <w:t xml:space="preserve"> parcial</w:t>
      </w:r>
      <w:r w:rsidR="007E25FF" w:rsidRPr="004E3E07">
        <w:rPr>
          <w:rFonts w:ascii="Cambria" w:eastAsia="Cambria" w:hAnsi="Cambria" w:cs="Cambria"/>
          <w:sz w:val="20"/>
          <w:szCs w:val="20"/>
          <w:lang w:val="es-MX"/>
        </w:rPr>
        <w:t xml:space="preserve">. </w:t>
      </w:r>
    </w:p>
    <w:p w14:paraId="67A22CB3" w14:textId="2B226DAD" w:rsidR="0020316C" w:rsidRPr="004E3E07" w:rsidRDefault="007E25FF" w:rsidP="0020316C">
      <w:pPr>
        <w:numPr>
          <w:ilvl w:val="0"/>
          <w:numId w:val="5"/>
        </w:numPr>
        <w:shd w:val="clear" w:color="auto" w:fill="FFFFFF"/>
        <w:spacing w:after="240" w:line="240" w:lineRule="auto"/>
        <w:ind w:left="0" w:firstLine="720"/>
        <w:jc w:val="both"/>
        <w:rPr>
          <w:rFonts w:ascii="Cambria" w:eastAsia="Cambria" w:hAnsi="Cambria" w:cs="Cambria"/>
          <w:sz w:val="20"/>
          <w:szCs w:val="20"/>
          <w:lang w:val="es-MX"/>
        </w:rPr>
      </w:pPr>
      <w:r w:rsidRPr="004E3E07">
        <w:rPr>
          <w:rFonts w:ascii="Cambria" w:eastAsia="Cambria" w:hAnsi="Cambria" w:cs="Cambria"/>
          <w:sz w:val="20"/>
          <w:szCs w:val="20"/>
          <w:lang w:val="es-MX"/>
        </w:rPr>
        <w:t xml:space="preserve">Sobre las recomendaciones de crear una </w:t>
      </w:r>
      <w:r w:rsidRPr="004E3E07">
        <w:rPr>
          <w:rFonts w:ascii="Cambria" w:eastAsia="Cambria" w:hAnsi="Cambria" w:cs="Cambria"/>
          <w:b/>
          <w:bCs/>
          <w:sz w:val="20"/>
          <w:szCs w:val="20"/>
          <w:lang w:val="es-MX"/>
        </w:rPr>
        <w:t xml:space="preserve">institución nacional autónoma de servicios forenses </w:t>
      </w:r>
      <w:r w:rsidRPr="004E3E07">
        <w:rPr>
          <w:rFonts w:ascii="Cambria" w:eastAsia="Cambria" w:hAnsi="Cambria" w:cs="Cambria"/>
          <w:sz w:val="20"/>
          <w:szCs w:val="20"/>
          <w:lang w:val="es-MX"/>
        </w:rPr>
        <w:t>y</w:t>
      </w:r>
      <w:r w:rsidRPr="004E3E07">
        <w:rPr>
          <w:rFonts w:ascii="Cambria" w:eastAsia="Cambria" w:hAnsi="Cambria" w:cs="Cambria"/>
          <w:b/>
          <w:bCs/>
          <w:sz w:val="20"/>
          <w:szCs w:val="20"/>
          <w:lang w:val="es-MX"/>
        </w:rPr>
        <w:t xml:space="preserve"> realizar exhumación e identificación de restos con apego estricto al trato digno de los familiares de las víctimas,</w:t>
      </w:r>
      <w:r w:rsidRPr="004E3E07">
        <w:rPr>
          <w:rFonts w:ascii="Cambria" w:eastAsia="Cambria" w:hAnsi="Cambria" w:cs="Cambria"/>
          <w:sz w:val="20"/>
          <w:szCs w:val="20"/>
          <w:lang w:val="es-MX"/>
        </w:rPr>
        <w:t xml:space="preserve"> </w:t>
      </w:r>
      <w:r w:rsidR="004B7E39" w:rsidRPr="004E3E07">
        <w:rPr>
          <w:rFonts w:ascii="Cambria" w:eastAsia="Cambria" w:hAnsi="Cambria" w:cs="Cambria"/>
          <w:sz w:val="20"/>
          <w:szCs w:val="20"/>
          <w:lang w:val="es-MX"/>
        </w:rPr>
        <w:t xml:space="preserve">el Estado </w:t>
      </w:r>
      <w:r w:rsidR="00171438" w:rsidRPr="004E3E07">
        <w:rPr>
          <w:rFonts w:ascii="Cambria" w:eastAsia="Cambria" w:hAnsi="Cambria" w:cs="Cambria"/>
          <w:sz w:val="20"/>
          <w:szCs w:val="20"/>
          <w:lang w:val="es-MX"/>
        </w:rPr>
        <w:t>recordó</w:t>
      </w:r>
      <w:r w:rsidR="004B7E39" w:rsidRPr="004E3E07">
        <w:rPr>
          <w:rFonts w:ascii="Cambria" w:eastAsia="Cambria" w:hAnsi="Cambria" w:cs="Cambria"/>
          <w:sz w:val="20"/>
          <w:szCs w:val="20"/>
          <w:lang w:val="es-MX"/>
        </w:rPr>
        <w:t xml:space="preserve"> las medidas adoptadas para el fortalecimiento de las capacidades forenses de las entidades federativas</w:t>
      </w:r>
      <w:r w:rsidR="005B517A" w:rsidRPr="004E3E07">
        <w:rPr>
          <w:rFonts w:ascii="Cambria" w:eastAsia="Cambria" w:hAnsi="Cambria" w:cs="Cambria"/>
          <w:sz w:val="20"/>
          <w:szCs w:val="20"/>
          <w:lang w:val="es-MX"/>
        </w:rPr>
        <w:t xml:space="preserve"> relativas a </w:t>
      </w:r>
      <w:r w:rsidR="00E1004D" w:rsidRPr="004E3E07">
        <w:rPr>
          <w:rFonts w:ascii="Cambria" w:eastAsia="Cambria" w:hAnsi="Cambria" w:cs="Cambria"/>
          <w:sz w:val="20"/>
          <w:szCs w:val="20"/>
          <w:lang w:val="es-MX"/>
        </w:rPr>
        <w:t>la construcción de centros de identificación humana</w:t>
      </w:r>
      <w:r w:rsidR="005B517A" w:rsidRPr="004E3E07">
        <w:rPr>
          <w:rFonts w:ascii="Cambria" w:eastAsia="Cambria" w:hAnsi="Cambria" w:cs="Cambria"/>
          <w:sz w:val="20"/>
          <w:szCs w:val="20"/>
          <w:lang w:val="es-MX"/>
        </w:rPr>
        <w:t xml:space="preserve"> y </w:t>
      </w:r>
      <w:r w:rsidR="00E1004D" w:rsidRPr="004E3E07">
        <w:rPr>
          <w:rFonts w:ascii="Cambria" w:eastAsia="Cambria" w:hAnsi="Cambria" w:cs="Cambria"/>
          <w:sz w:val="20"/>
          <w:szCs w:val="20"/>
          <w:lang w:val="es-MX"/>
        </w:rPr>
        <w:t>re</w:t>
      </w:r>
      <w:r w:rsidR="00171438" w:rsidRPr="004E3E07">
        <w:rPr>
          <w:rFonts w:ascii="Cambria" w:eastAsia="Cambria" w:hAnsi="Cambria" w:cs="Cambria"/>
          <w:sz w:val="20"/>
          <w:szCs w:val="20"/>
          <w:lang w:val="es-MX"/>
        </w:rPr>
        <w:t>s</w:t>
      </w:r>
      <w:r w:rsidR="00E1004D" w:rsidRPr="004E3E07">
        <w:rPr>
          <w:rFonts w:ascii="Cambria" w:eastAsia="Cambria" w:hAnsi="Cambria" w:cs="Cambria"/>
          <w:sz w:val="20"/>
          <w:szCs w:val="20"/>
          <w:lang w:val="es-MX"/>
        </w:rPr>
        <w:t>guardo forense</w:t>
      </w:r>
      <w:r w:rsidR="008439A3" w:rsidRPr="004E3E07">
        <w:rPr>
          <w:rFonts w:ascii="Cambria" w:eastAsia="Cambria" w:hAnsi="Cambria" w:cs="Cambria"/>
          <w:sz w:val="20"/>
          <w:szCs w:val="20"/>
          <w:lang w:val="es-MX"/>
        </w:rPr>
        <w:t xml:space="preserve">. En particular, señaló </w:t>
      </w:r>
      <w:r w:rsidR="0020316C" w:rsidRPr="004E3E07">
        <w:rPr>
          <w:rFonts w:ascii="Cambria" w:eastAsia="Cambria" w:hAnsi="Cambria" w:cs="Cambria"/>
          <w:sz w:val="20"/>
          <w:szCs w:val="20"/>
          <w:lang w:val="es-MX"/>
        </w:rPr>
        <w:t xml:space="preserve">que </w:t>
      </w:r>
      <w:r w:rsidR="008439A3" w:rsidRPr="004E3E07">
        <w:rPr>
          <w:rFonts w:ascii="Cambria" w:eastAsia="Cambria" w:hAnsi="Cambria" w:cs="Cambria"/>
          <w:sz w:val="20"/>
          <w:szCs w:val="20"/>
          <w:lang w:val="es-MX"/>
        </w:rPr>
        <w:t>el Centro Regional de Identificación Humana en Coahuila está destinado a la identificación de personas desaparecidas con enfoque masivo, implementado con el asesoramiento técnico de la Fundación de Antropología Forense de Guatemala. Por otro lado, el Estado</w:t>
      </w:r>
      <w:r w:rsidR="0020316C" w:rsidRPr="004E3E07">
        <w:rPr>
          <w:rFonts w:ascii="Cambria" w:eastAsia="Cambria" w:hAnsi="Cambria" w:cs="Cambria"/>
          <w:sz w:val="20"/>
          <w:szCs w:val="20"/>
          <w:lang w:val="es-MX"/>
        </w:rPr>
        <w:t xml:space="preserve"> </w:t>
      </w:r>
      <w:r w:rsidR="005B517A" w:rsidRPr="004E3E07">
        <w:rPr>
          <w:rFonts w:ascii="Cambria" w:eastAsia="Cambria" w:hAnsi="Cambria" w:cs="Cambria"/>
          <w:sz w:val="20"/>
          <w:szCs w:val="20"/>
          <w:lang w:val="es-MX"/>
        </w:rPr>
        <w:t xml:space="preserve">reiteró </w:t>
      </w:r>
      <w:r w:rsidR="008439A3" w:rsidRPr="004E3E07">
        <w:rPr>
          <w:rFonts w:ascii="Cambria" w:eastAsia="Cambria" w:hAnsi="Cambria" w:cs="Cambria"/>
          <w:sz w:val="20"/>
          <w:szCs w:val="20"/>
          <w:lang w:val="es-MX"/>
        </w:rPr>
        <w:t>que ha reconocido oficialmente</w:t>
      </w:r>
      <w:r w:rsidR="00E354B8" w:rsidRPr="004E3E07">
        <w:rPr>
          <w:rFonts w:ascii="Cambria" w:eastAsia="Cambria" w:hAnsi="Cambria" w:cs="Cambria"/>
          <w:sz w:val="20"/>
          <w:szCs w:val="20"/>
          <w:lang w:val="es-MX"/>
        </w:rPr>
        <w:t xml:space="preserve"> </w:t>
      </w:r>
      <w:r w:rsidR="0020316C" w:rsidRPr="004E3E07">
        <w:rPr>
          <w:rFonts w:ascii="Cambria" w:eastAsia="Cambria" w:hAnsi="Cambria" w:cs="Cambria"/>
          <w:sz w:val="20"/>
          <w:szCs w:val="20"/>
          <w:lang w:val="es-MX"/>
        </w:rPr>
        <w:t xml:space="preserve">la </w:t>
      </w:r>
      <w:r w:rsidR="00E354B8" w:rsidRPr="004E3E07">
        <w:rPr>
          <w:rFonts w:ascii="Cambria" w:eastAsia="Cambria" w:hAnsi="Cambria" w:cs="Cambria"/>
          <w:sz w:val="20"/>
          <w:szCs w:val="20"/>
          <w:lang w:val="es-MX"/>
        </w:rPr>
        <w:t xml:space="preserve">crisis forense </w:t>
      </w:r>
      <w:r w:rsidR="008439A3" w:rsidRPr="004E3E07">
        <w:rPr>
          <w:rFonts w:ascii="Cambria" w:eastAsia="Cambria" w:hAnsi="Cambria" w:cs="Cambria"/>
          <w:sz w:val="20"/>
          <w:szCs w:val="20"/>
          <w:lang w:val="es-MX"/>
        </w:rPr>
        <w:t xml:space="preserve">que atraviesa </w:t>
      </w:r>
      <w:r w:rsidR="005B517A" w:rsidRPr="004E3E07">
        <w:rPr>
          <w:rFonts w:ascii="Cambria" w:eastAsia="Cambria" w:hAnsi="Cambria" w:cs="Cambria"/>
          <w:sz w:val="20"/>
          <w:szCs w:val="20"/>
          <w:lang w:val="es-MX"/>
        </w:rPr>
        <w:t>Méxic</w:t>
      </w:r>
      <w:r w:rsidR="00171438" w:rsidRPr="004E3E07">
        <w:rPr>
          <w:rFonts w:ascii="Cambria" w:eastAsia="Cambria" w:hAnsi="Cambria" w:cs="Cambria"/>
          <w:sz w:val="20"/>
          <w:szCs w:val="20"/>
          <w:lang w:val="es-MX"/>
        </w:rPr>
        <w:t>o</w:t>
      </w:r>
      <w:r w:rsidR="008439A3" w:rsidRPr="004E3E07">
        <w:rPr>
          <w:rFonts w:ascii="Cambria" w:eastAsia="Cambria" w:hAnsi="Cambria" w:cs="Cambria"/>
          <w:sz w:val="20"/>
          <w:szCs w:val="20"/>
          <w:lang w:val="es-MX"/>
        </w:rPr>
        <w:t>, aunado a que adoptó las medidas necesarias</w:t>
      </w:r>
      <w:r w:rsidR="0020316C" w:rsidRPr="004E3E07">
        <w:rPr>
          <w:rFonts w:ascii="Cambria" w:eastAsia="Cambria" w:hAnsi="Cambria" w:cs="Cambria"/>
          <w:sz w:val="20"/>
          <w:szCs w:val="20"/>
          <w:lang w:val="es-MX"/>
        </w:rPr>
        <w:t xml:space="preserve"> </w:t>
      </w:r>
      <w:r w:rsidR="008439A3" w:rsidRPr="004E3E07">
        <w:rPr>
          <w:rFonts w:ascii="Symbol" w:eastAsia="Symbol" w:hAnsi="Symbol" w:cs="Symbol"/>
          <w:sz w:val="20"/>
          <w:szCs w:val="20"/>
          <w:lang w:val="es-MX"/>
        </w:rPr>
        <w:t></w:t>
      </w:r>
      <w:r w:rsidR="008439A3" w:rsidRPr="004E3E07">
        <w:rPr>
          <w:rFonts w:ascii="Cambria" w:eastAsia="Cambria" w:hAnsi="Cambria" w:cs="Cambria"/>
          <w:sz w:val="20"/>
          <w:szCs w:val="20"/>
          <w:lang w:val="es-MX"/>
        </w:rPr>
        <w:t>en coordinación con familiares y sociedad civil</w:t>
      </w:r>
      <w:r w:rsidR="008439A3" w:rsidRPr="004E3E07">
        <w:rPr>
          <w:rFonts w:ascii="Symbol" w:eastAsia="Symbol" w:hAnsi="Symbol" w:cs="Symbol"/>
          <w:sz w:val="20"/>
          <w:szCs w:val="20"/>
          <w:lang w:val="es-MX"/>
        </w:rPr>
        <w:t></w:t>
      </w:r>
      <w:r w:rsidR="008439A3" w:rsidRPr="004E3E07">
        <w:rPr>
          <w:rFonts w:ascii="Cambria" w:eastAsia="Cambria" w:hAnsi="Cambria" w:cs="Cambria"/>
          <w:sz w:val="20"/>
          <w:szCs w:val="20"/>
          <w:lang w:val="es-MX"/>
        </w:rPr>
        <w:t xml:space="preserve"> para lograr</w:t>
      </w:r>
      <w:r w:rsidR="0020316C" w:rsidRPr="004E3E07">
        <w:rPr>
          <w:rFonts w:ascii="Cambria" w:eastAsia="Cambria" w:hAnsi="Cambria" w:cs="Cambria"/>
          <w:sz w:val="20"/>
          <w:szCs w:val="20"/>
          <w:lang w:val="es-MX"/>
        </w:rPr>
        <w:t xml:space="preserve"> </w:t>
      </w:r>
      <w:r w:rsidR="005B517A" w:rsidRPr="004E3E07">
        <w:rPr>
          <w:rFonts w:ascii="Cambria" w:eastAsia="Cambria" w:hAnsi="Cambria" w:cs="Cambria"/>
          <w:sz w:val="20"/>
          <w:szCs w:val="20"/>
          <w:lang w:val="es-MX"/>
        </w:rPr>
        <w:t xml:space="preserve">la </w:t>
      </w:r>
      <w:r w:rsidR="0020316C" w:rsidRPr="004E3E07">
        <w:rPr>
          <w:rFonts w:ascii="Cambria" w:eastAsia="Cambria" w:hAnsi="Cambria" w:cs="Cambria"/>
          <w:sz w:val="20"/>
          <w:szCs w:val="20"/>
          <w:lang w:val="es-MX"/>
        </w:rPr>
        <w:t>efectiva instalación y entrada en funciones</w:t>
      </w:r>
      <w:r w:rsidR="005B517A" w:rsidRPr="004E3E07">
        <w:rPr>
          <w:rFonts w:ascii="Cambria" w:eastAsia="Cambria" w:hAnsi="Cambria" w:cs="Cambria"/>
          <w:sz w:val="20"/>
          <w:szCs w:val="20"/>
          <w:lang w:val="es-MX"/>
        </w:rPr>
        <w:t xml:space="preserve"> del MEIF</w:t>
      </w:r>
      <w:r w:rsidR="008439A3" w:rsidRPr="004E3E07">
        <w:rPr>
          <w:rFonts w:ascii="Cambria" w:eastAsia="Cambria" w:hAnsi="Cambria" w:cs="Cambria"/>
          <w:sz w:val="20"/>
          <w:szCs w:val="20"/>
          <w:lang w:val="es-MX"/>
        </w:rPr>
        <w:t xml:space="preserve"> durante el presente año</w:t>
      </w:r>
      <w:r w:rsidR="005B517A" w:rsidRPr="004E3E07">
        <w:rPr>
          <w:rStyle w:val="FootnoteReference"/>
          <w:rFonts w:ascii="Cambria" w:eastAsia="Cambria" w:hAnsi="Cambria" w:cs="Cambria"/>
          <w:sz w:val="20"/>
          <w:szCs w:val="20"/>
          <w:lang w:val="es-MX"/>
        </w:rPr>
        <w:footnoteReference w:id="166"/>
      </w:r>
      <w:r w:rsidR="005B517A" w:rsidRPr="004E3E07">
        <w:rPr>
          <w:rFonts w:ascii="Cambria" w:eastAsia="Cambria" w:hAnsi="Cambria" w:cs="Cambria"/>
          <w:sz w:val="20"/>
          <w:szCs w:val="20"/>
          <w:lang w:val="es-MX"/>
        </w:rPr>
        <w:t>.</w:t>
      </w:r>
      <w:r w:rsidR="00E1004D" w:rsidRPr="004E3E07">
        <w:rPr>
          <w:rFonts w:ascii="Cambria" w:eastAsia="Cambria" w:hAnsi="Cambria" w:cs="Cambria"/>
          <w:sz w:val="20"/>
          <w:szCs w:val="20"/>
          <w:lang w:val="es-MX"/>
        </w:rPr>
        <w:t xml:space="preserve"> </w:t>
      </w:r>
      <w:r w:rsidRPr="004E3E07">
        <w:rPr>
          <w:rFonts w:ascii="Cambria" w:eastAsia="Cambria" w:hAnsi="Cambria" w:cs="Cambria"/>
          <w:sz w:val="20"/>
          <w:szCs w:val="20"/>
          <w:lang w:val="es-MX"/>
        </w:rPr>
        <w:t xml:space="preserve">Respecto de este asunto, la CIDH se remite a sus observaciones </w:t>
      </w:r>
      <w:r w:rsidR="008439A3" w:rsidRPr="004E3E07">
        <w:rPr>
          <w:rFonts w:ascii="Cambria" w:eastAsia="Cambria" w:hAnsi="Cambria" w:cs="Cambria"/>
          <w:sz w:val="20"/>
          <w:szCs w:val="20"/>
          <w:lang w:val="es-MX"/>
        </w:rPr>
        <w:t>sobre</w:t>
      </w:r>
      <w:r w:rsidRPr="004E3E07">
        <w:rPr>
          <w:rFonts w:ascii="Cambria" w:eastAsia="Cambria" w:hAnsi="Cambria" w:cs="Cambria"/>
          <w:sz w:val="20"/>
          <w:szCs w:val="20"/>
          <w:lang w:val="es-MX"/>
        </w:rPr>
        <w:t xml:space="preserve"> los avances para el inicio de funciones del MEIF</w:t>
      </w:r>
      <w:r w:rsidR="008439A3" w:rsidRPr="004E3E07">
        <w:rPr>
          <w:rFonts w:ascii="Cambria" w:eastAsia="Cambria" w:hAnsi="Cambria" w:cs="Cambria"/>
          <w:sz w:val="20"/>
          <w:szCs w:val="20"/>
          <w:lang w:val="es-MX"/>
        </w:rPr>
        <w:t>, y el fortalecimiento de las capacidades forenses a nivel nacional</w:t>
      </w:r>
      <w:r w:rsidR="00441FEA">
        <w:rPr>
          <w:rFonts w:ascii="Cambria" w:eastAsia="Cambria" w:hAnsi="Cambria" w:cs="Cambria"/>
          <w:sz w:val="20"/>
          <w:szCs w:val="20"/>
          <w:lang w:val="es-MX"/>
        </w:rPr>
        <w:t>,</w:t>
      </w:r>
    </w:p>
    <w:p w14:paraId="146069DF" w14:textId="371AE6D1" w:rsidR="002277F5" w:rsidRPr="004E3E07" w:rsidRDefault="003B6E92" w:rsidP="00BE1C9B">
      <w:pPr>
        <w:numPr>
          <w:ilvl w:val="0"/>
          <w:numId w:val="5"/>
        </w:numPr>
        <w:shd w:val="clear" w:color="auto" w:fill="FFFFFF"/>
        <w:spacing w:after="240" w:line="240" w:lineRule="auto"/>
        <w:ind w:left="0" w:firstLine="720"/>
        <w:jc w:val="both"/>
        <w:rPr>
          <w:rFonts w:ascii="Cambria" w:eastAsia="Cambria" w:hAnsi="Cambria" w:cs="Cambria"/>
          <w:sz w:val="20"/>
          <w:szCs w:val="20"/>
          <w:lang w:val="es-MX"/>
        </w:rPr>
      </w:pPr>
      <w:r w:rsidRPr="004E3E07">
        <w:rPr>
          <w:rFonts w:ascii="Cambria" w:eastAsia="Cambria" w:hAnsi="Cambria" w:cs="Cambria"/>
          <w:sz w:val="20"/>
          <w:szCs w:val="20"/>
          <w:lang w:val="es-MX"/>
        </w:rPr>
        <w:t>La CIDH celebra los esfuerzos estatales para impulsar el funcionamiento del MEIF, así como la construcción de infraestructura y equipamiento necesario para atender la crisis de identificación forense en México. Sin embargo</w:t>
      </w:r>
      <w:r w:rsidR="009E339E" w:rsidRPr="004E3E07">
        <w:rPr>
          <w:rFonts w:ascii="Cambria" w:eastAsia="Cambria" w:hAnsi="Cambria" w:cs="Cambria"/>
          <w:sz w:val="20"/>
          <w:szCs w:val="20"/>
          <w:lang w:val="es-MX"/>
        </w:rPr>
        <w:t xml:space="preserve">, </w:t>
      </w:r>
      <w:r w:rsidR="0020316C" w:rsidRPr="004E3E07">
        <w:rPr>
          <w:rFonts w:ascii="Cambria" w:eastAsia="Cambria" w:hAnsi="Cambria" w:cs="Cambria"/>
          <w:sz w:val="20"/>
          <w:szCs w:val="20"/>
          <w:lang w:val="es-MX"/>
        </w:rPr>
        <w:t xml:space="preserve">la Comisión observa que </w:t>
      </w:r>
      <w:r w:rsidR="007E25FF" w:rsidRPr="004E3E07">
        <w:rPr>
          <w:rFonts w:ascii="Cambria" w:eastAsia="Cambria" w:hAnsi="Cambria" w:cs="Cambria"/>
          <w:sz w:val="20"/>
          <w:szCs w:val="20"/>
          <w:lang w:val="es-MX"/>
        </w:rPr>
        <w:t xml:space="preserve">el mandato del MEIF </w:t>
      </w:r>
      <w:r w:rsidRPr="004E3E07">
        <w:rPr>
          <w:rFonts w:ascii="Cambria" w:eastAsia="Cambria" w:hAnsi="Cambria" w:cs="Cambria"/>
          <w:sz w:val="20"/>
          <w:szCs w:val="20"/>
          <w:lang w:val="es-MX"/>
        </w:rPr>
        <w:t>es de carácter extraordinario</w:t>
      </w:r>
      <w:r w:rsidR="00736E75">
        <w:rPr>
          <w:rFonts w:ascii="Cambria" w:eastAsia="Cambria" w:hAnsi="Cambria" w:cs="Cambria"/>
          <w:sz w:val="20"/>
          <w:szCs w:val="20"/>
          <w:lang w:val="es-MX"/>
        </w:rPr>
        <w:t xml:space="preserve"> y temporal</w:t>
      </w:r>
      <w:r w:rsidRPr="004E3E07">
        <w:rPr>
          <w:rFonts w:ascii="Cambria" w:eastAsia="Cambria" w:hAnsi="Cambria" w:cs="Cambria"/>
          <w:sz w:val="20"/>
          <w:szCs w:val="20"/>
          <w:lang w:val="es-MX"/>
        </w:rPr>
        <w:t xml:space="preserve">, por lo que </w:t>
      </w:r>
      <w:r w:rsidR="007E25FF" w:rsidRPr="004E3E07">
        <w:rPr>
          <w:rFonts w:ascii="Cambria" w:eastAsia="Cambria" w:hAnsi="Cambria" w:cs="Cambria"/>
          <w:sz w:val="20"/>
          <w:szCs w:val="20"/>
          <w:lang w:val="es-MX"/>
        </w:rPr>
        <w:t xml:space="preserve">no representa la creación de una institución </w:t>
      </w:r>
      <w:r w:rsidRPr="004E3E07">
        <w:rPr>
          <w:rFonts w:ascii="Cambria" w:eastAsia="Cambria" w:hAnsi="Cambria" w:cs="Cambria"/>
          <w:sz w:val="20"/>
          <w:szCs w:val="20"/>
          <w:lang w:val="es-MX"/>
        </w:rPr>
        <w:t xml:space="preserve">nacional </w:t>
      </w:r>
      <w:r w:rsidR="007E25FF" w:rsidRPr="004E3E07">
        <w:rPr>
          <w:rFonts w:ascii="Cambria" w:eastAsia="Cambria" w:hAnsi="Cambria" w:cs="Cambria"/>
          <w:sz w:val="20"/>
          <w:szCs w:val="20"/>
          <w:lang w:val="es-MX"/>
        </w:rPr>
        <w:t>autónoma para las labores forenses incluidas en las dos recomendaciones bajo análisis.</w:t>
      </w:r>
      <w:r w:rsidR="009E339E" w:rsidRPr="004E3E07">
        <w:rPr>
          <w:rFonts w:ascii="Cambria" w:eastAsia="Cambria" w:hAnsi="Cambria" w:cs="Cambria"/>
          <w:sz w:val="20"/>
          <w:szCs w:val="20"/>
          <w:lang w:val="es-MX"/>
        </w:rPr>
        <w:t xml:space="preserve"> </w:t>
      </w:r>
      <w:r w:rsidR="00372330" w:rsidRPr="004E3E07">
        <w:rPr>
          <w:rFonts w:ascii="Cambria" w:eastAsia="Cambria" w:hAnsi="Cambria" w:cs="Cambria"/>
          <w:sz w:val="20"/>
          <w:szCs w:val="20"/>
          <w:lang w:val="es-MX"/>
        </w:rPr>
        <w:t>Al respecto, en su</w:t>
      </w:r>
      <w:r w:rsidR="009E339E" w:rsidRPr="004E3E07">
        <w:rPr>
          <w:rFonts w:ascii="Cambria" w:eastAsia="Cambria" w:hAnsi="Cambria" w:cs="Cambria"/>
          <w:sz w:val="20"/>
          <w:szCs w:val="20"/>
          <w:lang w:val="es-MX"/>
        </w:rPr>
        <w:t xml:space="preserve"> informe </w:t>
      </w:r>
      <w:r w:rsidRPr="004E3E07">
        <w:rPr>
          <w:rFonts w:ascii="Cambria" w:eastAsia="Cambria" w:hAnsi="Cambria" w:cs="Cambria"/>
          <w:sz w:val="20"/>
          <w:szCs w:val="20"/>
          <w:lang w:val="es-MX"/>
        </w:rPr>
        <w:t>de 2015</w:t>
      </w:r>
      <w:r w:rsidR="009E339E" w:rsidRPr="004E3E07">
        <w:rPr>
          <w:rFonts w:ascii="Cambria" w:eastAsia="Cambria" w:hAnsi="Cambria" w:cs="Cambria"/>
          <w:sz w:val="20"/>
          <w:szCs w:val="20"/>
          <w:lang w:val="es-MX"/>
        </w:rPr>
        <w:t>, la CIDH</w:t>
      </w:r>
      <w:r w:rsidR="00372330" w:rsidRPr="004E3E07">
        <w:rPr>
          <w:rFonts w:ascii="Cambria" w:eastAsia="Cambria" w:hAnsi="Cambria" w:cs="Cambria"/>
          <w:sz w:val="20"/>
          <w:szCs w:val="20"/>
          <w:lang w:val="es-MX"/>
        </w:rPr>
        <w:t xml:space="preserve"> </w:t>
      </w:r>
      <w:r w:rsidR="00372330" w:rsidRPr="004E3E07">
        <w:rPr>
          <w:rStyle w:val="normaltextrun"/>
          <w:rFonts w:ascii="Cambria" w:hAnsi="Cambria"/>
          <w:sz w:val="20"/>
          <w:szCs w:val="20"/>
          <w:shd w:val="clear" w:color="auto" w:fill="FFFFFF"/>
          <w:lang w:val="es-MX"/>
        </w:rPr>
        <w:t>observó que la dependencia de las instituciones periciales y forenses a los órganos de procuración de justicia representaba un problema estructural que dificulta la búsqueda de personas y el desarrollo de investigaciones exhaustivas, oportunas e imparciales</w:t>
      </w:r>
      <w:r w:rsidR="00372330" w:rsidRPr="004E3E07">
        <w:rPr>
          <w:rStyle w:val="FootnoteReference"/>
          <w:rFonts w:ascii="Cambria" w:hAnsi="Cambria"/>
          <w:sz w:val="20"/>
          <w:szCs w:val="20"/>
          <w:shd w:val="clear" w:color="auto" w:fill="FFFFFF"/>
          <w:lang w:val="es-MX"/>
        </w:rPr>
        <w:footnoteReference w:id="167"/>
      </w:r>
      <w:r w:rsidR="00372330" w:rsidRPr="004E3E07">
        <w:rPr>
          <w:rStyle w:val="normaltextrun"/>
          <w:rFonts w:ascii="Cambria" w:hAnsi="Cambria"/>
          <w:sz w:val="20"/>
          <w:szCs w:val="20"/>
          <w:shd w:val="clear" w:color="auto" w:fill="FFFFFF"/>
          <w:lang w:val="es-MX"/>
        </w:rPr>
        <w:t xml:space="preserve">. En </w:t>
      </w:r>
      <w:r w:rsidR="00E932E1" w:rsidRPr="004E3E07">
        <w:rPr>
          <w:rStyle w:val="normaltextrun"/>
          <w:rFonts w:ascii="Cambria" w:hAnsi="Cambria"/>
          <w:sz w:val="20"/>
          <w:szCs w:val="20"/>
          <w:shd w:val="clear" w:color="auto" w:fill="FFFFFF"/>
          <w:lang w:val="es-MX"/>
        </w:rPr>
        <w:t>estos términos</w:t>
      </w:r>
      <w:r w:rsidR="00372330" w:rsidRPr="004E3E07">
        <w:rPr>
          <w:rStyle w:val="normaltextrun"/>
          <w:rFonts w:ascii="Cambria" w:hAnsi="Cambria"/>
          <w:sz w:val="20"/>
          <w:szCs w:val="20"/>
          <w:shd w:val="clear" w:color="auto" w:fill="FFFFFF"/>
          <w:lang w:val="es-MX"/>
        </w:rPr>
        <w:t xml:space="preserve">, la Comisión entiende que </w:t>
      </w:r>
      <w:r w:rsidR="00171438" w:rsidRPr="004E3E07">
        <w:rPr>
          <w:rStyle w:val="normaltextrun"/>
          <w:rFonts w:ascii="Cambria" w:hAnsi="Cambria"/>
          <w:sz w:val="20"/>
          <w:szCs w:val="20"/>
          <w:shd w:val="clear" w:color="auto" w:fill="FFFFFF"/>
          <w:lang w:val="es-MX"/>
        </w:rPr>
        <w:t>el cumplimiento de la</w:t>
      </w:r>
      <w:r w:rsidR="00372330" w:rsidRPr="004E3E07">
        <w:rPr>
          <w:rStyle w:val="normaltextrun"/>
          <w:rFonts w:ascii="Cambria" w:hAnsi="Cambria"/>
          <w:sz w:val="20"/>
          <w:szCs w:val="20"/>
          <w:shd w:val="clear" w:color="auto" w:fill="FFFFFF"/>
          <w:lang w:val="es-MX"/>
        </w:rPr>
        <w:t xml:space="preserve"> recomendación en cuestión</w:t>
      </w:r>
      <w:r w:rsidR="00171438" w:rsidRPr="004E3E07">
        <w:rPr>
          <w:rStyle w:val="normaltextrun"/>
          <w:rFonts w:ascii="Cambria" w:hAnsi="Cambria"/>
          <w:sz w:val="20"/>
          <w:szCs w:val="20"/>
          <w:shd w:val="clear" w:color="auto" w:fill="FFFFFF"/>
          <w:lang w:val="es-MX"/>
        </w:rPr>
        <w:t xml:space="preserve"> implicaría</w:t>
      </w:r>
      <w:r w:rsidR="00372330" w:rsidRPr="004E3E07">
        <w:rPr>
          <w:rStyle w:val="normaltextrun"/>
          <w:rFonts w:ascii="Cambria" w:hAnsi="Cambria"/>
          <w:sz w:val="20"/>
          <w:szCs w:val="20"/>
          <w:shd w:val="clear" w:color="auto" w:fill="FFFFFF"/>
          <w:lang w:val="es-MX"/>
        </w:rPr>
        <w:t xml:space="preserve"> la creación de una institución nacional de servicios forenses </w:t>
      </w:r>
      <w:r w:rsidR="00171438" w:rsidRPr="004E3E07">
        <w:rPr>
          <w:rStyle w:val="normaltextrun"/>
          <w:rFonts w:ascii="Cambria" w:hAnsi="Cambria"/>
          <w:sz w:val="20"/>
          <w:szCs w:val="20"/>
          <w:shd w:val="clear" w:color="auto" w:fill="FFFFFF"/>
          <w:lang w:val="es-MX"/>
        </w:rPr>
        <w:t>independiente</w:t>
      </w:r>
      <w:r w:rsidR="00372330" w:rsidRPr="004E3E07">
        <w:rPr>
          <w:rStyle w:val="normaltextrun"/>
          <w:rFonts w:ascii="Cambria" w:hAnsi="Cambria"/>
          <w:sz w:val="20"/>
          <w:szCs w:val="20"/>
          <w:shd w:val="clear" w:color="auto" w:fill="FFFFFF"/>
          <w:lang w:val="es-MX"/>
        </w:rPr>
        <w:t xml:space="preserve"> de los órganos de procuración de justicia </w:t>
      </w:r>
      <w:r w:rsidRPr="004E3E07">
        <w:rPr>
          <w:rStyle w:val="normaltextrun"/>
          <w:rFonts w:ascii="Cambria" w:hAnsi="Cambria"/>
          <w:sz w:val="20"/>
          <w:szCs w:val="20"/>
          <w:shd w:val="clear" w:color="auto" w:fill="FFFFFF"/>
          <w:lang w:val="es-MX"/>
        </w:rPr>
        <w:t>y</w:t>
      </w:r>
      <w:r w:rsidR="00372330" w:rsidRPr="004E3E07">
        <w:rPr>
          <w:rStyle w:val="normaltextrun"/>
          <w:rFonts w:ascii="Cambria" w:hAnsi="Cambria"/>
          <w:sz w:val="20"/>
          <w:szCs w:val="20"/>
          <w:shd w:val="clear" w:color="auto" w:fill="FFFFFF"/>
          <w:lang w:val="es-MX"/>
        </w:rPr>
        <w:t xml:space="preserve"> </w:t>
      </w:r>
      <w:r w:rsidRPr="004E3E07">
        <w:rPr>
          <w:rStyle w:val="normaltextrun"/>
          <w:rFonts w:ascii="Cambria" w:hAnsi="Cambria"/>
          <w:sz w:val="20"/>
          <w:szCs w:val="20"/>
          <w:shd w:val="clear" w:color="auto" w:fill="FFFFFF"/>
          <w:lang w:val="es-MX"/>
        </w:rPr>
        <w:t xml:space="preserve">de administración de justicia y, en su caso, la creación de las instituciones homólogas </w:t>
      </w:r>
      <w:r w:rsidR="00736E75">
        <w:rPr>
          <w:rStyle w:val="normaltextrun"/>
          <w:rFonts w:ascii="Cambria" w:hAnsi="Cambria"/>
          <w:sz w:val="20"/>
          <w:szCs w:val="20"/>
          <w:shd w:val="clear" w:color="auto" w:fill="FFFFFF"/>
          <w:lang w:val="es-MX"/>
        </w:rPr>
        <w:t>en el ámbito estatal</w:t>
      </w:r>
      <w:r w:rsidR="00372330" w:rsidRPr="004E3E07">
        <w:rPr>
          <w:rStyle w:val="normaltextrun"/>
          <w:rFonts w:ascii="Cambria" w:hAnsi="Cambria"/>
          <w:sz w:val="20"/>
          <w:szCs w:val="20"/>
          <w:shd w:val="clear" w:color="auto" w:fill="FFFFFF"/>
          <w:lang w:val="es-MX"/>
        </w:rPr>
        <w:t xml:space="preserve">. </w:t>
      </w:r>
      <w:r w:rsidR="007E25FF" w:rsidRPr="004E3E07">
        <w:rPr>
          <w:rFonts w:ascii="Cambria" w:eastAsia="Cambria" w:hAnsi="Cambria" w:cs="Cambria"/>
          <w:sz w:val="20"/>
          <w:szCs w:val="20"/>
          <w:lang w:val="es-MX"/>
        </w:rPr>
        <w:t xml:space="preserve">En virtud de lo anterior, la CIDH considera que </w:t>
      </w:r>
      <w:r w:rsidR="00A90646">
        <w:rPr>
          <w:rFonts w:ascii="Cambria" w:eastAsia="Cambria" w:hAnsi="Cambria" w:cs="Cambria"/>
          <w:sz w:val="20"/>
          <w:szCs w:val="20"/>
          <w:lang w:val="es-MX"/>
        </w:rPr>
        <w:t>ambas recomendaciones</w:t>
      </w:r>
      <w:r w:rsidR="007E25FF" w:rsidRPr="004E3E07">
        <w:rPr>
          <w:rFonts w:ascii="Cambria" w:eastAsia="Cambria" w:hAnsi="Cambria" w:cs="Cambria"/>
          <w:sz w:val="20"/>
          <w:szCs w:val="20"/>
          <w:lang w:val="es-MX"/>
        </w:rPr>
        <w:t xml:space="preserve"> se encuentra</w:t>
      </w:r>
      <w:r w:rsidR="00A90646">
        <w:rPr>
          <w:rFonts w:ascii="Cambria" w:eastAsia="Cambria" w:hAnsi="Cambria" w:cs="Cambria"/>
          <w:sz w:val="20"/>
          <w:szCs w:val="20"/>
          <w:lang w:val="es-MX"/>
        </w:rPr>
        <w:t>n</w:t>
      </w:r>
      <w:r w:rsidR="007E25FF" w:rsidRPr="004E3E07">
        <w:rPr>
          <w:rFonts w:ascii="Cambria" w:eastAsia="Cambria" w:hAnsi="Cambria" w:cs="Cambria"/>
          <w:sz w:val="20"/>
          <w:szCs w:val="20"/>
          <w:lang w:val="es-MX"/>
        </w:rPr>
        <w:t xml:space="preserve"> pendiente</w:t>
      </w:r>
      <w:r w:rsidR="00A90646">
        <w:rPr>
          <w:rFonts w:ascii="Cambria" w:eastAsia="Cambria" w:hAnsi="Cambria" w:cs="Cambria"/>
          <w:sz w:val="20"/>
          <w:szCs w:val="20"/>
          <w:lang w:val="es-MX"/>
        </w:rPr>
        <w:t>s</w:t>
      </w:r>
      <w:r w:rsidR="007E25FF" w:rsidRPr="004E3E07">
        <w:rPr>
          <w:rFonts w:ascii="Cambria" w:eastAsia="Cambria" w:hAnsi="Cambria" w:cs="Cambria"/>
          <w:sz w:val="20"/>
          <w:szCs w:val="20"/>
          <w:lang w:val="es-MX"/>
        </w:rPr>
        <w:t xml:space="preserve"> de cumplimiento.</w:t>
      </w:r>
    </w:p>
    <w:p w14:paraId="2E900B42" w14:textId="14D4A047" w:rsidR="00370D21" w:rsidRPr="004E3E07" w:rsidRDefault="007E25FF" w:rsidP="00556AD7">
      <w:pPr>
        <w:numPr>
          <w:ilvl w:val="0"/>
          <w:numId w:val="5"/>
        </w:numPr>
        <w:spacing w:after="240" w:line="240" w:lineRule="auto"/>
        <w:ind w:left="0" w:firstLine="720"/>
        <w:jc w:val="both"/>
        <w:rPr>
          <w:rFonts w:ascii="Cambria" w:eastAsia="Cambria" w:hAnsi="Cambria" w:cs="Cambria"/>
          <w:b/>
          <w:bCs/>
          <w:sz w:val="20"/>
          <w:lang w:val="es-MX"/>
        </w:rPr>
      </w:pPr>
      <w:r w:rsidRPr="004E3E07">
        <w:rPr>
          <w:rFonts w:ascii="Cambria" w:eastAsia="Cambria" w:hAnsi="Cambria" w:cs="Cambria"/>
          <w:sz w:val="20"/>
          <w:szCs w:val="20"/>
          <w:lang w:val="es-MX"/>
        </w:rPr>
        <w:t xml:space="preserve">En relación con la </w:t>
      </w:r>
      <w:r w:rsidRPr="004E3E07">
        <w:rPr>
          <w:rFonts w:ascii="Cambria" w:eastAsia="Cambria" w:hAnsi="Cambria" w:cs="Cambria"/>
          <w:b/>
          <w:bCs/>
          <w:sz w:val="20"/>
          <w:szCs w:val="20"/>
          <w:lang w:val="es-MX"/>
        </w:rPr>
        <w:t xml:space="preserve">continuación y profundización del trabajo de la Comisión Forense para la Identificación de Restos encontrados en las rutas migratorias </w:t>
      </w:r>
      <w:r w:rsidRPr="004E3E07">
        <w:rPr>
          <w:rFonts w:ascii="Cambria" w:eastAsia="Cambria" w:hAnsi="Cambria" w:cs="Cambria"/>
          <w:sz w:val="20"/>
          <w:szCs w:val="20"/>
          <w:lang w:val="es-MX"/>
        </w:rPr>
        <w:t xml:space="preserve">y </w:t>
      </w:r>
      <w:r w:rsidRPr="004E3E07">
        <w:rPr>
          <w:rFonts w:ascii="Cambria" w:eastAsia="Cambria" w:hAnsi="Cambria" w:cs="Cambria"/>
          <w:b/>
          <w:bCs/>
          <w:sz w:val="20"/>
          <w:szCs w:val="20"/>
          <w:lang w:val="es-MX"/>
        </w:rPr>
        <w:t xml:space="preserve">adoptar medidas para la creación del Mecanismo Transnacional de Acceso a la Justicia para la Migrantes y sus Familias </w:t>
      </w:r>
      <w:r w:rsidRPr="004E3E07">
        <w:rPr>
          <w:rFonts w:ascii="Cambria" w:eastAsia="Cambria" w:hAnsi="Cambria" w:cs="Cambria"/>
          <w:sz w:val="20"/>
          <w:szCs w:val="20"/>
          <w:lang w:val="es-MX"/>
        </w:rPr>
        <w:t xml:space="preserve">el Estado </w:t>
      </w:r>
      <w:r w:rsidR="00BD4806" w:rsidRPr="004E3E07">
        <w:rPr>
          <w:rFonts w:ascii="Cambria" w:eastAsia="Cambria" w:hAnsi="Cambria" w:cs="Cambria"/>
          <w:sz w:val="20"/>
          <w:szCs w:val="20"/>
          <w:lang w:val="es-MX"/>
        </w:rPr>
        <w:t>reiteró la información remitida en años anteriores, manifestando que el</w:t>
      </w:r>
      <w:r w:rsidRPr="004E3E07">
        <w:rPr>
          <w:rFonts w:ascii="Cambria" w:eastAsia="Cambria" w:hAnsi="Cambria" w:cs="Cambria"/>
          <w:sz w:val="20"/>
          <w:szCs w:val="20"/>
          <w:lang w:val="es-MX"/>
        </w:rPr>
        <w:t xml:space="preserve"> convenio de creación de la Comisión Forense seguiría vigente</w:t>
      </w:r>
      <w:r w:rsidR="00BD4806" w:rsidRPr="004E3E07">
        <w:rPr>
          <w:rFonts w:ascii="Cambria" w:eastAsia="Cambria" w:hAnsi="Cambria" w:cs="Cambria"/>
          <w:sz w:val="20"/>
          <w:szCs w:val="20"/>
          <w:lang w:val="es-MX"/>
        </w:rPr>
        <w:t xml:space="preserve"> en virtud de que ninguna de las partes ha manifestado su voluntad de darlo por concluido, además que el objeto del convenio subsiste</w:t>
      </w:r>
      <w:r w:rsidR="00BD4806" w:rsidRPr="004E3E07">
        <w:rPr>
          <w:rStyle w:val="FootnoteReference"/>
          <w:rFonts w:ascii="Cambria" w:eastAsia="Cambria" w:hAnsi="Cambria" w:cs="Cambria"/>
          <w:sz w:val="20"/>
          <w:szCs w:val="20"/>
          <w:lang w:val="es-MX"/>
        </w:rPr>
        <w:footnoteReference w:id="168"/>
      </w:r>
      <w:r w:rsidR="00BD4806" w:rsidRPr="004E3E07">
        <w:rPr>
          <w:rFonts w:ascii="Cambria" w:eastAsia="Cambria" w:hAnsi="Cambria" w:cs="Cambria"/>
          <w:sz w:val="20"/>
          <w:szCs w:val="20"/>
          <w:lang w:val="es-MX"/>
        </w:rPr>
        <w:t xml:space="preserve">. </w:t>
      </w:r>
      <w:r w:rsidR="00EC5C65" w:rsidRPr="004E3E07">
        <w:rPr>
          <w:rFonts w:ascii="Cambria" w:eastAsia="Cambria" w:hAnsi="Cambria" w:cs="Cambria"/>
          <w:sz w:val="20"/>
          <w:szCs w:val="20"/>
          <w:lang w:val="es-MX"/>
        </w:rPr>
        <w:t>Por otro lado, l</w:t>
      </w:r>
      <w:r w:rsidR="00D711F5" w:rsidRPr="004E3E07">
        <w:rPr>
          <w:rFonts w:ascii="Cambria" w:eastAsia="Cambria" w:hAnsi="Cambria" w:cs="Cambria"/>
          <w:sz w:val="20"/>
          <w:szCs w:val="20"/>
          <w:lang w:val="es-MX"/>
        </w:rPr>
        <w:t xml:space="preserve">a Comisión </w:t>
      </w:r>
      <w:r w:rsidR="00736E75">
        <w:rPr>
          <w:rFonts w:ascii="Cambria" w:eastAsia="Cambria" w:hAnsi="Cambria" w:cs="Cambria"/>
          <w:sz w:val="20"/>
          <w:szCs w:val="20"/>
          <w:lang w:val="es-MX"/>
        </w:rPr>
        <w:t xml:space="preserve">reitera su </w:t>
      </w:r>
      <w:r w:rsidR="00D711F5" w:rsidRPr="004E3E07">
        <w:rPr>
          <w:rFonts w:ascii="Cambria" w:eastAsia="Cambria" w:hAnsi="Cambria" w:cs="Cambria"/>
          <w:sz w:val="20"/>
          <w:szCs w:val="20"/>
          <w:lang w:val="es-MX"/>
        </w:rPr>
        <w:t xml:space="preserve">preocupación </w:t>
      </w:r>
      <w:r w:rsidR="00736E75">
        <w:rPr>
          <w:rFonts w:ascii="Cambria" w:eastAsia="Cambria" w:hAnsi="Cambria" w:cs="Cambria"/>
          <w:sz w:val="20"/>
          <w:szCs w:val="20"/>
          <w:lang w:val="es-MX"/>
        </w:rPr>
        <w:t>respecto de que</w:t>
      </w:r>
      <w:r w:rsidR="00D711F5" w:rsidRPr="004E3E07">
        <w:rPr>
          <w:rFonts w:ascii="Cambria" w:eastAsia="Cambria" w:hAnsi="Cambria" w:cs="Cambria"/>
          <w:sz w:val="20"/>
          <w:szCs w:val="20"/>
          <w:lang w:val="es-MX"/>
        </w:rPr>
        <w:t>, durante 2015, defensoras de derechos humanos y periodistas fueron objeto de investigaciones promovidas por la PGR en razón de su labor en la defensa en el caso de la masacre de San Fernando relacionada con la desaparición de personas migrantes de paso en territorio mexicano, tal como se detalla más adelante</w:t>
      </w:r>
      <w:r w:rsidR="007A411D">
        <w:rPr>
          <w:rFonts w:ascii="Cambria" w:eastAsia="Cambria" w:hAnsi="Cambria" w:cs="Cambria"/>
          <w:sz w:val="20"/>
          <w:szCs w:val="20"/>
          <w:lang w:val="es-MX"/>
        </w:rPr>
        <w:t>,</w:t>
      </w:r>
    </w:p>
    <w:p w14:paraId="6DA20977" w14:textId="5D3870AF" w:rsidR="00370D21" w:rsidRPr="004E3E07" w:rsidRDefault="00370D21" w:rsidP="00370D21">
      <w:pPr>
        <w:numPr>
          <w:ilvl w:val="0"/>
          <w:numId w:val="5"/>
        </w:numPr>
        <w:shd w:val="clear" w:color="auto" w:fill="FFFFFF" w:themeFill="background1"/>
        <w:spacing w:after="240" w:line="240" w:lineRule="auto"/>
        <w:ind w:left="0" w:firstLine="720"/>
        <w:jc w:val="both"/>
        <w:rPr>
          <w:rFonts w:ascii="Cambria" w:eastAsia="Cambria" w:hAnsi="Cambria" w:cs="Cambria"/>
          <w:sz w:val="20"/>
          <w:szCs w:val="20"/>
          <w:lang w:val="es-MX"/>
        </w:rPr>
      </w:pPr>
      <w:r w:rsidRPr="004E3E07">
        <w:rPr>
          <w:rFonts w:ascii="Cambria" w:eastAsia="Cambria" w:hAnsi="Cambria" w:cs="Cambria"/>
          <w:sz w:val="20"/>
          <w:szCs w:val="20"/>
          <w:lang w:val="es-MX"/>
        </w:rPr>
        <w:t xml:space="preserve">Por su parte, </w:t>
      </w:r>
      <w:r w:rsidR="002B6D76" w:rsidRPr="004E3E07">
        <w:rPr>
          <w:rFonts w:ascii="Cambria" w:eastAsia="Cambria" w:hAnsi="Cambria" w:cs="Cambria"/>
          <w:sz w:val="20"/>
          <w:szCs w:val="20"/>
          <w:lang w:val="es-MX"/>
        </w:rPr>
        <w:t xml:space="preserve">la CIDH </w:t>
      </w:r>
      <w:r w:rsidR="002B6D76" w:rsidRPr="004E3E07">
        <w:rPr>
          <w:rFonts w:ascii="Cambria" w:hAnsi="Cambria" w:cs="Cambria"/>
          <w:sz w:val="20"/>
          <w:szCs w:val="20"/>
          <w:lang w:val="es-MX"/>
        </w:rPr>
        <w:t xml:space="preserve">tiene conocimiento de </w:t>
      </w:r>
      <w:r w:rsidRPr="004E3E07">
        <w:rPr>
          <w:rFonts w:ascii="Cambria" w:hAnsi="Cambria" w:cs="Cambria"/>
          <w:sz w:val="20"/>
          <w:szCs w:val="20"/>
          <w:lang w:val="es-MX"/>
        </w:rPr>
        <w:t>que el Estado</w:t>
      </w:r>
      <w:r w:rsidR="002B6D76" w:rsidRPr="004E3E07">
        <w:rPr>
          <w:rFonts w:ascii="Cambria" w:hAnsi="Cambria" w:cs="Cambria"/>
          <w:sz w:val="20"/>
          <w:szCs w:val="20"/>
          <w:lang w:val="es-MX"/>
        </w:rPr>
        <w:t xml:space="preserve"> mexicano</w:t>
      </w:r>
      <w:r w:rsidRPr="004E3E07">
        <w:rPr>
          <w:rFonts w:ascii="Cambria" w:hAnsi="Cambria" w:cs="Cambria"/>
          <w:sz w:val="20"/>
          <w:szCs w:val="20"/>
          <w:lang w:val="es-MX"/>
        </w:rPr>
        <w:t xml:space="preserve"> se encuentra en proceso de redacción de los Lineamientos del Mecanismo de Apoyo Exterior de Búsqueda e Investigación (MAEBI), los cuales delimitarán directrices normativas para la coordinación interinstitucional y cooperación internacional en la investigación de delitos cometidos en contra de personas migrantes</w:t>
      </w:r>
      <w:r w:rsidR="00DA0EB7" w:rsidRPr="004E3E07">
        <w:rPr>
          <w:rFonts w:ascii="Cambria" w:hAnsi="Cambria" w:cs="Cambria"/>
          <w:sz w:val="20"/>
          <w:szCs w:val="20"/>
          <w:lang w:val="es-MX"/>
        </w:rPr>
        <w:t>, así como para la búsqueda transnacional de personas migrantes</w:t>
      </w:r>
      <w:r w:rsidRPr="004E3E07">
        <w:rPr>
          <w:rFonts w:ascii="Cambria" w:hAnsi="Cambria" w:cs="Cambria"/>
          <w:sz w:val="20"/>
          <w:szCs w:val="20"/>
          <w:lang w:val="es-MX"/>
        </w:rPr>
        <w:t xml:space="preserve"> y otras personas en contexto de movilidad humana desaparecidas. Sobre este tema, a petición del Estado mexicano, la Comisión emitió una opinión técnica</w:t>
      </w:r>
      <w:r w:rsidR="0033002B" w:rsidRPr="004E3E07">
        <w:rPr>
          <w:rFonts w:ascii="Cambria" w:hAnsi="Cambria" w:cs="Cambria"/>
          <w:sz w:val="20"/>
          <w:szCs w:val="20"/>
          <w:lang w:val="es-MX"/>
        </w:rPr>
        <w:t xml:space="preserve"> con sus observaciones de conformidad con los estándares interamericanos de derechos humanos</w:t>
      </w:r>
      <w:r w:rsidRPr="004E3E07">
        <w:rPr>
          <w:rFonts w:ascii="Cambria" w:hAnsi="Cambria" w:cs="Cambria"/>
          <w:sz w:val="20"/>
          <w:szCs w:val="20"/>
          <w:lang w:val="es-MX"/>
        </w:rPr>
        <w:t>, y espera que sus recomendaciones sean oportunamente atendidas e incorporadas a los Lineamientos del MAEBI</w:t>
      </w:r>
      <w:r w:rsidRPr="004E3E07">
        <w:rPr>
          <w:rStyle w:val="FootnoteReference"/>
          <w:rFonts w:ascii="Cambria" w:hAnsi="Cambria" w:cs="Cambria"/>
          <w:sz w:val="20"/>
          <w:szCs w:val="20"/>
          <w:lang w:val="es-MX"/>
        </w:rPr>
        <w:footnoteReference w:id="169"/>
      </w:r>
      <w:r w:rsidRPr="004E3E07">
        <w:rPr>
          <w:rFonts w:ascii="Cambria" w:hAnsi="Cambria" w:cs="Cambria"/>
          <w:sz w:val="20"/>
          <w:szCs w:val="20"/>
          <w:lang w:val="es-MX"/>
        </w:rPr>
        <w:t xml:space="preserve">. </w:t>
      </w:r>
    </w:p>
    <w:p w14:paraId="146069E0" w14:textId="4D3CB0F5" w:rsidR="00B2184A" w:rsidRPr="004E3E07" w:rsidRDefault="00370D21" w:rsidP="00556AD7">
      <w:pPr>
        <w:numPr>
          <w:ilvl w:val="0"/>
          <w:numId w:val="5"/>
        </w:numPr>
        <w:spacing w:after="240" w:line="240" w:lineRule="auto"/>
        <w:ind w:left="0" w:firstLine="720"/>
        <w:jc w:val="both"/>
        <w:rPr>
          <w:rFonts w:ascii="Cambria" w:eastAsia="Cambria" w:hAnsi="Cambria" w:cs="Cambria"/>
          <w:b/>
          <w:sz w:val="20"/>
          <w:lang w:val="es-MX"/>
        </w:rPr>
      </w:pPr>
      <w:r w:rsidRPr="004E3E07">
        <w:rPr>
          <w:rFonts w:ascii="Cambria" w:eastAsia="Cambria" w:hAnsi="Cambria" w:cs="Cambria"/>
          <w:sz w:val="20"/>
          <w:szCs w:val="20"/>
          <w:lang w:val="es-MX"/>
        </w:rPr>
        <w:t xml:space="preserve">Considerando la falta de información actualizada sobre las labores de las Comisión Forense, aunado </w:t>
      </w:r>
      <w:r w:rsidR="009A586B" w:rsidRPr="004E3E07">
        <w:rPr>
          <w:rFonts w:ascii="Cambria" w:eastAsia="Cambria" w:hAnsi="Cambria" w:cs="Cambria"/>
          <w:sz w:val="20"/>
          <w:szCs w:val="20"/>
          <w:lang w:val="es-MX"/>
        </w:rPr>
        <w:t>a que los Lineamientos del Mecanismo de Apoyo Exterior de Búsqueda e Investigación</w:t>
      </w:r>
      <w:r w:rsidRPr="004E3E07">
        <w:rPr>
          <w:rFonts w:ascii="Cambria" w:eastAsia="Cambria" w:hAnsi="Cambria" w:cs="Cambria"/>
          <w:sz w:val="20"/>
          <w:szCs w:val="20"/>
          <w:lang w:val="es-MX"/>
        </w:rPr>
        <w:t xml:space="preserve"> aún se encuentran pendientes de </w:t>
      </w:r>
      <w:r w:rsidR="009A586B" w:rsidRPr="004E3E07">
        <w:rPr>
          <w:rFonts w:ascii="Cambria" w:eastAsia="Cambria" w:hAnsi="Cambria" w:cs="Cambria"/>
          <w:sz w:val="20"/>
          <w:szCs w:val="20"/>
          <w:lang w:val="es-MX"/>
        </w:rPr>
        <w:t xml:space="preserve">elaboración, </w:t>
      </w:r>
      <w:r w:rsidRPr="004E3E07">
        <w:rPr>
          <w:rFonts w:ascii="Cambria" w:eastAsia="Cambria" w:hAnsi="Cambria" w:cs="Cambria"/>
          <w:sz w:val="20"/>
          <w:szCs w:val="20"/>
          <w:lang w:val="es-MX"/>
        </w:rPr>
        <w:t>aprobación e implementación, la CIDH considera que la presente recomendación se encuentra parcialmente cumplida.</w:t>
      </w:r>
    </w:p>
    <w:p w14:paraId="4EBF5643" w14:textId="4413CB02" w:rsidR="00AD5974" w:rsidRPr="004E3E07" w:rsidRDefault="007E25FF" w:rsidP="5258151B">
      <w:pPr>
        <w:numPr>
          <w:ilvl w:val="0"/>
          <w:numId w:val="5"/>
        </w:numPr>
        <w:shd w:val="clear" w:color="auto" w:fill="FFFFFF"/>
        <w:spacing w:after="240" w:line="240" w:lineRule="auto"/>
        <w:ind w:left="0" w:firstLine="720"/>
        <w:jc w:val="both"/>
        <w:rPr>
          <w:rFonts w:ascii="Cambria" w:eastAsia="Cambria" w:hAnsi="Cambria" w:cs="Cambria"/>
          <w:sz w:val="20"/>
          <w:szCs w:val="20"/>
          <w:lang w:val="es-MX"/>
        </w:rPr>
      </w:pPr>
      <w:r w:rsidRPr="004E3E07">
        <w:rPr>
          <w:rFonts w:ascii="Cambria" w:eastAsia="Cambria" w:hAnsi="Cambria" w:cs="Cambria"/>
          <w:sz w:val="20"/>
          <w:szCs w:val="20"/>
          <w:lang w:val="es-MX"/>
        </w:rPr>
        <w:t xml:space="preserve">Respecto de la recomendación relativa a </w:t>
      </w:r>
      <w:r w:rsidRPr="004E3E07">
        <w:rPr>
          <w:rFonts w:ascii="Cambria" w:eastAsia="Cambria" w:hAnsi="Cambria" w:cs="Cambria"/>
          <w:b/>
          <w:bCs/>
          <w:sz w:val="20"/>
          <w:szCs w:val="20"/>
          <w:lang w:val="es-MX"/>
        </w:rPr>
        <w:t>implementar un mecanismo nacional que facilite el intercambio de información forense sobre restos no identificados de personas migrantes y centroamericanas desaparecidas en México con los bancos forenses de migrantes desaparecidos que se han generado en la región</w:t>
      </w:r>
      <w:r w:rsidR="00764AAD" w:rsidRPr="004E3E07">
        <w:rPr>
          <w:rFonts w:ascii="Cambria" w:eastAsia="Cambria" w:hAnsi="Cambria" w:cs="Cambria"/>
          <w:sz w:val="20"/>
          <w:szCs w:val="20"/>
          <w:lang w:val="es-MX"/>
        </w:rPr>
        <w:t xml:space="preserve">, </w:t>
      </w:r>
      <w:r w:rsidRPr="004E3E07">
        <w:rPr>
          <w:rFonts w:ascii="Cambria" w:eastAsia="Cambria" w:hAnsi="Cambria" w:cs="Cambria"/>
          <w:sz w:val="20"/>
          <w:szCs w:val="20"/>
          <w:lang w:val="es-MX"/>
        </w:rPr>
        <w:t>el Estado</w:t>
      </w:r>
      <w:r w:rsidR="00764AAD" w:rsidRPr="004E3E07">
        <w:rPr>
          <w:rFonts w:ascii="Cambria" w:eastAsia="Cambria" w:hAnsi="Cambria" w:cs="Cambria"/>
          <w:sz w:val="20"/>
          <w:szCs w:val="20"/>
          <w:lang w:val="es-MX"/>
        </w:rPr>
        <w:t xml:space="preserve"> señaló que el PHB establece mecanismos de búsqueda con enfoque masivo, entre </w:t>
      </w:r>
      <w:r w:rsidR="00720DF7" w:rsidRPr="004E3E07">
        <w:rPr>
          <w:rFonts w:ascii="Cambria" w:eastAsia="Cambria" w:hAnsi="Cambria" w:cs="Cambria"/>
          <w:sz w:val="20"/>
          <w:szCs w:val="20"/>
          <w:lang w:val="es-MX"/>
        </w:rPr>
        <w:t>el</w:t>
      </w:r>
      <w:r w:rsidR="00764AAD" w:rsidRPr="004E3E07">
        <w:rPr>
          <w:rFonts w:ascii="Cambria" w:eastAsia="Cambria" w:hAnsi="Cambria" w:cs="Cambria"/>
          <w:sz w:val="20"/>
          <w:szCs w:val="20"/>
          <w:lang w:val="es-MX"/>
        </w:rPr>
        <w:t>los la confrontación</w:t>
      </w:r>
      <w:r w:rsidR="00720DF7" w:rsidRPr="004E3E07">
        <w:rPr>
          <w:rFonts w:ascii="Cambria" w:eastAsia="Cambria" w:hAnsi="Cambria" w:cs="Cambria"/>
          <w:sz w:val="20"/>
          <w:szCs w:val="20"/>
          <w:lang w:val="es-MX"/>
        </w:rPr>
        <w:t xml:space="preserve"> de información</w:t>
      </w:r>
      <w:r w:rsidR="00764AAD" w:rsidRPr="004E3E07">
        <w:rPr>
          <w:rFonts w:ascii="Cambria" w:eastAsia="Cambria" w:hAnsi="Cambria" w:cs="Cambria"/>
          <w:sz w:val="20"/>
          <w:szCs w:val="20"/>
          <w:lang w:val="es-MX"/>
        </w:rPr>
        <w:t xml:space="preserve"> genética masiva </w:t>
      </w:r>
      <w:r w:rsidR="00720DF7" w:rsidRPr="004E3E07">
        <w:rPr>
          <w:rFonts w:ascii="Cambria" w:eastAsia="Cambria" w:hAnsi="Cambria" w:cs="Cambria"/>
          <w:sz w:val="20"/>
          <w:szCs w:val="20"/>
          <w:lang w:val="es-MX"/>
        </w:rPr>
        <w:t>con la finalidad de</w:t>
      </w:r>
      <w:r w:rsidR="00764AAD" w:rsidRPr="004E3E07">
        <w:rPr>
          <w:rFonts w:ascii="Cambria" w:eastAsia="Cambria" w:hAnsi="Cambria" w:cs="Cambria"/>
          <w:sz w:val="20"/>
          <w:szCs w:val="20"/>
          <w:lang w:val="es-MX"/>
        </w:rPr>
        <w:t xml:space="preserve"> dar con la suerte o paradero de las personas. </w:t>
      </w:r>
      <w:r w:rsidR="00720DF7" w:rsidRPr="004E3E07">
        <w:rPr>
          <w:rFonts w:ascii="Cambria" w:eastAsia="Cambria" w:hAnsi="Cambria" w:cs="Cambria"/>
          <w:sz w:val="20"/>
          <w:szCs w:val="20"/>
          <w:lang w:val="es-MX"/>
        </w:rPr>
        <w:t>Agregó que</w:t>
      </w:r>
      <w:r w:rsidR="00764AAD" w:rsidRPr="004E3E07">
        <w:rPr>
          <w:rFonts w:ascii="Cambria" w:eastAsia="Cambria" w:hAnsi="Cambria" w:cs="Cambria"/>
          <w:sz w:val="20"/>
          <w:szCs w:val="20"/>
          <w:lang w:val="es-MX"/>
        </w:rPr>
        <w:t xml:space="preserve"> la </w:t>
      </w:r>
      <w:r w:rsidR="00720DF7" w:rsidRPr="004E3E07">
        <w:rPr>
          <w:rFonts w:ascii="Cambria" w:eastAsia="Cambria" w:hAnsi="Cambria" w:cs="Cambria"/>
          <w:sz w:val="20"/>
          <w:szCs w:val="20"/>
          <w:lang w:val="es-MX"/>
        </w:rPr>
        <w:t>Unidad de</w:t>
      </w:r>
      <w:r w:rsidR="00764AAD" w:rsidRPr="004E3E07">
        <w:rPr>
          <w:rFonts w:ascii="Cambria" w:eastAsia="Cambria" w:hAnsi="Cambria" w:cs="Cambria"/>
          <w:sz w:val="20"/>
          <w:szCs w:val="20"/>
          <w:lang w:val="es-MX"/>
        </w:rPr>
        <w:t xml:space="preserve"> Investigación de Delitos para Personas Migrantes de la FGR </w:t>
      </w:r>
      <w:r w:rsidR="00720DF7" w:rsidRPr="004E3E07">
        <w:rPr>
          <w:rFonts w:ascii="Cambria" w:eastAsia="Cambria" w:hAnsi="Cambria" w:cs="Cambria"/>
          <w:sz w:val="20"/>
          <w:szCs w:val="20"/>
          <w:lang w:val="es-MX"/>
        </w:rPr>
        <w:t>remite</w:t>
      </w:r>
      <w:r w:rsidR="00764AAD" w:rsidRPr="004E3E07">
        <w:rPr>
          <w:rFonts w:ascii="Cambria" w:eastAsia="Cambria" w:hAnsi="Cambria" w:cs="Cambria"/>
          <w:sz w:val="20"/>
          <w:szCs w:val="20"/>
          <w:lang w:val="es-MX"/>
        </w:rPr>
        <w:t xml:space="preserve"> muestras genéticas obtenidas de víctimas indirectas </w:t>
      </w:r>
      <w:r w:rsidR="00720DF7" w:rsidRPr="004E3E07">
        <w:rPr>
          <w:rFonts w:ascii="Cambria" w:eastAsia="Cambria" w:hAnsi="Cambria" w:cs="Cambria"/>
          <w:sz w:val="20"/>
          <w:szCs w:val="20"/>
          <w:lang w:val="es-MX"/>
        </w:rPr>
        <w:t xml:space="preserve">a la Coordinación General de Servicios Periciales </w:t>
      </w:r>
      <w:r w:rsidR="00764AAD" w:rsidRPr="004E3E07">
        <w:rPr>
          <w:rFonts w:ascii="Cambria" w:eastAsia="Cambria" w:hAnsi="Cambria" w:cs="Cambria"/>
          <w:sz w:val="20"/>
          <w:szCs w:val="20"/>
          <w:lang w:val="es-MX"/>
        </w:rPr>
        <w:t xml:space="preserve">para su incorporación </w:t>
      </w:r>
      <w:r w:rsidR="00720DF7" w:rsidRPr="004E3E07">
        <w:rPr>
          <w:rFonts w:ascii="Cambria" w:eastAsia="Cambria" w:hAnsi="Cambria" w:cs="Cambria"/>
          <w:sz w:val="20"/>
          <w:szCs w:val="20"/>
          <w:lang w:val="es-MX"/>
        </w:rPr>
        <w:t xml:space="preserve">y confrontación </w:t>
      </w:r>
      <w:r w:rsidR="00764AAD" w:rsidRPr="004E3E07">
        <w:rPr>
          <w:rFonts w:ascii="Cambria" w:eastAsia="Cambria" w:hAnsi="Cambria" w:cs="Cambria"/>
          <w:sz w:val="20"/>
          <w:szCs w:val="20"/>
          <w:lang w:val="es-MX"/>
        </w:rPr>
        <w:t>a la Base Nacional de Información Genética</w:t>
      </w:r>
      <w:r w:rsidR="008F6E23" w:rsidRPr="004E3E07">
        <w:rPr>
          <w:rStyle w:val="FootnoteReference"/>
          <w:rFonts w:ascii="Cambria" w:eastAsia="Cambria" w:hAnsi="Cambria" w:cs="Cambria"/>
          <w:sz w:val="20"/>
          <w:szCs w:val="20"/>
          <w:lang w:val="es-MX"/>
        </w:rPr>
        <w:footnoteReference w:id="170"/>
      </w:r>
      <w:r w:rsidR="00764AAD" w:rsidRPr="004E3E07">
        <w:rPr>
          <w:rFonts w:ascii="Cambria" w:eastAsia="Cambria" w:hAnsi="Cambria" w:cs="Cambria"/>
          <w:sz w:val="20"/>
          <w:szCs w:val="20"/>
          <w:lang w:val="es-MX"/>
        </w:rPr>
        <w:t>.</w:t>
      </w:r>
      <w:r w:rsidR="00AD5974" w:rsidRPr="004E3E07">
        <w:rPr>
          <w:rFonts w:ascii="Cambria" w:eastAsia="Cambria" w:hAnsi="Cambria" w:cs="Cambria"/>
          <w:sz w:val="20"/>
          <w:szCs w:val="20"/>
          <w:lang w:val="es-MX"/>
        </w:rPr>
        <w:t xml:space="preserve"> </w:t>
      </w:r>
    </w:p>
    <w:p w14:paraId="1701E669" w14:textId="64509EFD" w:rsidR="00E36ED3" w:rsidRPr="004E3E07" w:rsidRDefault="00E36ED3" w:rsidP="5258151B">
      <w:pPr>
        <w:numPr>
          <w:ilvl w:val="0"/>
          <w:numId w:val="5"/>
        </w:numPr>
        <w:shd w:val="clear" w:color="auto" w:fill="FFFFFF"/>
        <w:spacing w:after="240" w:line="240" w:lineRule="auto"/>
        <w:ind w:left="0" w:firstLine="720"/>
        <w:jc w:val="both"/>
        <w:rPr>
          <w:rFonts w:ascii="Cambria" w:eastAsia="Cambria" w:hAnsi="Cambria" w:cs="Cambria"/>
          <w:sz w:val="20"/>
          <w:szCs w:val="20"/>
          <w:lang w:val="es-MX"/>
        </w:rPr>
      </w:pPr>
      <w:r w:rsidRPr="004E3E07">
        <w:rPr>
          <w:rFonts w:ascii="Cambria" w:eastAsia="Cambria" w:hAnsi="Cambria" w:cs="Cambria"/>
          <w:sz w:val="20"/>
          <w:szCs w:val="20"/>
          <w:lang w:val="es-MX"/>
        </w:rPr>
        <w:t>Por su parte, la CIDH saludó el acuerdo de creación de la Mesa Nacional de Búsqueda de Personas Migrantes Desaparecidas adoptado en el marco del SNB el 9 de noviembre de 2021</w:t>
      </w:r>
      <w:r w:rsidRPr="004E3E07">
        <w:rPr>
          <w:rStyle w:val="FootnoteReference"/>
          <w:rFonts w:ascii="Cambria" w:eastAsia="Cambria" w:hAnsi="Cambria" w:cs="Cambria"/>
          <w:sz w:val="20"/>
          <w:szCs w:val="20"/>
          <w:lang w:val="es-MX"/>
        </w:rPr>
        <w:footnoteReference w:id="171"/>
      </w:r>
      <w:r w:rsidRPr="004E3E07">
        <w:rPr>
          <w:rFonts w:ascii="Cambria" w:eastAsia="Cambria" w:hAnsi="Cambria" w:cs="Cambria"/>
          <w:sz w:val="20"/>
          <w:szCs w:val="20"/>
          <w:lang w:val="es-MX"/>
        </w:rPr>
        <w:t xml:space="preserve">. Al respecto, la Comisión observa que este órgano </w:t>
      </w:r>
      <w:r w:rsidRPr="004E3E07">
        <w:rPr>
          <w:rFonts w:ascii="Cambria" w:hAnsi="Cambria" w:cs="Cambria"/>
          <w:sz w:val="20"/>
          <w:szCs w:val="20"/>
          <w:lang w:val="es-MX"/>
        </w:rPr>
        <w:t xml:space="preserve">integra actores ciudadanos y estatales tanto nacionales como extranjeros para la coordinación e intercambio de información en la búsqueda, localización e identificación de personas migrantes desaparecidas en México, y reconoce </w:t>
      </w:r>
      <w:r w:rsidRPr="004E3E07">
        <w:rPr>
          <w:rFonts w:ascii="Cambria" w:eastAsia="Cambria" w:hAnsi="Cambria" w:cs="Cambria"/>
          <w:sz w:val="20"/>
          <w:szCs w:val="20"/>
          <w:lang w:val="es-MX"/>
        </w:rPr>
        <w:t xml:space="preserve">los </w:t>
      </w:r>
      <w:r w:rsidRPr="004E3E07">
        <w:rPr>
          <w:rFonts w:ascii="Cambria" w:hAnsi="Cambria" w:cs="Cambria"/>
          <w:sz w:val="20"/>
          <w:szCs w:val="20"/>
          <w:lang w:val="es-MX"/>
        </w:rPr>
        <w:t>esfuerzos estatales en el desarrollo de mecanismos que permitan la integración regional de distintos actores para la búsqueda e identificación de personas migrantes desaparecidas en concordancia con sus recomendaciones. Paralelamente, la CIDH</w:t>
      </w:r>
      <w:r w:rsidR="00DA0EB7" w:rsidRPr="004E3E07">
        <w:rPr>
          <w:rFonts w:ascii="Cambria" w:hAnsi="Cambria" w:cs="Cambria"/>
          <w:sz w:val="20"/>
          <w:szCs w:val="20"/>
          <w:lang w:val="es-MX"/>
        </w:rPr>
        <w:t xml:space="preserve"> retoma sus observaciones sobre los Lineamientos del MAEBI consignadas previamente en su informe</w:t>
      </w:r>
      <w:r w:rsidR="000845A2">
        <w:rPr>
          <w:rFonts w:ascii="Cambria" w:hAnsi="Cambria" w:cs="Cambria"/>
          <w:sz w:val="20"/>
          <w:szCs w:val="20"/>
          <w:lang w:val="es-MX"/>
        </w:rPr>
        <w:t>.</w:t>
      </w:r>
    </w:p>
    <w:p w14:paraId="146069E1" w14:textId="3E2F0FA3" w:rsidR="002277F5" w:rsidRPr="004E3E07" w:rsidRDefault="007E467E" w:rsidP="5258151B">
      <w:pPr>
        <w:numPr>
          <w:ilvl w:val="0"/>
          <w:numId w:val="5"/>
        </w:numPr>
        <w:shd w:val="clear" w:color="auto" w:fill="FFFFFF" w:themeFill="background1"/>
        <w:spacing w:after="240" w:line="240" w:lineRule="auto"/>
        <w:ind w:left="0" w:firstLine="720"/>
        <w:jc w:val="both"/>
        <w:rPr>
          <w:rFonts w:ascii="Cambria" w:eastAsia="Cambria" w:hAnsi="Cambria" w:cs="Cambria"/>
          <w:sz w:val="20"/>
          <w:szCs w:val="20"/>
          <w:lang w:val="es-MX"/>
        </w:rPr>
      </w:pPr>
      <w:r w:rsidRPr="004E3E07">
        <w:rPr>
          <w:rFonts w:ascii="Cambria" w:eastAsia="Cambria" w:hAnsi="Cambria" w:cs="Cambria"/>
          <w:sz w:val="20"/>
          <w:szCs w:val="20"/>
          <w:lang w:val="es-MX"/>
        </w:rPr>
        <w:t xml:space="preserve">La Comisión </w:t>
      </w:r>
      <w:r w:rsidR="000F1B0C" w:rsidRPr="004E3E07">
        <w:rPr>
          <w:rFonts w:ascii="Cambria" w:eastAsia="Cambria" w:hAnsi="Cambria" w:cs="Cambria"/>
          <w:sz w:val="20"/>
          <w:szCs w:val="20"/>
          <w:lang w:val="es-MX"/>
        </w:rPr>
        <w:t>valora positivamente la creación de la Mesa Nacional para la Búsqueda de Pe</w:t>
      </w:r>
      <w:r w:rsidR="007E07C3" w:rsidRPr="004E3E07">
        <w:rPr>
          <w:rFonts w:ascii="Cambria" w:eastAsia="Cambria" w:hAnsi="Cambria" w:cs="Cambria"/>
          <w:sz w:val="20"/>
          <w:szCs w:val="20"/>
          <w:lang w:val="es-MX"/>
        </w:rPr>
        <w:t xml:space="preserve">rsonas Migrantes Desaparecidas, así como </w:t>
      </w:r>
      <w:r w:rsidR="000F1B0C" w:rsidRPr="004E3E07">
        <w:rPr>
          <w:rFonts w:ascii="Cambria" w:eastAsia="Cambria" w:hAnsi="Cambria" w:cs="Cambria"/>
          <w:sz w:val="20"/>
          <w:szCs w:val="20"/>
          <w:lang w:val="es-MX"/>
        </w:rPr>
        <w:t>los avances estatales en relación con</w:t>
      </w:r>
      <w:r w:rsidR="007E07C3" w:rsidRPr="004E3E07">
        <w:rPr>
          <w:rFonts w:ascii="Cambria" w:eastAsia="Cambria" w:hAnsi="Cambria" w:cs="Cambria"/>
          <w:sz w:val="20"/>
          <w:szCs w:val="20"/>
          <w:lang w:val="es-MX"/>
        </w:rPr>
        <w:t xml:space="preserve"> la elaboración de</w:t>
      </w:r>
      <w:r w:rsidR="000F1B0C" w:rsidRPr="004E3E07">
        <w:rPr>
          <w:rFonts w:ascii="Cambria" w:eastAsia="Cambria" w:hAnsi="Cambria" w:cs="Cambria"/>
          <w:sz w:val="20"/>
          <w:szCs w:val="20"/>
          <w:lang w:val="es-MX"/>
        </w:rPr>
        <w:t xml:space="preserve"> los lineamientos del </w:t>
      </w:r>
      <w:r w:rsidR="00E31E49" w:rsidRPr="004E3E07">
        <w:rPr>
          <w:rFonts w:ascii="Cambria" w:eastAsia="Cambria" w:hAnsi="Cambria" w:cs="Cambria"/>
          <w:sz w:val="20"/>
          <w:szCs w:val="20"/>
          <w:lang w:val="es-MX"/>
        </w:rPr>
        <w:t>MAEBI</w:t>
      </w:r>
      <w:r w:rsidR="000F1B0C" w:rsidRPr="004E3E07">
        <w:rPr>
          <w:rFonts w:ascii="Cambria" w:eastAsia="Cambria" w:hAnsi="Cambria" w:cs="Cambria"/>
          <w:sz w:val="20"/>
          <w:szCs w:val="20"/>
          <w:lang w:val="es-MX"/>
        </w:rPr>
        <w:t>.</w:t>
      </w:r>
      <w:r w:rsidR="007E07C3" w:rsidRPr="004E3E07">
        <w:rPr>
          <w:rFonts w:ascii="Cambria" w:eastAsia="Cambria" w:hAnsi="Cambria" w:cs="Cambria"/>
          <w:sz w:val="20"/>
          <w:szCs w:val="20"/>
          <w:lang w:val="es-MX"/>
        </w:rPr>
        <w:t xml:space="preserve"> Sobre este último tema, l</w:t>
      </w:r>
      <w:r w:rsidR="000F1B0C" w:rsidRPr="004E3E07">
        <w:rPr>
          <w:rFonts w:ascii="Cambria" w:eastAsia="Cambria" w:hAnsi="Cambria" w:cs="Cambria"/>
          <w:sz w:val="20"/>
          <w:szCs w:val="20"/>
          <w:lang w:val="es-MX"/>
        </w:rPr>
        <w:t xml:space="preserve">a </w:t>
      </w:r>
      <w:r w:rsidR="000F1B0C" w:rsidRPr="004E3E07">
        <w:rPr>
          <w:rFonts w:ascii="Cambria" w:hAnsi="Cambria" w:cs="Cambria"/>
          <w:sz w:val="20"/>
          <w:szCs w:val="20"/>
          <w:lang w:val="es-MX"/>
        </w:rPr>
        <w:t xml:space="preserve">CIDH espera su pronta adopción e implementación como una medida para </w:t>
      </w:r>
      <w:r w:rsidR="00E31E49" w:rsidRPr="004E3E07">
        <w:rPr>
          <w:rFonts w:ascii="Cambria" w:hAnsi="Cambria" w:cs="Cambria"/>
          <w:sz w:val="20"/>
          <w:szCs w:val="20"/>
          <w:lang w:val="es-MX"/>
        </w:rPr>
        <w:t>garantizar</w:t>
      </w:r>
      <w:r w:rsidR="000F1B0C" w:rsidRPr="004E3E07">
        <w:rPr>
          <w:rFonts w:ascii="Cambria" w:hAnsi="Cambria" w:cs="Cambria"/>
          <w:sz w:val="20"/>
          <w:szCs w:val="20"/>
          <w:lang w:val="es-MX"/>
        </w:rPr>
        <w:t xml:space="preserve"> </w:t>
      </w:r>
      <w:r w:rsidR="007E07C3" w:rsidRPr="004E3E07">
        <w:rPr>
          <w:rFonts w:ascii="Cambria" w:hAnsi="Cambria" w:cs="Cambria"/>
          <w:sz w:val="20"/>
          <w:szCs w:val="20"/>
          <w:lang w:val="es-MX"/>
        </w:rPr>
        <w:t xml:space="preserve">el acceso efectivo a la justicia a personas migrantes agraviadas y a sus </w:t>
      </w:r>
      <w:r w:rsidR="00E31E49" w:rsidRPr="004E3E07">
        <w:rPr>
          <w:rFonts w:ascii="Cambria" w:hAnsi="Cambria" w:cs="Cambria"/>
          <w:sz w:val="20"/>
          <w:szCs w:val="20"/>
          <w:lang w:val="es-MX"/>
        </w:rPr>
        <w:t>familias y para</w:t>
      </w:r>
      <w:r w:rsidR="007E07C3" w:rsidRPr="004E3E07">
        <w:rPr>
          <w:rFonts w:ascii="Cambria" w:hAnsi="Cambria" w:cs="Cambria"/>
          <w:sz w:val="20"/>
          <w:szCs w:val="20"/>
          <w:lang w:val="es-MX"/>
        </w:rPr>
        <w:t xml:space="preserve"> </w:t>
      </w:r>
      <w:r w:rsidR="000F1B0C" w:rsidRPr="004E3E07">
        <w:rPr>
          <w:rFonts w:ascii="Cambria" w:hAnsi="Cambria" w:cs="Cambria"/>
          <w:sz w:val="20"/>
          <w:szCs w:val="20"/>
          <w:lang w:val="es-MX"/>
        </w:rPr>
        <w:t>la búsqueda de per</w:t>
      </w:r>
      <w:r w:rsidR="007E07C3" w:rsidRPr="004E3E07">
        <w:rPr>
          <w:rFonts w:ascii="Cambria" w:hAnsi="Cambria" w:cs="Cambria"/>
          <w:sz w:val="20"/>
          <w:szCs w:val="20"/>
          <w:lang w:val="es-MX"/>
        </w:rPr>
        <w:t xml:space="preserve">sonas migrantes desaparecidas </w:t>
      </w:r>
      <w:r w:rsidR="000F1B0C" w:rsidRPr="004E3E07">
        <w:rPr>
          <w:rFonts w:ascii="Cambria" w:hAnsi="Cambria" w:cs="Cambria"/>
          <w:sz w:val="20"/>
          <w:szCs w:val="20"/>
          <w:lang w:val="es-MX"/>
        </w:rPr>
        <w:t>de manera consistente con sus recomendaciones</w:t>
      </w:r>
      <w:r w:rsidR="000F1B0C" w:rsidRPr="004E3E07">
        <w:rPr>
          <w:rFonts w:ascii="Cambria" w:eastAsia="Cambria" w:hAnsi="Cambria" w:cs="Cambria"/>
          <w:sz w:val="20"/>
          <w:szCs w:val="20"/>
          <w:lang w:val="es-MX"/>
        </w:rPr>
        <w:t xml:space="preserve">. En estos términos, la Comisión considera que </w:t>
      </w:r>
      <w:r w:rsidR="007E25FF" w:rsidRPr="004E3E07">
        <w:rPr>
          <w:rFonts w:ascii="Cambria" w:eastAsia="Cambria" w:hAnsi="Cambria" w:cs="Cambria"/>
          <w:sz w:val="20"/>
          <w:szCs w:val="20"/>
          <w:lang w:val="es-MX"/>
        </w:rPr>
        <w:t xml:space="preserve">esta recomendación se mantiene en cumplimiento parcial sustancial. </w:t>
      </w:r>
    </w:p>
    <w:p w14:paraId="146069E2" w14:textId="77777777" w:rsidR="002277F5" w:rsidRPr="00BD18FA" w:rsidRDefault="007E25FF" w:rsidP="00BD18FA">
      <w:pPr>
        <w:pStyle w:val="Heading2"/>
      </w:pPr>
      <w:r w:rsidRPr="00BD18FA">
        <w:t>Acceso a la justicia</w:t>
      </w:r>
    </w:p>
    <w:p w14:paraId="146069E3" w14:textId="77777777" w:rsidR="002277F5" w:rsidRPr="004E3E07" w:rsidRDefault="007E25FF">
      <w:pPr>
        <w:numPr>
          <w:ilvl w:val="0"/>
          <w:numId w:val="18"/>
        </w:numPr>
        <w:pBdr>
          <w:top w:val="nil"/>
          <w:left w:val="nil"/>
          <w:bottom w:val="nil"/>
          <w:right w:val="nil"/>
          <w:between w:val="nil"/>
        </w:pBdr>
        <w:shd w:val="clear" w:color="auto" w:fill="D9D9D9"/>
        <w:spacing w:after="0" w:line="240" w:lineRule="auto"/>
        <w:ind w:hanging="720"/>
        <w:jc w:val="both"/>
        <w:rPr>
          <w:rFonts w:ascii="Cambria" w:hAnsi="Cambria"/>
          <w:lang w:val="es-MX"/>
        </w:rPr>
      </w:pPr>
      <w:r w:rsidRPr="004E3E07">
        <w:rPr>
          <w:rFonts w:ascii="Cambria" w:eastAsia="Cambria" w:hAnsi="Cambria" w:cs="Cambria"/>
          <w:sz w:val="20"/>
          <w:szCs w:val="20"/>
          <w:lang w:val="es-MX"/>
        </w:rPr>
        <w:t>Fortalecer a las procuradurías del país en materia de capacitación técnica e independencia, con el fin de garantizar una debida investigación.</w:t>
      </w:r>
    </w:p>
    <w:p w14:paraId="146069E4" w14:textId="77777777" w:rsidR="002277F5" w:rsidRPr="004E3E07" w:rsidRDefault="007E25FF">
      <w:pPr>
        <w:numPr>
          <w:ilvl w:val="0"/>
          <w:numId w:val="18"/>
        </w:numPr>
        <w:pBdr>
          <w:top w:val="nil"/>
          <w:left w:val="nil"/>
          <w:bottom w:val="nil"/>
          <w:right w:val="nil"/>
          <w:between w:val="nil"/>
        </w:pBdr>
        <w:shd w:val="clear" w:color="auto" w:fill="D9D9D9"/>
        <w:spacing w:after="0" w:line="240" w:lineRule="auto"/>
        <w:ind w:hanging="720"/>
        <w:jc w:val="both"/>
        <w:rPr>
          <w:rFonts w:ascii="Cambria" w:hAnsi="Cambria"/>
          <w:lang w:val="es-MX"/>
        </w:rPr>
      </w:pPr>
      <w:r w:rsidRPr="004E3E07">
        <w:rPr>
          <w:rFonts w:ascii="Cambria" w:eastAsia="Cambria" w:hAnsi="Cambria" w:cs="Cambria"/>
          <w:sz w:val="20"/>
          <w:szCs w:val="20"/>
          <w:lang w:val="es-MX"/>
        </w:rPr>
        <w:t>Establecer un plan coherente sobre la cooperación entre las autoridades de procuración de justicia a nivel federal y estatal en la investigación de graves violaciones de derechos humanos, con una visión integral, protocolos específicos y la adopción de criterios técnico-profesionales, y no políticos, en la atracción de investigaciones por la federación.</w:t>
      </w:r>
    </w:p>
    <w:p w14:paraId="146069E5" w14:textId="77777777" w:rsidR="002277F5" w:rsidRPr="004E3E07" w:rsidRDefault="007E25FF">
      <w:pPr>
        <w:numPr>
          <w:ilvl w:val="0"/>
          <w:numId w:val="18"/>
        </w:numPr>
        <w:pBdr>
          <w:top w:val="nil"/>
          <w:left w:val="nil"/>
          <w:bottom w:val="nil"/>
          <w:right w:val="nil"/>
          <w:between w:val="nil"/>
        </w:pBdr>
        <w:shd w:val="clear" w:color="auto" w:fill="D9D9D9"/>
        <w:spacing w:after="0" w:line="240" w:lineRule="auto"/>
        <w:ind w:hanging="720"/>
        <w:jc w:val="both"/>
        <w:rPr>
          <w:rFonts w:ascii="Cambria" w:hAnsi="Cambria"/>
          <w:lang w:val="es-MX"/>
        </w:rPr>
      </w:pPr>
      <w:r w:rsidRPr="004E3E07">
        <w:rPr>
          <w:rFonts w:ascii="Cambria" w:eastAsia="Cambria" w:hAnsi="Cambria" w:cs="Cambria"/>
          <w:sz w:val="20"/>
          <w:szCs w:val="20"/>
          <w:lang w:val="es-MX"/>
        </w:rPr>
        <w:t>Adoptar medidas de protección específicas para las víctimas, sus familiares, representantes, testigos, peritos y defensores y defensoras que participen en la investigación o búsqueda de justicia cuando estén en riesgo. Garantizar el acceso a los expedientes a las y los familiares y representantes legales. Imponer sanciones adecuadas en casos de represalias en contra de cualquiera de estas personas.</w:t>
      </w:r>
    </w:p>
    <w:p w14:paraId="146069E6" w14:textId="77777777" w:rsidR="002277F5" w:rsidRPr="004E3E07" w:rsidRDefault="007E25FF">
      <w:pPr>
        <w:numPr>
          <w:ilvl w:val="0"/>
          <w:numId w:val="18"/>
        </w:numPr>
        <w:pBdr>
          <w:top w:val="nil"/>
          <w:left w:val="nil"/>
          <w:bottom w:val="nil"/>
          <w:right w:val="nil"/>
          <w:between w:val="nil"/>
        </w:pBdr>
        <w:shd w:val="clear" w:color="auto" w:fill="D9D9D9"/>
        <w:spacing w:after="0" w:line="240" w:lineRule="auto"/>
        <w:ind w:hanging="720"/>
        <w:jc w:val="both"/>
        <w:rPr>
          <w:rFonts w:ascii="Cambria" w:hAnsi="Cambria"/>
          <w:lang w:val="es-MX"/>
        </w:rPr>
      </w:pPr>
      <w:r w:rsidRPr="004E3E07">
        <w:rPr>
          <w:rFonts w:ascii="Cambria" w:eastAsia="Cambria" w:hAnsi="Cambria" w:cs="Cambria"/>
          <w:sz w:val="20"/>
          <w:szCs w:val="20"/>
          <w:lang w:val="es-MX"/>
        </w:rPr>
        <w:t>Adoptar medidas de protección específicas para operadores de justicia de acuerdo a sus necesidades particulares y en consulta con ellos.</w:t>
      </w:r>
    </w:p>
    <w:p w14:paraId="146069E7" w14:textId="77777777" w:rsidR="002277F5" w:rsidRPr="004E3E07" w:rsidRDefault="007E25FF">
      <w:pPr>
        <w:numPr>
          <w:ilvl w:val="0"/>
          <w:numId w:val="18"/>
        </w:numPr>
        <w:pBdr>
          <w:top w:val="nil"/>
          <w:left w:val="nil"/>
          <w:bottom w:val="nil"/>
          <w:right w:val="nil"/>
          <w:between w:val="nil"/>
        </w:pBdr>
        <w:shd w:val="clear" w:color="auto" w:fill="D9D9D9"/>
        <w:spacing w:after="0" w:line="240" w:lineRule="auto"/>
        <w:ind w:hanging="720"/>
        <w:jc w:val="both"/>
        <w:rPr>
          <w:rFonts w:ascii="Cambria" w:hAnsi="Cambria"/>
          <w:lang w:val="es-MX"/>
        </w:rPr>
      </w:pPr>
      <w:r w:rsidRPr="004E3E07">
        <w:rPr>
          <w:rFonts w:ascii="Cambria" w:eastAsia="Cambria" w:hAnsi="Cambria" w:cs="Cambria"/>
          <w:sz w:val="20"/>
          <w:szCs w:val="20"/>
          <w:lang w:val="es-MX"/>
        </w:rPr>
        <w:t>Asegurar la implementación de la Ley General de Víctimas y el funcionamiento de la Comisión Ejecutiva de Atención a Víctimas a nivel federal y estatal. En consulta con organizaciones de la sociedad civil y con las víctimas, analizar y abordar concretamente las barreras que limiten su efectiva implementación y eliminarlas.</w:t>
      </w:r>
    </w:p>
    <w:p w14:paraId="146069E8" w14:textId="77777777" w:rsidR="002277F5" w:rsidRPr="004E3E07" w:rsidRDefault="007E25FF">
      <w:pPr>
        <w:numPr>
          <w:ilvl w:val="0"/>
          <w:numId w:val="18"/>
        </w:numPr>
        <w:pBdr>
          <w:top w:val="nil"/>
          <w:left w:val="nil"/>
          <w:bottom w:val="nil"/>
          <w:right w:val="nil"/>
          <w:between w:val="nil"/>
        </w:pBdr>
        <w:shd w:val="clear" w:color="auto" w:fill="D9D9D9"/>
        <w:spacing w:after="0" w:line="240" w:lineRule="auto"/>
        <w:ind w:hanging="720"/>
        <w:jc w:val="both"/>
        <w:rPr>
          <w:rFonts w:ascii="Cambria" w:hAnsi="Cambria"/>
          <w:lang w:val="es-MX"/>
        </w:rPr>
      </w:pPr>
      <w:r w:rsidRPr="004E3E07">
        <w:rPr>
          <w:rFonts w:ascii="Cambria" w:eastAsia="Cambria" w:hAnsi="Cambria" w:cs="Cambria"/>
          <w:sz w:val="20"/>
          <w:szCs w:val="20"/>
          <w:lang w:val="es-MX"/>
        </w:rPr>
        <w:t xml:space="preserve">Asumir la responsabilidad histórica de rendir cuentas sobre las graves violaciones a los derechos humanos. Investigar, esclarecer y sancionar los hechos cometidos durante la época de la llamada Guerra Sucia. </w:t>
      </w:r>
    </w:p>
    <w:p w14:paraId="146069E9" w14:textId="77777777" w:rsidR="002277F5" w:rsidRPr="004E3E07" w:rsidRDefault="007E25FF">
      <w:pPr>
        <w:numPr>
          <w:ilvl w:val="0"/>
          <w:numId w:val="18"/>
        </w:numPr>
        <w:pBdr>
          <w:top w:val="nil"/>
          <w:left w:val="nil"/>
          <w:bottom w:val="nil"/>
          <w:right w:val="nil"/>
          <w:between w:val="nil"/>
        </w:pBdr>
        <w:shd w:val="clear" w:color="auto" w:fill="D9D9D9"/>
        <w:spacing w:after="0" w:line="240" w:lineRule="auto"/>
        <w:ind w:hanging="720"/>
        <w:jc w:val="both"/>
        <w:rPr>
          <w:rFonts w:ascii="Cambria" w:hAnsi="Cambria"/>
          <w:lang w:val="es-MX"/>
        </w:rPr>
      </w:pPr>
      <w:r w:rsidRPr="004E3E07">
        <w:rPr>
          <w:rFonts w:ascii="Cambria" w:eastAsia="Cambria" w:hAnsi="Cambria" w:cs="Cambria"/>
          <w:sz w:val="20"/>
          <w:szCs w:val="20"/>
          <w:lang w:val="es-MX"/>
        </w:rPr>
        <w:t>Fortalecer el Mecanismo de protección de defensoras y defensores de derechos humanos y periodistas, garantizando su sostenibilidad económica en el largo plazo y dotándolo de mayor autonomía administrativa y exhortando a las entidades federativas a colaborar con el mismo. Al Mecanismo, en tanto, se le recomienda realizar la evaluación y adopción de medidas de protección diferenciadas teniendo en cuenta género, líderes indígenas y defensores del medio ambiente, realizar mediciones sobre la efectividad de las medidas implementadas, fomentar la articulación y cooperación institucional con la PGR, así como incrementar la transparencia de todo lo actuado para incrementar la confianza de los beneficiarios. Lo anterior deberá acompañarse del desarrollo de una política de prevención y de participación de la población objetivo.</w:t>
      </w:r>
    </w:p>
    <w:p w14:paraId="146069EA" w14:textId="77777777" w:rsidR="002277F5" w:rsidRPr="004E3E07" w:rsidRDefault="007E25FF">
      <w:pPr>
        <w:numPr>
          <w:ilvl w:val="0"/>
          <w:numId w:val="18"/>
        </w:numPr>
        <w:pBdr>
          <w:top w:val="nil"/>
          <w:left w:val="nil"/>
          <w:bottom w:val="nil"/>
          <w:right w:val="nil"/>
          <w:between w:val="nil"/>
        </w:pBdr>
        <w:shd w:val="clear" w:color="auto" w:fill="D9D9D9"/>
        <w:spacing w:after="0" w:line="240" w:lineRule="auto"/>
        <w:ind w:hanging="720"/>
        <w:jc w:val="both"/>
        <w:rPr>
          <w:rFonts w:ascii="Cambria" w:hAnsi="Cambria"/>
          <w:lang w:val="es-MX"/>
        </w:rPr>
      </w:pPr>
      <w:r w:rsidRPr="004E3E07">
        <w:rPr>
          <w:rFonts w:ascii="Cambria" w:eastAsia="Cambria" w:hAnsi="Cambria" w:cs="Cambria"/>
          <w:sz w:val="20"/>
          <w:szCs w:val="20"/>
          <w:lang w:val="es-MX"/>
        </w:rPr>
        <w:t>Reformar el Código de Justicia Militar para disponer que cuando un elemento de las fuerzas armadas cometa actos que pudieran constituir una violación a los derechos humanos, dichos actos sean juzgados por tribunales de jurisdicción civil, independientemente de si la víctima es civil o militar.</w:t>
      </w:r>
    </w:p>
    <w:p w14:paraId="146069EB" w14:textId="77777777" w:rsidR="002277F5" w:rsidRPr="004E3E07" w:rsidRDefault="007E25FF">
      <w:pPr>
        <w:numPr>
          <w:ilvl w:val="0"/>
          <w:numId w:val="18"/>
        </w:numPr>
        <w:pBdr>
          <w:top w:val="nil"/>
          <w:left w:val="nil"/>
          <w:bottom w:val="nil"/>
          <w:right w:val="nil"/>
          <w:between w:val="nil"/>
        </w:pBdr>
        <w:shd w:val="clear" w:color="auto" w:fill="D9D9D9"/>
        <w:spacing w:after="0" w:line="240" w:lineRule="auto"/>
        <w:ind w:hanging="720"/>
        <w:jc w:val="both"/>
        <w:rPr>
          <w:rFonts w:ascii="Cambria" w:hAnsi="Cambria"/>
          <w:lang w:val="es-MX"/>
        </w:rPr>
      </w:pPr>
      <w:r w:rsidRPr="004E3E07">
        <w:rPr>
          <w:rFonts w:ascii="Cambria" w:eastAsia="Cambria" w:hAnsi="Cambria" w:cs="Cambria"/>
          <w:sz w:val="20"/>
          <w:szCs w:val="20"/>
          <w:lang w:val="es-MX"/>
        </w:rPr>
        <w:t xml:space="preserve">Monitorear la entrada en vigencia del nuevo sistema de justicia penal, así como la efectividad de las capacitaciones. Incluir a defensores públicos en las capacitaciones. </w:t>
      </w:r>
    </w:p>
    <w:p w14:paraId="146069EC" w14:textId="77777777" w:rsidR="002277F5" w:rsidRPr="004E3E07" w:rsidRDefault="007E25FF">
      <w:pPr>
        <w:numPr>
          <w:ilvl w:val="0"/>
          <w:numId w:val="18"/>
        </w:numPr>
        <w:pBdr>
          <w:top w:val="nil"/>
          <w:left w:val="nil"/>
          <w:bottom w:val="nil"/>
          <w:right w:val="nil"/>
          <w:between w:val="nil"/>
        </w:pBdr>
        <w:shd w:val="clear" w:color="auto" w:fill="D9D9D9"/>
        <w:spacing w:after="0" w:line="240" w:lineRule="auto"/>
        <w:ind w:hanging="720"/>
        <w:jc w:val="both"/>
        <w:rPr>
          <w:rFonts w:ascii="Cambria" w:hAnsi="Cambria"/>
          <w:lang w:val="es-MX"/>
        </w:rPr>
      </w:pPr>
      <w:r w:rsidRPr="004E3E07">
        <w:rPr>
          <w:rFonts w:ascii="Cambria" w:eastAsia="Cambria" w:hAnsi="Cambria" w:cs="Cambria"/>
          <w:sz w:val="20"/>
          <w:szCs w:val="20"/>
          <w:lang w:val="es-MX"/>
        </w:rPr>
        <w:t>Evaluar la efectiva implementación del nuevo sistema de justicia penal, así como las áreas en las que se requerirá un acompañamiento más cercano, con capacitación adecuada y recursos necesarios. Incluir capacitación permanente a operadores de justicia y defensores públicos sobre control de convencionalidad.</w:t>
      </w:r>
    </w:p>
    <w:p w14:paraId="146069ED" w14:textId="77777777" w:rsidR="002277F5" w:rsidRPr="004E3E07" w:rsidRDefault="002277F5">
      <w:pPr>
        <w:pBdr>
          <w:top w:val="nil"/>
          <w:left w:val="nil"/>
          <w:bottom w:val="nil"/>
          <w:right w:val="nil"/>
          <w:between w:val="nil"/>
        </w:pBdr>
        <w:spacing w:after="240" w:line="240" w:lineRule="auto"/>
        <w:ind w:left="360" w:right="720" w:hanging="360"/>
        <w:jc w:val="both"/>
        <w:rPr>
          <w:rFonts w:ascii="Cambria" w:eastAsia="Cambria" w:hAnsi="Cambria" w:cs="Cambria"/>
          <w:sz w:val="20"/>
          <w:szCs w:val="20"/>
          <w:lang w:val="es-MX"/>
        </w:rPr>
      </w:pPr>
    </w:p>
    <w:p w14:paraId="2EBB1070" w14:textId="11D27E51" w:rsidR="001E7A8D" w:rsidRPr="004E3E07" w:rsidRDefault="007E25FF" w:rsidP="00B33313">
      <w:pPr>
        <w:numPr>
          <w:ilvl w:val="0"/>
          <w:numId w:val="5"/>
        </w:numPr>
        <w:shd w:val="clear" w:color="auto" w:fill="FFFFFF"/>
        <w:spacing w:after="240" w:line="240" w:lineRule="auto"/>
        <w:ind w:left="0" w:firstLine="720"/>
        <w:jc w:val="both"/>
        <w:rPr>
          <w:rFonts w:ascii="Cambria" w:hAnsi="Cambria"/>
          <w:sz w:val="20"/>
          <w:szCs w:val="20"/>
          <w:lang w:val="es-MX"/>
        </w:rPr>
      </w:pPr>
      <w:r w:rsidRPr="004E3E07">
        <w:rPr>
          <w:rFonts w:ascii="Cambria" w:hAnsi="Cambria"/>
          <w:sz w:val="20"/>
          <w:szCs w:val="20"/>
          <w:lang w:val="es-MX"/>
        </w:rPr>
        <w:t xml:space="preserve">Respecto a las recomendaciones relativas a </w:t>
      </w:r>
      <w:r w:rsidRPr="004E3E07">
        <w:rPr>
          <w:rFonts w:ascii="Cambria" w:hAnsi="Cambria"/>
          <w:b/>
          <w:sz w:val="20"/>
          <w:szCs w:val="20"/>
          <w:lang w:val="es-MX"/>
        </w:rPr>
        <w:t>fortalecer las procuradurías</w:t>
      </w:r>
      <w:r w:rsidRPr="004E3E07">
        <w:rPr>
          <w:rFonts w:ascii="Cambria" w:hAnsi="Cambria"/>
          <w:sz w:val="20"/>
          <w:szCs w:val="20"/>
          <w:lang w:val="es-MX"/>
        </w:rPr>
        <w:t xml:space="preserve"> y </w:t>
      </w:r>
      <w:r w:rsidRPr="004E3E07">
        <w:rPr>
          <w:rFonts w:ascii="Cambria" w:hAnsi="Cambria"/>
          <w:b/>
          <w:sz w:val="20"/>
          <w:szCs w:val="20"/>
          <w:lang w:val="es-MX"/>
        </w:rPr>
        <w:t>establecer un plan de cooperación entre autoridades de procuración de justicia a nivel federal y estatal</w:t>
      </w:r>
      <w:r w:rsidR="00EA0D01">
        <w:rPr>
          <w:rFonts w:ascii="Cambria" w:hAnsi="Cambria"/>
          <w:b/>
          <w:sz w:val="20"/>
          <w:szCs w:val="20"/>
          <w:lang w:val="es-MX"/>
        </w:rPr>
        <w:t>,</w:t>
      </w:r>
      <w:r w:rsidRPr="004E3E07">
        <w:rPr>
          <w:rFonts w:ascii="Cambria" w:hAnsi="Cambria"/>
          <w:sz w:val="20"/>
          <w:szCs w:val="20"/>
          <w:lang w:val="es-MX"/>
        </w:rPr>
        <w:t xml:space="preserve"> el Estado indicó</w:t>
      </w:r>
      <w:r w:rsidR="001E7A8D" w:rsidRPr="004E3E07">
        <w:rPr>
          <w:rFonts w:ascii="Cambria" w:hAnsi="Cambria"/>
          <w:sz w:val="20"/>
          <w:szCs w:val="20"/>
          <w:lang w:val="es-MX"/>
        </w:rPr>
        <w:t>, en términos generales, que continuó</w:t>
      </w:r>
      <w:r w:rsidR="00731777" w:rsidRPr="004E3E07">
        <w:rPr>
          <w:rFonts w:ascii="Cambria" w:hAnsi="Cambria"/>
          <w:sz w:val="20"/>
          <w:szCs w:val="20"/>
          <w:lang w:val="es-MX"/>
        </w:rPr>
        <w:t xml:space="preserve">, a nivel nacional, </w:t>
      </w:r>
      <w:r w:rsidR="001E7A8D" w:rsidRPr="004E3E07">
        <w:rPr>
          <w:rFonts w:ascii="Cambria" w:hAnsi="Cambria"/>
          <w:sz w:val="20"/>
          <w:szCs w:val="20"/>
          <w:lang w:val="es-MX"/>
        </w:rPr>
        <w:t xml:space="preserve">con la capacitación de servidores públicos que realizan funciones relacionadas con la procuración de justicia, como el personal </w:t>
      </w:r>
      <w:r w:rsidR="00123F8D" w:rsidRPr="004E3E07">
        <w:rPr>
          <w:rFonts w:ascii="Cambria" w:hAnsi="Cambria"/>
          <w:sz w:val="20"/>
          <w:szCs w:val="20"/>
          <w:lang w:val="es-MX"/>
        </w:rPr>
        <w:t xml:space="preserve">de </w:t>
      </w:r>
      <w:r w:rsidR="001E7A8D" w:rsidRPr="004E3E07">
        <w:rPr>
          <w:rFonts w:ascii="Cambria" w:hAnsi="Cambria"/>
          <w:sz w:val="20"/>
          <w:szCs w:val="20"/>
          <w:lang w:val="es-MX"/>
        </w:rPr>
        <w:t>SEDENA</w:t>
      </w:r>
      <w:r w:rsidR="00123F8D" w:rsidRPr="004E3E07">
        <w:rPr>
          <w:rFonts w:ascii="Cambria" w:hAnsi="Cambria"/>
          <w:sz w:val="20"/>
          <w:szCs w:val="20"/>
          <w:lang w:val="es-MX"/>
        </w:rPr>
        <w:t xml:space="preserve">, </w:t>
      </w:r>
      <w:r w:rsidR="001E7A8D" w:rsidRPr="004E3E07">
        <w:rPr>
          <w:rFonts w:ascii="Cambria" w:hAnsi="Cambria"/>
          <w:sz w:val="20"/>
          <w:szCs w:val="20"/>
          <w:lang w:val="es-MX"/>
        </w:rPr>
        <w:t xml:space="preserve">SEMAR, </w:t>
      </w:r>
      <w:r w:rsidR="00123F8D" w:rsidRPr="004E3E07">
        <w:rPr>
          <w:rFonts w:ascii="Cambria" w:hAnsi="Cambria"/>
          <w:sz w:val="20"/>
          <w:szCs w:val="20"/>
          <w:lang w:val="es-MX"/>
        </w:rPr>
        <w:t xml:space="preserve">SSPC y </w:t>
      </w:r>
      <w:r w:rsidR="001E7A8D" w:rsidRPr="004E3E07">
        <w:rPr>
          <w:rFonts w:ascii="Cambria" w:hAnsi="Cambria"/>
          <w:sz w:val="20"/>
          <w:szCs w:val="20"/>
          <w:lang w:val="es-MX"/>
        </w:rPr>
        <w:t>del Órgano Administrativo Desconcentrado Prevención y Readaptación Social de la SEGOB, de las procuradurías y fiscalías generales de justicia, así como de las secretarías de seguridad pública de las entidades federativas, en los tres niveles de gobierno</w:t>
      </w:r>
      <w:r w:rsidR="00036AA9" w:rsidRPr="004E3E07">
        <w:rPr>
          <w:rStyle w:val="FootnoteReference"/>
          <w:rFonts w:ascii="Cambria" w:eastAsia="Cambria" w:hAnsi="Cambria" w:cs="Cambria"/>
          <w:sz w:val="20"/>
          <w:szCs w:val="20"/>
          <w:lang w:val="es-MX"/>
        </w:rPr>
        <w:footnoteReference w:id="172"/>
      </w:r>
      <w:r w:rsidR="001E7A8D" w:rsidRPr="004E3E07">
        <w:rPr>
          <w:rFonts w:ascii="Cambria" w:hAnsi="Cambria"/>
          <w:sz w:val="20"/>
          <w:szCs w:val="20"/>
          <w:lang w:val="es-MX"/>
        </w:rPr>
        <w:t>.</w:t>
      </w:r>
      <w:r w:rsidR="00BD3405" w:rsidRPr="004E3E07">
        <w:rPr>
          <w:rFonts w:ascii="Cambria" w:hAnsi="Cambria"/>
          <w:sz w:val="20"/>
          <w:szCs w:val="20"/>
          <w:lang w:val="es-MX"/>
        </w:rPr>
        <w:t xml:space="preserve"> </w:t>
      </w:r>
      <w:r w:rsidR="00B33313" w:rsidRPr="004E3E07">
        <w:rPr>
          <w:rFonts w:ascii="Cambria" w:hAnsi="Cambria"/>
          <w:sz w:val="20"/>
          <w:szCs w:val="20"/>
          <w:lang w:val="es-MX"/>
        </w:rPr>
        <w:t>El Estado</w:t>
      </w:r>
      <w:r w:rsidR="00BD3405" w:rsidRPr="004E3E07">
        <w:rPr>
          <w:rFonts w:ascii="Cambria" w:hAnsi="Cambria"/>
          <w:sz w:val="20"/>
          <w:szCs w:val="20"/>
          <w:lang w:val="es-MX"/>
        </w:rPr>
        <w:t xml:space="preserve"> no </w:t>
      </w:r>
      <w:r w:rsidR="006B03AF" w:rsidRPr="004E3E07">
        <w:rPr>
          <w:rFonts w:ascii="Cambria" w:hAnsi="Cambria"/>
          <w:sz w:val="20"/>
          <w:szCs w:val="20"/>
          <w:lang w:val="es-MX"/>
        </w:rPr>
        <w:t>aportó detalles sobr</w:t>
      </w:r>
      <w:r w:rsidR="007C3AFC" w:rsidRPr="004E3E07">
        <w:rPr>
          <w:rFonts w:ascii="Cambria" w:hAnsi="Cambria"/>
          <w:sz w:val="20"/>
          <w:szCs w:val="20"/>
          <w:lang w:val="es-MX"/>
        </w:rPr>
        <w:t xml:space="preserve">e estas capacitaciones. </w:t>
      </w:r>
    </w:p>
    <w:p w14:paraId="5BB15897" w14:textId="4FC60874" w:rsidR="00AB4592" w:rsidRPr="004E3E07" w:rsidRDefault="00AB4592" w:rsidP="00B33313">
      <w:pPr>
        <w:numPr>
          <w:ilvl w:val="0"/>
          <w:numId w:val="5"/>
        </w:numPr>
        <w:shd w:val="clear" w:color="auto" w:fill="FFFFFF"/>
        <w:spacing w:after="240" w:line="240" w:lineRule="auto"/>
        <w:ind w:left="0" w:firstLine="720"/>
        <w:jc w:val="both"/>
        <w:rPr>
          <w:rFonts w:ascii="Cambria" w:eastAsia="Cambria" w:hAnsi="Cambria" w:cs="Cambria"/>
          <w:sz w:val="20"/>
          <w:szCs w:val="20"/>
          <w:lang w:val="es-MX"/>
        </w:rPr>
      </w:pPr>
      <w:r w:rsidRPr="004E3E07">
        <w:rPr>
          <w:rFonts w:ascii="Cambria" w:eastAsia="Cambria" w:hAnsi="Cambria" w:cs="Cambria"/>
          <w:sz w:val="20"/>
          <w:szCs w:val="20"/>
          <w:lang w:val="es-MX"/>
        </w:rPr>
        <w:t>En relación con la recomendación referida</w:t>
      </w:r>
      <w:r w:rsidR="00695407" w:rsidRPr="004E3E07">
        <w:rPr>
          <w:rFonts w:ascii="Cambria" w:eastAsia="Cambria" w:hAnsi="Cambria" w:cs="Cambria"/>
          <w:sz w:val="20"/>
          <w:szCs w:val="20"/>
          <w:lang w:val="es-MX"/>
        </w:rPr>
        <w:t xml:space="preserve"> al establecimiento de un plan de cooperación entre autoridades de procuración de justicia</w:t>
      </w:r>
      <w:r w:rsidR="00E02ED7" w:rsidRPr="004E3E07">
        <w:rPr>
          <w:rFonts w:ascii="Cambria" w:eastAsia="Cambria" w:hAnsi="Cambria" w:cs="Cambria"/>
          <w:sz w:val="20"/>
          <w:szCs w:val="20"/>
          <w:lang w:val="es-MX"/>
        </w:rPr>
        <w:t xml:space="preserve">, el Estado reiteró la CIDH que </w:t>
      </w:r>
      <w:r w:rsidR="004D7DA8" w:rsidRPr="004E3E07">
        <w:rPr>
          <w:rFonts w:ascii="Cambria" w:eastAsia="Cambria" w:hAnsi="Cambria" w:cs="Cambria"/>
          <w:sz w:val="20"/>
          <w:szCs w:val="20"/>
          <w:lang w:val="es-MX"/>
        </w:rPr>
        <w:t>la cooperación existente entre autoridades de procuración de justicia a nivel federal y estatal en investigaciones de violaciones graves a derechos humanos se rige mediante la aplicación de las leyes en materia de desapar</w:t>
      </w:r>
      <w:r w:rsidR="007F5006" w:rsidRPr="004E3E07">
        <w:rPr>
          <w:rFonts w:ascii="Cambria" w:eastAsia="Cambria" w:hAnsi="Cambria" w:cs="Cambria"/>
          <w:sz w:val="20"/>
          <w:szCs w:val="20"/>
          <w:lang w:val="es-MX"/>
        </w:rPr>
        <w:t xml:space="preserve">ición de personas, </w:t>
      </w:r>
      <w:r w:rsidR="006267BD" w:rsidRPr="004E3E07">
        <w:rPr>
          <w:rFonts w:ascii="Cambria" w:eastAsia="Cambria" w:hAnsi="Cambria" w:cs="Cambria"/>
          <w:sz w:val="20"/>
          <w:szCs w:val="20"/>
          <w:lang w:val="es-MX"/>
        </w:rPr>
        <w:t>trata de personas</w:t>
      </w:r>
      <w:r w:rsidR="00662DF6" w:rsidRPr="004E3E07">
        <w:rPr>
          <w:rFonts w:ascii="Cambria" w:eastAsia="Cambria" w:hAnsi="Cambria" w:cs="Cambria"/>
          <w:sz w:val="20"/>
          <w:szCs w:val="20"/>
          <w:lang w:val="es-MX"/>
        </w:rPr>
        <w:t xml:space="preserve"> y tortura</w:t>
      </w:r>
      <w:r w:rsidR="00036AA9" w:rsidRPr="004E3E07">
        <w:rPr>
          <w:rStyle w:val="FootnoteReference"/>
          <w:rFonts w:ascii="Cambria" w:eastAsia="Cambria" w:hAnsi="Cambria" w:cs="Cambria"/>
          <w:sz w:val="20"/>
          <w:szCs w:val="20"/>
          <w:lang w:val="es-MX"/>
        </w:rPr>
        <w:footnoteReference w:id="173"/>
      </w:r>
      <w:r w:rsidR="00662DF6" w:rsidRPr="004E3E07">
        <w:rPr>
          <w:rFonts w:ascii="Cambria" w:eastAsia="Cambria" w:hAnsi="Cambria" w:cs="Cambria"/>
          <w:sz w:val="20"/>
          <w:szCs w:val="20"/>
          <w:lang w:val="es-MX"/>
        </w:rPr>
        <w:t>.</w:t>
      </w:r>
      <w:r w:rsidR="001135D6" w:rsidRPr="004E3E07">
        <w:rPr>
          <w:rFonts w:ascii="Cambria" w:eastAsia="Cambria" w:hAnsi="Cambria" w:cs="Cambria"/>
          <w:sz w:val="20"/>
          <w:szCs w:val="20"/>
          <w:lang w:val="es-MX"/>
        </w:rPr>
        <w:t xml:space="preserve"> El Estado no aportó </w:t>
      </w:r>
      <w:r w:rsidR="00C131B7" w:rsidRPr="004E3E07">
        <w:rPr>
          <w:rFonts w:ascii="Cambria" w:eastAsia="Cambria" w:hAnsi="Cambria" w:cs="Cambria"/>
          <w:sz w:val="20"/>
          <w:szCs w:val="20"/>
          <w:lang w:val="es-MX"/>
        </w:rPr>
        <w:t>detalles sobre el funcionamiento de es</w:t>
      </w:r>
      <w:r w:rsidR="00036AA9" w:rsidRPr="004E3E07">
        <w:rPr>
          <w:rFonts w:ascii="Cambria" w:eastAsia="Cambria" w:hAnsi="Cambria" w:cs="Cambria"/>
          <w:sz w:val="20"/>
          <w:szCs w:val="20"/>
          <w:lang w:val="es-MX"/>
        </w:rPr>
        <w:t>tos mecanismos de cooperación entre autoridades judiciales de diferentes niveles de gobierno.</w:t>
      </w:r>
    </w:p>
    <w:p w14:paraId="65159CB6" w14:textId="4B4F2B93" w:rsidR="007B69C1" w:rsidRPr="00A163BA" w:rsidRDefault="00BD459C" w:rsidP="007B69C1">
      <w:pPr>
        <w:numPr>
          <w:ilvl w:val="0"/>
          <w:numId w:val="5"/>
        </w:numPr>
        <w:shd w:val="clear" w:color="auto" w:fill="FFFFFF"/>
        <w:spacing w:after="240" w:line="240" w:lineRule="auto"/>
        <w:ind w:left="0" w:firstLine="720"/>
        <w:jc w:val="both"/>
        <w:rPr>
          <w:rFonts w:ascii="Cambria" w:eastAsia="Cambria" w:hAnsi="Cambria" w:cs="Cambria"/>
          <w:sz w:val="20"/>
          <w:szCs w:val="20"/>
          <w:lang w:val="es-MX"/>
        </w:rPr>
      </w:pPr>
      <w:r w:rsidRPr="004E3E07">
        <w:rPr>
          <w:rFonts w:ascii="Cambria" w:eastAsia="Cambria" w:hAnsi="Cambria" w:cs="Cambria"/>
          <w:sz w:val="20"/>
          <w:szCs w:val="20"/>
          <w:lang w:val="es-MX"/>
        </w:rPr>
        <w:t xml:space="preserve">En </w:t>
      </w:r>
      <w:r w:rsidR="008C7936" w:rsidRPr="004E3E07">
        <w:rPr>
          <w:rFonts w:ascii="Cambria" w:eastAsia="Cambria" w:hAnsi="Cambria" w:cs="Cambria"/>
          <w:sz w:val="20"/>
          <w:szCs w:val="20"/>
          <w:lang w:val="es-MX"/>
        </w:rPr>
        <w:t>noviembre y diciembre</w:t>
      </w:r>
      <w:r w:rsidRPr="004E3E07">
        <w:rPr>
          <w:rFonts w:ascii="Cambria" w:eastAsia="Cambria" w:hAnsi="Cambria" w:cs="Cambria"/>
          <w:sz w:val="20"/>
          <w:szCs w:val="20"/>
          <w:lang w:val="es-MX"/>
        </w:rPr>
        <w:t xml:space="preserve"> de </w:t>
      </w:r>
      <w:r w:rsidR="00183A54" w:rsidRPr="004E3E07">
        <w:rPr>
          <w:rFonts w:ascii="Cambria" w:eastAsia="Cambria" w:hAnsi="Cambria" w:cs="Cambria"/>
          <w:sz w:val="20"/>
          <w:szCs w:val="20"/>
          <w:lang w:val="es-MX"/>
        </w:rPr>
        <w:t>2021 la Comisión tuvo conocimiento</w:t>
      </w:r>
      <w:r w:rsidR="008C7936" w:rsidRPr="004E3E07">
        <w:rPr>
          <w:rFonts w:ascii="Cambria" w:eastAsia="Cambria" w:hAnsi="Cambria" w:cs="Cambria"/>
          <w:sz w:val="20"/>
          <w:szCs w:val="20"/>
          <w:lang w:val="es-MX"/>
        </w:rPr>
        <w:t xml:space="preserve"> de que </w:t>
      </w:r>
      <w:r w:rsidR="00C2006D" w:rsidRPr="004E3E07">
        <w:rPr>
          <w:rFonts w:ascii="Cambria" w:eastAsia="Cambria" w:hAnsi="Cambria" w:cs="Cambria"/>
          <w:sz w:val="20"/>
          <w:szCs w:val="20"/>
          <w:lang w:val="es-MX"/>
        </w:rPr>
        <w:t>la abogada Ana Lorena Delgadillo, la perita forense Mercedes Doretti y la periodista Marcel</w:t>
      </w:r>
      <w:r w:rsidR="00CC349A" w:rsidRPr="004E3E07">
        <w:rPr>
          <w:rFonts w:ascii="Cambria" w:eastAsia="Cambria" w:hAnsi="Cambria" w:cs="Cambria"/>
          <w:sz w:val="20"/>
          <w:szCs w:val="20"/>
          <w:lang w:val="es-MX"/>
        </w:rPr>
        <w:t>a Turati fueron objeto de investigaciones por su labor en la defensa de los derechos humanos en el caso de la masacre de San Fernando relacionada con la desaparición de personas migrantes de paso en territorio mexicano</w:t>
      </w:r>
      <w:r w:rsidR="00B82983" w:rsidRPr="004E3E07">
        <w:rPr>
          <w:rFonts w:ascii="Cambria" w:eastAsia="Cambria" w:hAnsi="Cambria" w:cs="Cambria"/>
          <w:sz w:val="20"/>
          <w:szCs w:val="20"/>
          <w:lang w:val="es-MX"/>
        </w:rPr>
        <w:t xml:space="preserve"> durante el año 2015</w:t>
      </w:r>
      <w:r w:rsidR="00CC349A" w:rsidRPr="004E3E07">
        <w:rPr>
          <w:rFonts w:ascii="Cambria" w:eastAsia="Cambria" w:hAnsi="Cambria" w:cs="Cambria"/>
          <w:sz w:val="20"/>
          <w:szCs w:val="20"/>
          <w:lang w:val="es-MX"/>
        </w:rPr>
        <w:t>.</w:t>
      </w:r>
      <w:r w:rsidR="00A316A2" w:rsidRPr="004E3E07">
        <w:rPr>
          <w:rFonts w:ascii="Cambria" w:eastAsia="Cambria" w:hAnsi="Cambria" w:cs="Cambria"/>
          <w:sz w:val="20"/>
          <w:szCs w:val="20"/>
          <w:lang w:val="es-MX"/>
        </w:rPr>
        <w:t xml:space="preserve"> </w:t>
      </w:r>
      <w:r w:rsidR="00B82983" w:rsidRPr="004E3E07">
        <w:rPr>
          <w:rFonts w:ascii="Cambria" w:eastAsia="Cambria" w:hAnsi="Cambria" w:cs="Cambria"/>
          <w:sz w:val="20"/>
          <w:szCs w:val="20"/>
          <w:lang w:val="es-MX"/>
        </w:rPr>
        <w:t xml:space="preserve">La CIDH observa con preocupación que la inclusión </w:t>
      </w:r>
      <w:r w:rsidR="00A316A2" w:rsidRPr="004E3E07">
        <w:rPr>
          <w:rFonts w:ascii="Cambria" w:eastAsia="Cambria" w:hAnsi="Cambria" w:cs="Cambria"/>
          <w:sz w:val="20"/>
          <w:szCs w:val="20"/>
          <w:lang w:val="es-MX"/>
        </w:rPr>
        <w:t xml:space="preserve">de las implicadas </w:t>
      </w:r>
      <w:r w:rsidR="00904043" w:rsidRPr="004E3E07">
        <w:rPr>
          <w:rFonts w:ascii="Cambria" w:eastAsia="Cambria" w:hAnsi="Cambria" w:cs="Cambria"/>
          <w:sz w:val="20"/>
          <w:szCs w:val="20"/>
          <w:lang w:val="es-MX"/>
        </w:rPr>
        <w:t>en la investigación</w:t>
      </w:r>
      <w:r w:rsidR="00B82983" w:rsidRPr="004E3E07">
        <w:rPr>
          <w:rFonts w:ascii="Cambria" w:eastAsia="Cambria" w:hAnsi="Cambria" w:cs="Cambria"/>
          <w:sz w:val="20"/>
          <w:szCs w:val="20"/>
          <w:lang w:val="es-MX"/>
        </w:rPr>
        <w:t xml:space="preserve">, </w:t>
      </w:r>
      <w:r w:rsidR="00904043" w:rsidRPr="004E3E07">
        <w:rPr>
          <w:rFonts w:ascii="Cambria" w:eastAsia="Cambria" w:hAnsi="Cambria" w:cs="Cambria"/>
          <w:sz w:val="20"/>
          <w:szCs w:val="20"/>
          <w:lang w:val="es-MX"/>
        </w:rPr>
        <w:t>en un caso que se adelanta por el delito de crimen organizado y desaparición de personas</w:t>
      </w:r>
      <w:r w:rsidR="00B82983" w:rsidRPr="004E3E07">
        <w:rPr>
          <w:rFonts w:ascii="Cambria" w:eastAsia="Cambria" w:hAnsi="Cambria" w:cs="Cambria"/>
          <w:sz w:val="20"/>
          <w:szCs w:val="20"/>
          <w:lang w:val="es-MX"/>
        </w:rPr>
        <w:t>, ha sido calificada por agentes estatales</w:t>
      </w:r>
      <w:r w:rsidR="00B82983" w:rsidRPr="004E3E07">
        <w:rPr>
          <w:rStyle w:val="FootnoteReference"/>
          <w:rFonts w:ascii="Cambria" w:eastAsia="Cambria" w:hAnsi="Cambria" w:cs="Cambria"/>
          <w:sz w:val="20"/>
          <w:szCs w:val="20"/>
          <w:lang w:val="es-MX"/>
        </w:rPr>
        <w:footnoteReference w:id="174"/>
      </w:r>
      <w:r w:rsidR="00B82983" w:rsidRPr="004E3E07">
        <w:rPr>
          <w:rFonts w:ascii="Cambria" w:eastAsia="Cambria" w:hAnsi="Cambria" w:cs="Cambria"/>
          <w:sz w:val="20"/>
          <w:szCs w:val="20"/>
          <w:lang w:val="es-MX"/>
        </w:rPr>
        <w:t xml:space="preserve"> y organizaciones de sociedad como </w:t>
      </w:r>
      <w:r w:rsidR="00587A6D" w:rsidRPr="004E3E07">
        <w:rPr>
          <w:rFonts w:ascii="Cambria" w:eastAsia="Cambria" w:hAnsi="Cambria" w:cs="Cambria"/>
          <w:sz w:val="20"/>
          <w:szCs w:val="20"/>
          <w:lang w:val="es-MX"/>
        </w:rPr>
        <w:t>una forma de criminalización</w:t>
      </w:r>
      <w:r w:rsidR="00B82983" w:rsidRPr="004E3E07">
        <w:rPr>
          <w:rFonts w:ascii="Cambria" w:eastAsia="Cambria" w:hAnsi="Cambria" w:cs="Cambria"/>
          <w:sz w:val="20"/>
          <w:szCs w:val="20"/>
          <w:lang w:val="es-MX"/>
        </w:rPr>
        <w:t>.</w:t>
      </w:r>
      <w:r w:rsidR="00965F5C" w:rsidRPr="004E3E07">
        <w:rPr>
          <w:rFonts w:ascii="Cambria" w:eastAsia="Cambria" w:hAnsi="Cambria" w:cs="Cambria"/>
          <w:sz w:val="20"/>
          <w:szCs w:val="20"/>
          <w:lang w:val="es-MX"/>
        </w:rPr>
        <w:t xml:space="preserve"> De cara a la recomendación relacionada con </w:t>
      </w:r>
      <w:r w:rsidR="00E37758" w:rsidRPr="004E3E07">
        <w:rPr>
          <w:rFonts w:ascii="Cambria" w:eastAsia="Cambria" w:hAnsi="Cambria" w:cs="Cambria"/>
          <w:sz w:val="20"/>
          <w:szCs w:val="20"/>
          <w:lang w:val="es-MX"/>
        </w:rPr>
        <w:t xml:space="preserve">la capacitación </w:t>
      </w:r>
      <w:r w:rsidR="004F2CDE" w:rsidRPr="004E3E07">
        <w:rPr>
          <w:rFonts w:ascii="Cambria" w:eastAsia="Cambria" w:hAnsi="Cambria" w:cs="Cambria"/>
          <w:sz w:val="20"/>
          <w:szCs w:val="20"/>
          <w:lang w:val="es-MX"/>
        </w:rPr>
        <w:t xml:space="preserve">técnica </w:t>
      </w:r>
      <w:r w:rsidR="00617A55" w:rsidRPr="004E3E07">
        <w:rPr>
          <w:rFonts w:ascii="Cambria" w:eastAsia="Cambria" w:hAnsi="Cambria" w:cs="Cambria"/>
          <w:sz w:val="20"/>
          <w:szCs w:val="20"/>
          <w:lang w:val="es-MX"/>
        </w:rPr>
        <w:t>del personal de</w:t>
      </w:r>
      <w:r w:rsidR="004F2CDE" w:rsidRPr="004E3E07">
        <w:rPr>
          <w:rFonts w:ascii="Cambria" w:eastAsia="Cambria" w:hAnsi="Cambria" w:cs="Cambria"/>
          <w:sz w:val="20"/>
          <w:szCs w:val="20"/>
          <w:lang w:val="es-MX"/>
        </w:rPr>
        <w:t xml:space="preserve"> procuradurías y fiscalías para que conduzcan investigaciones independientes, la Comisión encuen</w:t>
      </w:r>
      <w:r w:rsidR="00805825" w:rsidRPr="004E3E07">
        <w:rPr>
          <w:rFonts w:ascii="Cambria" w:eastAsia="Cambria" w:hAnsi="Cambria" w:cs="Cambria"/>
          <w:sz w:val="20"/>
          <w:szCs w:val="20"/>
          <w:lang w:val="es-MX"/>
        </w:rPr>
        <w:t xml:space="preserve">tra preocupante </w:t>
      </w:r>
      <w:r w:rsidR="00045DB8" w:rsidRPr="004E3E07">
        <w:rPr>
          <w:rFonts w:ascii="Cambria" w:eastAsia="Cambria" w:hAnsi="Cambria" w:cs="Cambria"/>
          <w:sz w:val="20"/>
          <w:szCs w:val="20"/>
          <w:lang w:val="es-MX"/>
        </w:rPr>
        <w:t xml:space="preserve">que, pese a la vigencia de esta recomendación desde el año 2015, el Estado no haya </w:t>
      </w:r>
      <w:r w:rsidR="00712077">
        <w:rPr>
          <w:rFonts w:ascii="Cambria" w:eastAsia="Cambria" w:hAnsi="Cambria" w:cs="Cambria"/>
          <w:sz w:val="20"/>
          <w:szCs w:val="20"/>
          <w:lang w:val="es-MX"/>
        </w:rPr>
        <w:t>identificado</w:t>
      </w:r>
      <w:r w:rsidR="00045DB8" w:rsidRPr="004E3E07">
        <w:rPr>
          <w:rFonts w:ascii="Cambria" w:eastAsia="Cambria" w:hAnsi="Cambria" w:cs="Cambria"/>
          <w:sz w:val="20"/>
          <w:szCs w:val="20"/>
          <w:lang w:val="es-MX"/>
        </w:rPr>
        <w:t xml:space="preserve"> este tipo de investigaciones dirigidas en contra de personas defensoras de derechos humanos y que </w:t>
      </w:r>
      <w:r w:rsidR="00DA0E88" w:rsidRPr="004E3E07">
        <w:rPr>
          <w:rFonts w:ascii="Cambria" w:eastAsia="Cambria" w:hAnsi="Cambria" w:cs="Cambria"/>
          <w:sz w:val="20"/>
          <w:szCs w:val="20"/>
          <w:lang w:val="es-MX"/>
        </w:rPr>
        <w:t xml:space="preserve">se </w:t>
      </w:r>
      <w:r w:rsidR="00045DB8" w:rsidRPr="004E3E07">
        <w:rPr>
          <w:rFonts w:ascii="Cambria" w:eastAsia="Cambria" w:hAnsi="Cambria" w:cs="Cambria"/>
          <w:sz w:val="20"/>
          <w:szCs w:val="20"/>
          <w:lang w:val="es-MX"/>
        </w:rPr>
        <w:t>traducen serios cuestionamientos en torno a la superación</w:t>
      </w:r>
      <w:r w:rsidR="00C42949" w:rsidRPr="004E3E07">
        <w:rPr>
          <w:rFonts w:ascii="Cambria" w:eastAsia="Cambria" w:hAnsi="Cambria" w:cs="Cambria"/>
          <w:sz w:val="20"/>
          <w:szCs w:val="20"/>
          <w:lang w:val="es-MX"/>
        </w:rPr>
        <w:t xml:space="preserve"> </w:t>
      </w:r>
      <w:r w:rsidR="009C665A" w:rsidRPr="004E3E07">
        <w:rPr>
          <w:rFonts w:ascii="Cambria" w:eastAsia="Cambria" w:hAnsi="Cambria" w:cs="Cambria"/>
          <w:sz w:val="20"/>
          <w:szCs w:val="20"/>
          <w:lang w:val="es-MX"/>
        </w:rPr>
        <w:t>de los vicios de parcialidad y falta de objetividad en las investigaciones</w:t>
      </w:r>
      <w:r w:rsidR="00EA52D9" w:rsidRPr="004E3E07">
        <w:rPr>
          <w:rFonts w:ascii="Cambria" w:eastAsia="Cambria" w:hAnsi="Cambria" w:cs="Cambria"/>
          <w:sz w:val="20"/>
          <w:szCs w:val="20"/>
          <w:lang w:val="es-MX"/>
        </w:rPr>
        <w:t>. Un diagnóstico adecuado</w:t>
      </w:r>
      <w:r w:rsidR="00A8186C" w:rsidRPr="004E3E07">
        <w:rPr>
          <w:rFonts w:ascii="Cambria" w:eastAsia="Cambria" w:hAnsi="Cambria" w:cs="Cambria"/>
          <w:sz w:val="20"/>
          <w:szCs w:val="20"/>
          <w:lang w:val="es-MX"/>
        </w:rPr>
        <w:t xml:space="preserve"> orientado a las necesidad</w:t>
      </w:r>
      <w:r w:rsidR="005E4FE8" w:rsidRPr="004E3E07">
        <w:rPr>
          <w:rFonts w:ascii="Cambria" w:eastAsia="Cambria" w:hAnsi="Cambria" w:cs="Cambria"/>
          <w:sz w:val="20"/>
          <w:szCs w:val="20"/>
          <w:lang w:val="es-MX"/>
        </w:rPr>
        <w:t xml:space="preserve">es </w:t>
      </w:r>
      <w:r w:rsidR="00A8186C" w:rsidRPr="004E3E07">
        <w:rPr>
          <w:rFonts w:ascii="Cambria" w:eastAsia="Cambria" w:hAnsi="Cambria" w:cs="Cambria"/>
          <w:sz w:val="20"/>
          <w:szCs w:val="20"/>
          <w:lang w:val="es-MX"/>
        </w:rPr>
        <w:t xml:space="preserve">de capacitación </w:t>
      </w:r>
      <w:r w:rsidR="005E4FE8" w:rsidRPr="004E3E07">
        <w:rPr>
          <w:rFonts w:ascii="Cambria" w:eastAsia="Cambria" w:hAnsi="Cambria" w:cs="Cambria"/>
          <w:sz w:val="20"/>
          <w:szCs w:val="20"/>
          <w:lang w:val="es-MX"/>
        </w:rPr>
        <w:t>priorizando los órganos de investigación con mayores deficiencias</w:t>
      </w:r>
      <w:r w:rsidR="00EA52D9" w:rsidRPr="004E3E07">
        <w:rPr>
          <w:rFonts w:ascii="Cambria" w:eastAsia="Cambria" w:hAnsi="Cambria" w:cs="Cambria"/>
          <w:sz w:val="20"/>
          <w:szCs w:val="20"/>
          <w:lang w:val="es-MX"/>
        </w:rPr>
        <w:t xml:space="preserve"> </w:t>
      </w:r>
      <w:r w:rsidR="00A8186C" w:rsidRPr="004E3E07">
        <w:rPr>
          <w:rFonts w:ascii="Cambria" w:eastAsia="Cambria" w:hAnsi="Cambria" w:cs="Cambria"/>
          <w:sz w:val="20"/>
          <w:szCs w:val="20"/>
          <w:lang w:val="es-MX"/>
        </w:rPr>
        <w:t>resulta necesario para el cumplimiento estratégico de la presente recomendació</w:t>
      </w:r>
      <w:r w:rsidR="005E4FE8" w:rsidRPr="004E3E07">
        <w:rPr>
          <w:rFonts w:ascii="Cambria" w:eastAsia="Cambria" w:hAnsi="Cambria" w:cs="Cambria"/>
          <w:sz w:val="20"/>
          <w:szCs w:val="20"/>
          <w:lang w:val="es-MX"/>
        </w:rPr>
        <w:t>n</w:t>
      </w:r>
      <w:r w:rsidR="009C665A" w:rsidRPr="004E3E07">
        <w:rPr>
          <w:rFonts w:ascii="Cambria" w:eastAsia="Cambria" w:hAnsi="Cambria" w:cs="Cambria"/>
          <w:sz w:val="20"/>
          <w:szCs w:val="20"/>
          <w:lang w:val="es-MX"/>
        </w:rPr>
        <w:t>.</w:t>
      </w:r>
      <w:r w:rsidR="007B69C1">
        <w:rPr>
          <w:rFonts w:ascii="Cambria" w:eastAsia="Cambria" w:hAnsi="Cambria" w:cs="Cambria"/>
          <w:sz w:val="20"/>
          <w:szCs w:val="20"/>
          <w:lang w:val="es-MX"/>
        </w:rPr>
        <w:t xml:space="preserve"> En sus observaciones al proyecto del presente informe, </w:t>
      </w:r>
      <w:r w:rsidR="007B69C1" w:rsidRPr="00A163BA">
        <w:rPr>
          <w:rFonts w:ascii="Cambria" w:eastAsia="Cambria" w:hAnsi="Cambria" w:cs="Cambria"/>
          <w:sz w:val="20"/>
          <w:szCs w:val="20"/>
          <w:lang w:val="es-MX"/>
        </w:rPr>
        <w:t xml:space="preserve">el Estado indicó que Ana Lorena Delgadillo presentó denuncia ante la Fiscalía de Asuntos Internos de la FGR. En tal sentido, la Unidad de Investigación de Delitos para Personas Migrantes (UIDPM) ha brindado las facilidades necesarias a dicha Fiscalía, para realizar la consulta del expediente iniciada con motivo de la denuncia </w:t>
      </w:r>
      <w:r w:rsidR="007B69C1" w:rsidRPr="00A163BA">
        <w:rPr>
          <w:rFonts w:ascii="Cambria" w:eastAsia="Cambria" w:hAnsi="Cambria" w:cs="Cambria"/>
          <w:sz w:val="20"/>
          <w:szCs w:val="20"/>
        </w:rPr>
        <w:t>Por otra parte, se proporcionó a Marcela Turati versión publica de Dictamen de Grafoscopía Forense de fecha 1 de marzo de 2016, emitido por perito en grafoscopía y documentoscopía, adscrito a la Coordinación General de Servicios Periciales de la entonces Procuraduría General de la República. En atención a solicitud de acceso a la información presentada a esa Fiscalía. De igual manera, se ha proporcionado copia de la totalidad del expediente y la información digital contenida en el mismo a Ana Lorena Delgadillo para garantizar el Derecho a la Verdad y a la Justicia de las víctimas. Finalmente, informó que de acuerdo a la FGR no existe investigación en curso por los delitos de delincuencia organizada o desaparición forzada, en las que se investigue a las defensoras de Derechos Humano citadas</w:t>
      </w:r>
      <w:r w:rsidR="007B69C1" w:rsidRPr="00A163BA">
        <w:rPr>
          <w:rStyle w:val="FootnoteReference"/>
          <w:rFonts w:ascii="Cambria" w:eastAsia="Cambria" w:hAnsi="Cambria" w:cs="Cambria"/>
          <w:sz w:val="20"/>
          <w:szCs w:val="20"/>
        </w:rPr>
        <w:footnoteReference w:id="175"/>
      </w:r>
      <w:r w:rsidR="007B69C1" w:rsidRPr="00A163BA">
        <w:rPr>
          <w:rFonts w:ascii="Cambria" w:eastAsia="Cambria" w:hAnsi="Cambria" w:cs="Cambria"/>
          <w:sz w:val="20"/>
          <w:szCs w:val="20"/>
        </w:rPr>
        <w:t>.</w:t>
      </w:r>
    </w:p>
    <w:p w14:paraId="161B4869" w14:textId="741D936A" w:rsidR="009C665A" w:rsidRPr="004E3E07" w:rsidRDefault="009C665A" w:rsidP="009C665A">
      <w:pPr>
        <w:numPr>
          <w:ilvl w:val="0"/>
          <w:numId w:val="5"/>
        </w:numPr>
        <w:shd w:val="clear" w:color="auto" w:fill="FFFFFF"/>
        <w:spacing w:after="240" w:line="240" w:lineRule="auto"/>
        <w:ind w:left="0" w:firstLine="720"/>
        <w:jc w:val="both"/>
        <w:rPr>
          <w:rFonts w:ascii="Cambria" w:eastAsia="Cambria" w:hAnsi="Cambria" w:cs="Cambria"/>
          <w:sz w:val="20"/>
          <w:szCs w:val="20"/>
          <w:lang w:val="es-MX"/>
        </w:rPr>
      </w:pPr>
      <w:r w:rsidRPr="004E3E07">
        <w:rPr>
          <w:rFonts w:ascii="Cambria" w:eastAsia="Cambria" w:hAnsi="Cambria" w:cs="Cambria"/>
          <w:sz w:val="20"/>
          <w:szCs w:val="20"/>
          <w:lang w:val="es-MX"/>
        </w:rPr>
        <w:t xml:space="preserve"> La Comisión saluda la inclusión de las personas afectadas en el mecanismo de protección de personas defensoras y periodistas, y recalca la necesidad de que el Estado identifique las necesidades de capacitación en torno a este tipo de investigaciones dirigidas a comprometer la defensoría de casos sobre violaciones a los derechos humanos</w:t>
      </w:r>
      <w:r w:rsidR="00E86943" w:rsidRPr="004E3E07">
        <w:rPr>
          <w:rFonts w:ascii="Cambria" w:eastAsia="Cambria" w:hAnsi="Cambria" w:cs="Cambria"/>
          <w:sz w:val="20"/>
          <w:szCs w:val="20"/>
          <w:lang w:val="es-MX"/>
        </w:rPr>
        <w:t xml:space="preserve">, sin perjuicio de las investigaciones administrativas y penales, correspondientes. En función de </w:t>
      </w:r>
      <w:r w:rsidR="004841AB" w:rsidRPr="004E3E07">
        <w:rPr>
          <w:rFonts w:ascii="Cambria" w:eastAsia="Cambria" w:hAnsi="Cambria" w:cs="Cambria"/>
          <w:sz w:val="20"/>
          <w:szCs w:val="20"/>
          <w:lang w:val="es-MX"/>
        </w:rPr>
        <w:t xml:space="preserve">las consideraciones anteriores y la falta de </w:t>
      </w:r>
      <w:r w:rsidR="00B2361D" w:rsidRPr="004E3E07">
        <w:rPr>
          <w:rFonts w:ascii="Cambria" w:eastAsia="Cambria" w:hAnsi="Cambria" w:cs="Cambria"/>
          <w:sz w:val="20"/>
          <w:szCs w:val="20"/>
          <w:lang w:val="es-MX"/>
        </w:rPr>
        <w:t>información específica aportada por</w:t>
      </w:r>
      <w:r w:rsidR="001D658D" w:rsidRPr="004E3E07">
        <w:rPr>
          <w:rFonts w:ascii="Cambria" w:eastAsia="Cambria" w:hAnsi="Cambria" w:cs="Cambria"/>
          <w:sz w:val="20"/>
          <w:szCs w:val="20"/>
          <w:lang w:val="es-MX"/>
        </w:rPr>
        <w:t xml:space="preserve"> el</w:t>
      </w:r>
      <w:r w:rsidR="00B2361D" w:rsidRPr="004E3E07">
        <w:rPr>
          <w:rFonts w:ascii="Cambria" w:eastAsia="Cambria" w:hAnsi="Cambria" w:cs="Cambria"/>
          <w:sz w:val="20"/>
          <w:szCs w:val="20"/>
          <w:lang w:val="es-MX"/>
        </w:rPr>
        <w:t xml:space="preserve"> Estado</w:t>
      </w:r>
      <w:r w:rsidR="00E86943" w:rsidRPr="004E3E07">
        <w:rPr>
          <w:rFonts w:ascii="Cambria" w:eastAsia="Cambria" w:hAnsi="Cambria" w:cs="Cambria"/>
          <w:sz w:val="20"/>
          <w:szCs w:val="20"/>
          <w:lang w:val="es-MX"/>
        </w:rPr>
        <w:t>, la CIDH concluye que la recomendación bajo análisis se encuentra</w:t>
      </w:r>
      <w:r w:rsidR="004841AB" w:rsidRPr="004E3E07">
        <w:rPr>
          <w:rFonts w:ascii="Cambria" w:eastAsia="Cambria" w:hAnsi="Cambria" w:cs="Cambria"/>
          <w:sz w:val="20"/>
          <w:szCs w:val="20"/>
          <w:lang w:val="es-MX"/>
        </w:rPr>
        <w:t xml:space="preserve"> en cumplimiento parcial.</w:t>
      </w:r>
      <w:r w:rsidR="00E86943" w:rsidRPr="004E3E07">
        <w:rPr>
          <w:rFonts w:ascii="Cambria" w:eastAsia="Cambria" w:hAnsi="Cambria" w:cs="Cambria"/>
          <w:sz w:val="20"/>
          <w:szCs w:val="20"/>
          <w:lang w:val="es-MX"/>
        </w:rPr>
        <w:t xml:space="preserve"> </w:t>
      </w:r>
    </w:p>
    <w:p w14:paraId="146069EF" w14:textId="5559C08F" w:rsidR="002277F5" w:rsidRPr="004E3E07" w:rsidRDefault="007E25FF" w:rsidP="5258151B">
      <w:pPr>
        <w:numPr>
          <w:ilvl w:val="0"/>
          <w:numId w:val="5"/>
        </w:numPr>
        <w:shd w:val="clear" w:color="auto" w:fill="FFFFFF"/>
        <w:spacing w:after="240" w:line="240" w:lineRule="auto"/>
        <w:ind w:left="0" w:firstLine="720"/>
        <w:jc w:val="both"/>
        <w:rPr>
          <w:rFonts w:ascii="Cambria" w:eastAsia="Cambria" w:hAnsi="Cambria" w:cs="Cambria"/>
          <w:sz w:val="20"/>
          <w:szCs w:val="20"/>
          <w:lang w:val="es-MX"/>
        </w:rPr>
      </w:pPr>
      <w:r w:rsidRPr="004E3E07">
        <w:rPr>
          <w:rFonts w:ascii="Cambria" w:eastAsia="Cambria" w:hAnsi="Cambria" w:cs="Cambria"/>
          <w:sz w:val="20"/>
          <w:szCs w:val="20"/>
          <w:lang w:val="es-MX"/>
        </w:rPr>
        <w:t xml:space="preserve">De otro lado, respecto de la recomendación sobre el establecimiento de un plan coherente para la cooperación de autoridades estatales y federales para la investigación de graves violaciones a los derechos humanos el Estado no brindó información </w:t>
      </w:r>
      <w:r w:rsidR="00E02AE1" w:rsidRPr="004E3E07">
        <w:rPr>
          <w:rFonts w:ascii="Cambria" w:eastAsia="Cambria" w:hAnsi="Cambria" w:cs="Cambria"/>
          <w:sz w:val="20"/>
          <w:szCs w:val="20"/>
          <w:lang w:val="es-MX"/>
        </w:rPr>
        <w:t xml:space="preserve">sobre la implementación de las </w:t>
      </w:r>
      <w:r w:rsidR="00BB6137" w:rsidRPr="004E3E07">
        <w:rPr>
          <w:rFonts w:ascii="Cambria" w:eastAsia="Cambria" w:hAnsi="Cambria" w:cs="Cambria"/>
          <w:sz w:val="20"/>
          <w:szCs w:val="20"/>
          <w:lang w:val="es-MX"/>
        </w:rPr>
        <w:t xml:space="preserve">normas que aportó como </w:t>
      </w:r>
      <w:r w:rsidR="001D658D" w:rsidRPr="004E3E07">
        <w:rPr>
          <w:rFonts w:ascii="Cambria" w:eastAsia="Cambria" w:hAnsi="Cambria" w:cs="Cambria"/>
          <w:sz w:val="20"/>
          <w:szCs w:val="20"/>
          <w:lang w:val="es-MX"/>
        </w:rPr>
        <w:t xml:space="preserve">medidas adoptadas para el cumplimiento de la recomendación </w:t>
      </w:r>
      <w:r w:rsidRPr="004E3E07">
        <w:rPr>
          <w:rFonts w:ascii="Cambria" w:eastAsia="Cambria" w:hAnsi="Cambria" w:cs="Cambria"/>
          <w:sz w:val="20"/>
          <w:szCs w:val="20"/>
          <w:lang w:val="es-MX"/>
        </w:rPr>
        <w:t>por lo que esta recomendación se encuentra incumplida.</w:t>
      </w:r>
    </w:p>
    <w:p w14:paraId="582466D6" w14:textId="539DFA69" w:rsidR="00C84830" w:rsidRPr="004E3E07" w:rsidRDefault="007E25FF" w:rsidP="00C84830">
      <w:pPr>
        <w:numPr>
          <w:ilvl w:val="0"/>
          <w:numId w:val="5"/>
        </w:numPr>
        <w:shd w:val="clear" w:color="auto" w:fill="FFFFFF"/>
        <w:spacing w:after="240" w:line="240" w:lineRule="auto"/>
        <w:ind w:left="0" w:firstLine="720"/>
        <w:jc w:val="both"/>
        <w:rPr>
          <w:rFonts w:ascii="Cambria" w:eastAsia="Cambria" w:hAnsi="Cambria" w:cs="Cambria"/>
          <w:sz w:val="20"/>
          <w:szCs w:val="20"/>
          <w:lang w:val="es-MX"/>
        </w:rPr>
      </w:pPr>
      <w:r w:rsidRPr="004E3E07">
        <w:rPr>
          <w:rFonts w:ascii="Cambria" w:eastAsia="Cambria" w:hAnsi="Cambria" w:cs="Cambria"/>
          <w:sz w:val="20"/>
          <w:szCs w:val="20"/>
          <w:lang w:val="es-MX"/>
        </w:rPr>
        <w:t xml:space="preserve">Sobre la recomendación de </w:t>
      </w:r>
      <w:r w:rsidRPr="004E3E07">
        <w:rPr>
          <w:rFonts w:ascii="Cambria" w:eastAsia="Cambria" w:hAnsi="Cambria" w:cs="Cambria"/>
          <w:b/>
          <w:bCs/>
          <w:sz w:val="20"/>
          <w:szCs w:val="20"/>
          <w:lang w:val="es-MX"/>
        </w:rPr>
        <w:t>adoptar medidas de protección para quienes participen en la búsqueda de justicia cuando estén en riesgo, garantizar el acceso a los expedientes e imponer sanciones en caso de represalias</w:t>
      </w:r>
      <w:r w:rsidRPr="004E3E07">
        <w:rPr>
          <w:rFonts w:ascii="Cambria" w:eastAsia="Cambria" w:hAnsi="Cambria" w:cs="Cambria"/>
          <w:sz w:val="20"/>
          <w:szCs w:val="20"/>
          <w:lang w:val="es-MX"/>
        </w:rPr>
        <w:t xml:space="preserve">, </w:t>
      </w:r>
      <w:r w:rsidR="00C84830" w:rsidRPr="004E3E07">
        <w:rPr>
          <w:rFonts w:ascii="Cambria" w:eastAsia="Cambria" w:hAnsi="Cambria" w:cs="Cambria"/>
          <w:sz w:val="20"/>
          <w:szCs w:val="20"/>
          <w:lang w:val="es-MX"/>
        </w:rPr>
        <w:t>el Estado indicó que la Dirección General de la Asesoría Jurídica Federal de la CEAV, mediante las diversas direcciones especializadas presta seguimiento oportuno y representación legal desde la integración de la carpeta de investigación, hasta el procedimiento penal. Asimismo, señaló que,</w:t>
      </w:r>
      <w:r w:rsidR="00C6543E" w:rsidRPr="004E3E07">
        <w:rPr>
          <w:rFonts w:ascii="Cambria" w:eastAsia="Cambria" w:hAnsi="Cambria" w:cs="Cambria"/>
          <w:sz w:val="20"/>
          <w:szCs w:val="20"/>
          <w:lang w:val="es-MX"/>
        </w:rPr>
        <w:t xml:space="preserve"> garantiza el acceso a la justicia y los derechos de las víctimas a través de la implementación de sus normas nacionales y l</w:t>
      </w:r>
      <w:r w:rsidR="00BF5506" w:rsidRPr="004E3E07">
        <w:rPr>
          <w:rFonts w:ascii="Cambria" w:eastAsia="Cambria" w:hAnsi="Cambria" w:cs="Cambria"/>
          <w:sz w:val="20"/>
          <w:szCs w:val="20"/>
          <w:lang w:val="es-MX"/>
        </w:rPr>
        <w:t xml:space="preserve">os tratados internacionales. El Estado no presentó información </w:t>
      </w:r>
      <w:r w:rsidR="00EE57D7" w:rsidRPr="004E3E07">
        <w:rPr>
          <w:rFonts w:ascii="Cambria" w:eastAsia="Cambria" w:hAnsi="Cambria" w:cs="Cambria"/>
          <w:sz w:val="20"/>
          <w:szCs w:val="20"/>
          <w:lang w:val="es-MX"/>
        </w:rPr>
        <w:t xml:space="preserve">más </w:t>
      </w:r>
      <w:r w:rsidR="00BF5506" w:rsidRPr="004E3E07">
        <w:rPr>
          <w:rFonts w:ascii="Cambria" w:eastAsia="Cambria" w:hAnsi="Cambria" w:cs="Cambria"/>
          <w:sz w:val="20"/>
          <w:szCs w:val="20"/>
          <w:lang w:val="es-MX"/>
        </w:rPr>
        <w:t>específica respecto de esta recomendación</w:t>
      </w:r>
      <w:r w:rsidR="00BB2A2C" w:rsidRPr="004E3E07">
        <w:rPr>
          <w:rFonts w:ascii="Cambria" w:eastAsia="Cambria" w:hAnsi="Cambria" w:cs="Cambria"/>
          <w:sz w:val="20"/>
          <w:szCs w:val="20"/>
          <w:lang w:val="es-MX"/>
        </w:rPr>
        <w:t xml:space="preserve">, aunque en otras secciones de su informe alude a la cobertura brindada </w:t>
      </w:r>
      <w:r w:rsidR="000A7692" w:rsidRPr="004E3E07">
        <w:rPr>
          <w:rFonts w:ascii="Cambria" w:eastAsia="Cambria" w:hAnsi="Cambria" w:cs="Cambria"/>
          <w:sz w:val="20"/>
          <w:szCs w:val="20"/>
          <w:lang w:val="es-MX"/>
        </w:rPr>
        <w:t>por su Mecanismo de Protección de Personas Defensoras y Periodistas</w:t>
      </w:r>
      <w:r w:rsidR="00BF5506" w:rsidRPr="004E3E07">
        <w:rPr>
          <w:rFonts w:ascii="Cambria" w:eastAsia="Cambria" w:hAnsi="Cambria" w:cs="Cambria"/>
          <w:sz w:val="20"/>
          <w:szCs w:val="20"/>
          <w:vertAlign w:val="superscript"/>
          <w:lang w:val="es-MX"/>
        </w:rPr>
        <w:footnoteReference w:id="176"/>
      </w:r>
      <w:r w:rsidR="00BF5506" w:rsidRPr="004E3E07">
        <w:rPr>
          <w:rFonts w:ascii="Cambria" w:eastAsia="Cambria" w:hAnsi="Cambria" w:cs="Cambria"/>
          <w:sz w:val="20"/>
          <w:szCs w:val="20"/>
          <w:lang w:val="es-MX"/>
        </w:rPr>
        <w:t>.</w:t>
      </w:r>
    </w:p>
    <w:p w14:paraId="42314F36" w14:textId="6A9EDA59" w:rsidR="00F8496F" w:rsidRPr="004E3E07" w:rsidRDefault="00B26C14" w:rsidP="00C84830">
      <w:pPr>
        <w:numPr>
          <w:ilvl w:val="0"/>
          <w:numId w:val="5"/>
        </w:numPr>
        <w:shd w:val="clear" w:color="auto" w:fill="FFFFFF"/>
        <w:spacing w:after="240" w:line="240" w:lineRule="auto"/>
        <w:ind w:left="0" w:firstLine="720"/>
        <w:jc w:val="both"/>
        <w:rPr>
          <w:rFonts w:ascii="Cambria" w:eastAsia="Cambria" w:hAnsi="Cambria" w:cs="Cambria"/>
          <w:sz w:val="20"/>
          <w:szCs w:val="20"/>
          <w:lang w:val="es-MX"/>
        </w:rPr>
      </w:pPr>
      <w:r w:rsidRPr="004E3E07">
        <w:rPr>
          <w:rFonts w:ascii="Cambria" w:eastAsia="Cambria" w:hAnsi="Cambria" w:cs="Cambria"/>
          <w:sz w:val="20"/>
          <w:szCs w:val="20"/>
          <w:lang w:val="es-MX"/>
        </w:rPr>
        <w:t>La CIDH</w:t>
      </w:r>
      <w:r w:rsidRPr="004E3E07" w:rsidDel="00712077">
        <w:rPr>
          <w:rFonts w:ascii="Cambria" w:eastAsia="Cambria" w:hAnsi="Cambria" w:cs="Cambria"/>
          <w:sz w:val="20"/>
          <w:szCs w:val="20"/>
          <w:lang w:val="es-MX"/>
        </w:rPr>
        <w:t xml:space="preserve"> </w:t>
      </w:r>
      <w:r w:rsidR="00CC07F7" w:rsidRPr="004E3E07">
        <w:rPr>
          <w:rFonts w:ascii="Cambria" w:eastAsia="Cambria" w:hAnsi="Cambria" w:cs="Cambria"/>
          <w:sz w:val="20"/>
          <w:szCs w:val="20"/>
          <w:lang w:val="es-MX"/>
        </w:rPr>
        <w:t>repudió</w:t>
      </w:r>
      <w:r w:rsidRPr="004E3E07">
        <w:rPr>
          <w:rFonts w:ascii="Cambria" w:eastAsia="Cambria" w:hAnsi="Cambria" w:cs="Cambria"/>
          <w:sz w:val="20"/>
          <w:szCs w:val="20"/>
          <w:lang w:val="es-MX"/>
        </w:rPr>
        <w:t xml:space="preserve"> públicamente respecto del asesinato de </w:t>
      </w:r>
      <w:r w:rsidR="004A6D09" w:rsidRPr="004E3E07">
        <w:rPr>
          <w:rFonts w:ascii="Cambria" w:eastAsia="Cambria" w:hAnsi="Cambria" w:cs="Cambria"/>
          <w:sz w:val="20"/>
          <w:szCs w:val="20"/>
          <w:lang w:val="es-MX"/>
        </w:rPr>
        <w:t>Javier</w:t>
      </w:r>
      <w:r w:rsidR="00202EBF" w:rsidRPr="004E3E07">
        <w:rPr>
          <w:rFonts w:ascii="Cambria" w:eastAsia="Cambria" w:hAnsi="Cambria" w:cs="Cambria"/>
          <w:sz w:val="20"/>
          <w:szCs w:val="20"/>
          <w:lang w:val="es-MX"/>
        </w:rPr>
        <w:t xml:space="preserve"> Barajas, </w:t>
      </w:r>
      <w:r w:rsidR="00952768" w:rsidRPr="004E3E07">
        <w:rPr>
          <w:rFonts w:ascii="Cambria" w:eastAsia="Cambria" w:hAnsi="Cambria" w:cs="Cambria"/>
          <w:sz w:val="20"/>
          <w:szCs w:val="20"/>
          <w:lang w:val="es-MX"/>
        </w:rPr>
        <w:t xml:space="preserve">(integrante de la organización </w:t>
      </w:r>
      <w:r w:rsidR="0023119F" w:rsidRPr="004E3E07">
        <w:rPr>
          <w:rFonts w:ascii="Cambria" w:eastAsia="Cambria" w:hAnsi="Cambria" w:cs="Cambria"/>
          <w:sz w:val="20"/>
          <w:szCs w:val="20"/>
          <w:lang w:val="es-MX"/>
        </w:rPr>
        <w:t xml:space="preserve">“Mariposas Destellando, Buscando Corazones y Justicia”, </w:t>
      </w:r>
      <w:r w:rsidR="005B7112" w:rsidRPr="004E3E07">
        <w:rPr>
          <w:rFonts w:ascii="Cambria" w:eastAsia="Cambria" w:hAnsi="Cambria" w:cs="Cambria"/>
          <w:sz w:val="20"/>
          <w:szCs w:val="20"/>
          <w:lang w:val="es-MX"/>
        </w:rPr>
        <w:t>hoy llamada</w:t>
      </w:r>
      <w:r w:rsidR="0023119F" w:rsidRPr="004E3E07">
        <w:rPr>
          <w:rFonts w:ascii="Cambria" w:eastAsia="Cambria" w:hAnsi="Cambria" w:cs="Cambria"/>
          <w:sz w:val="20"/>
          <w:szCs w:val="20"/>
          <w:lang w:val="es-MX"/>
        </w:rPr>
        <w:t xml:space="preserve"> “Ángeles de Pie por Ti”</w:t>
      </w:r>
      <w:r w:rsidR="005B7112" w:rsidRPr="004E3E07">
        <w:rPr>
          <w:rFonts w:ascii="Cambria" w:eastAsia="Cambria" w:hAnsi="Cambria" w:cs="Cambria"/>
          <w:sz w:val="20"/>
          <w:szCs w:val="20"/>
          <w:lang w:val="es-MX"/>
        </w:rPr>
        <w:t>)</w:t>
      </w:r>
      <w:r w:rsidR="0023119F" w:rsidRPr="004E3E07">
        <w:rPr>
          <w:rFonts w:ascii="Cambria" w:eastAsia="Cambria" w:hAnsi="Cambria" w:cs="Cambria"/>
          <w:sz w:val="20"/>
          <w:szCs w:val="20"/>
          <w:lang w:val="es-MX"/>
        </w:rPr>
        <w:t xml:space="preserve"> </w:t>
      </w:r>
      <w:r w:rsidR="002919C1" w:rsidRPr="004E3E07">
        <w:rPr>
          <w:rFonts w:ascii="Cambria" w:eastAsia="Cambria" w:hAnsi="Cambria" w:cs="Cambria"/>
          <w:sz w:val="20"/>
          <w:szCs w:val="20"/>
          <w:lang w:val="es-MX"/>
        </w:rPr>
        <w:t>en circunstancias no esclarecidas</w:t>
      </w:r>
      <w:r w:rsidRPr="004E3E07">
        <w:rPr>
          <w:rStyle w:val="FootnoteReference"/>
          <w:rFonts w:ascii="Cambria" w:eastAsia="Cambria" w:hAnsi="Cambria" w:cs="Cambria"/>
          <w:sz w:val="20"/>
          <w:szCs w:val="20"/>
          <w:lang w:val="es-MX"/>
        </w:rPr>
        <w:footnoteReference w:id="177"/>
      </w:r>
      <w:r w:rsidR="0023119F" w:rsidRPr="004E3E07">
        <w:rPr>
          <w:rFonts w:ascii="Cambria" w:eastAsia="Cambria" w:hAnsi="Cambria" w:cs="Cambria"/>
          <w:sz w:val="20"/>
          <w:szCs w:val="20"/>
          <w:lang w:val="es-MX"/>
        </w:rPr>
        <w:t xml:space="preserve">. </w:t>
      </w:r>
      <w:r w:rsidR="00CC07F7" w:rsidRPr="004E3E07">
        <w:rPr>
          <w:rFonts w:ascii="Cambria" w:eastAsia="Cambria" w:hAnsi="Cambria" w:cs="Cambria"/>
          <w:sz w:val="20"/>
          <w:szCs w:val="20"/>
          <w:lang w:val="es-MX"/>
        </w:rPr>
        <w:t xml:space="preserve">Al respeto, el Centro PRODH, indicó que </w:t>
      </w:r>
      <w:r w:rsidR="0023119F" w:rsidRPr="004E3E07">
        <w:rPr>
          <w:rFonts w:ascii="Cambria" w:eastAsia="Cambria" w:hAnsi="Cambria" w:cs="Cambria"/>
          <w:sz w:val="20"/>
          <w:szCs w:val="20"/>
          <w:lang w:val="es-MX"/>
        </w:rPr>
        <w:t xml:space="preserve">Javier Barajas era hermano de Guadalupe Barajas, quien desapareció en febrero de 2020 y desde ese momento, tanto Javier, como sus padres, se abocaron a su búsqueda, hallando diversas fosas clandestinas, hasta que finalmente en febrero de 2021 identificaron el cuerpo de Guadalupe en la fosa clandestina de Salvatierra, </w:t>
      </w:r>
      <w:r w:rsidR="004335D3" w:rsidRPr="004E3E07">
        <w:rPr>
          <w:rFonts w:ascii="Cambria" w:eastAsia="Cambria" w:hAnsi="Cambria" w:cs="Cambria"/>
          <w:sz w:val="20"/>
          <w:szCs w:val="20"/>
          <w:lang w:val="es-MX"/>
        </w:rPr>
        <w:t>Guanajuato</w:t>
      </w:r>
      <w:r w:rsidR="00120F04" w:rsidRPr="004E3E07">
        <w:rPr>
          <w:rFonts w:ascii="Cambria" w:eastAsia="Cambria" w:hAnsi="Cambria" w:cs="Cambria"/>
          <w:sz w:val="20"/>
          <w:szCs w:val="20"/>
          <w:lang w:val="es-MX"/>
        </w:rPr>
        <w:t>, junto con otros</w:t>
      </w:r>
      <w:r w:rsidR="0023119F" w:rsidRPr="004E3E07">
        <w:rPr>
          <w:rFonts w:ascii="Cambria" w:eastAsia="Cambria" w:hAnsi="Cambria" w:cs="Cambria"/>
          <w:sz w:val="20"/>
          <w:szCs w:val="20"/>
          <w:lang w:val="es-MX"/>
        </w:rPr>
        <w:t xml:space="preserve"> 80 cuerpos. </w:t>
      </w:r>
      <w:r w:rsidR="008B17A9" w:rsidRPr="004E3E07">
        <w:rPr>
          <w:rFonts w:ascii="Cambria" w:eastAsia="Cambria" w:hAnsi="Cambria" w:cs="Cambria"/>
          <w:sz w:val="20"/>
          <w:szCs w:val="20"/>
          <w:lang w:val="es-MX"/>
        </w:rPr>
        <w:t>Asimismo, se comunicó a la CIDH que e</w:t>
      </w:r>
      <w:r w:rsidR="00EB5E70" w:rsidRPr="004E3E07">
        <w:rPr>
          <w:rFonts w:ascii="Cambria" w:eastAsia="Cambria" w:hAnsi="Cambria" w:cs="Cambria"/>
          <w:sz w:val="20"/>
          <w:szCs w:val="20"/>
          <w:lang w:val="es-MX"/>
        </w:rPr>
        <w:t>l señor Baraja</w:t>
      </w:r>
      <w:r w:rsidR="0004722C" w:rsidRPr="004E3E07">
        <w:rPr>
          <w:rFonts w:ascii="Cambria" w:eastAsia="Cambria" w:hAnsi="Cambria" w:cs="Cambria"/>
          <w:sz w:val="20"/>
          <w:szCs w:val="20"/>
          <w:lang w:val="es-MX"/>
        </w:rPr>
        <w:t>s trabajó</w:t>
      </w:r>
      <w:r w:rsidR="0023119F" w:rsidRPr="004E3E07">
        <w:rPr>
          <w:rFonts w:ascii="Cambria" w:eastAsia="Cambria" w:hAnsi="Cambria" w:cs="Cambria"/>
          <w:sz w:val="20"/>
          <w:szCs w:val="20"/>
          <w:lang w:val="es-MX"/>
        </w:rPr>
        <w:t xml:space="preserve"> </w:t>
      </w:r>
      <w:r w:rsidR="00736E75">
        <w:rPr>
          <w:rFonts w:ascii="Cambria" w:eastAsia="Cambria" w:hAnsi="Cambria" w:cs="Cambria"/>
          <w:sz w:val="20"/>
          <w:szCs w:val="20"/>
          <w:lang w:val="es-MX"/>
        </w:rPr>
        <w:t xml:space="preserve">en la </w:t>
      </w:r>
      <w:r w:rsidR="0023119F" w:rsidRPr="004E3E07">
        <w:rPr>
          <w:rFonts w:ascii="Cambria" w:eastAsia="Cambria" w:hAnsi="Cambria" w:cs="Cambria"/>
          <w:sz w:val="20"/>
          <w:szCs w:val="20"/>
          <w:lang w:val="es-MX"/>
        </w:rPr>
        <w:t>Comisión Estatal de Búsqueda</w:t>
      </w:r>
      <w:r w:rsidR="0004722C" w:rsidRPr="004E3E07">
        <w:rPr>
          <w:rFonts w:ascii="Cambria" w:eastAsia="Cambria" w:hAnsi="Cambria" w:cs="Cambria"/>
          <w:sz w:val="20"/>
          <w:szCs w:val="20"/>
          <w:lang w:val="es-MX"/>
        </w:rPr>
        <w:t xml:space="preserve"> de Guanajuato</w:t>
      </w:r>
      <w:r w:rsidR="0023119F" w:rsidRPr="004E3E07">
        <w:rPr>
          <w:rFonts w:ascii="Cambria" w:eastAsia="Cambria" w:hAnsi="Cambria" w:cs="Cambria"/>
          <w:sz w:val="20"/>
          <w:szCs w:val="20"/>
          <w:lang w:val="es-MX"/>
        </w:rPr>
        <w:t xml:space="preserve"> y junto con su familia tuvo una </w:t>
      </w:r>
      <w:r w:rsidR="00731690" w:rsidRPr="004E3E07">
        <w:rPr>
          <w:rFonts w:ascii="Cambria" w:eastAsia="Cambria" w:hAnsi="Cambria" w:cs="Cambria"/>
          <w:sz w:val="20"/>
          <w:szCs w:val="20"/>
          <w:lang w:val="es-MX"/>
        </w:rPr>
        <w:t>participación</w:t>
      </w:r>
      <w:r w:rsidR="0023119F" w:rsidRPr="004E3E07">
        <w:rPr>
          <w:rFonts w:ascii="Cambria" w:eastAsia="Cambria" w:hAnsi="Cambria" w:cs="Cambria"/>
          <w:sz w:val="20"/>
          <w:szCs w:val="20"/>
          <w:lang w:val="es-MX"/>
        </w:rPr>
        <w:t xml:space="preserve"> con los colectivos de familiares en las búsquedas realizadas en </w:t>
      </w:r>
      <w:r w:rsidR="00736E75">
        <w:rPr>
          <w:rFonts w:ascii="Cambria" w:eastAsia="Cambria" w:hAnsi="Cambria" w:cs="Cambria"/>
          <w:sz w:val="20"/>
          <w:szCs w:val="20"/>
          <w:lang w:val="es-MX"/>
        </w:rPr>
        <w:t>dicho</w:t>
      </w:r>
      <w:r w:rsidR="0023119F" w:rsidRPr="004E3E07">
        <w:rPr>
          <w:rFonts w:ascii="Cambria" w:eastAsia="Cambria" w:hAnsi="Cambria" w:cs="Cambria"/>
          <w:sz w:val="20"/>
          <w:szCs w:val="20"/>
          <w:lang w:val="es-MX"/>
        </w:rPr>
        <w:t xml:space="preserve"> estado</w:t>
      </w:r>
      <w:r w:rsidR="0004722C" w:rsidRPr="004E3E07">
        <w:rPr>
          <w:rFonts w:ascii="Cambria" w:eastAsia="Cambria" w:hAnsi="Cambria" w:cs="Cambria"/>
          <w:sz w:val="20"/>
          <w:szCs w:val="20"/>
          <w:lang w:val="es-MX"/>
        </w:rPr>
        <w:t>. Según lo informado, desde e</w:t>
      </w:r>
      <w:r w:rsidR="0023119F" w:rsidRPr="004E3E07">
        <w:rPr>
          <w:rFonts w:ascii="Cambria" w:eastAsia="Cambria" w:hAnsi="Cambria" w:cs="Cambria"/>
          <w:sz w:val="20"/>
          <w:szCs w:val="20"/>
          <w:lang w:val="es-MX"/>
        </w:rPr>
        <w:t xml:space="preserve">l hallazgo de la fosa de Salvatierra se incrementaron las amenazas y seguimientos en su contra, hasta su asesinato, actualmente se encuentran detenidas y procesadas por homicidio dos personas. Actualmente la familia se encuentra desplazada por seguridad. A este asesinato se sumaron diversos incidentes de seguridad y amenazas </w:t>
      </w:r>
      <w:r w:rsidR="00CC07F7" w:rsidRPr="004E3E07">
        <w:rPr>
          <w:rFonts w:ascii="Cambria" w:eastAsia="Cambria" w:hAnsi="Cambria" w:cs="Cambria"/>
          <w:sz w:val="20"/>
          <w:szCs w:val="20"/>
          <w:lang w:val="es-MX"/>
        </w:rPr>
        <w:t>contra</w:t>
      </w:r>
      <w:r w:rsidR="0023119F" w:rsidRPr="004E3E07">
        <w:rPr>
          <w:rFonts w:ascii="Cambria" w:eastAsia="Cambria" w:hAnsi="Cambria" w:cs="Cambria"/>
          <w:sz w:val="20"/>
          <w:szCs w:val="20"/>
          <w:lang w:val="es-MX"/>
        </w:rPr>
        <w:t xml:space="preserve"> familiares que realizan l</w:t>
      </w:r>
      <w:r w:rsidR="00C94E49" w:rsidRPr="004E3E07">
        <w:rPr>
          <w:rFonts w:ascii="Cambria" w:eastAsia="Cambria" w:hAnsi="Cambria" w:cs="Cambria"/>
          <w:sz w:val="20"/>
          <w:szCs w:val="20"/>
          <w:lang w:val="es-MX"/>
        </w:rPr>
        <w:t>as</w:t>
      </w:r>
      <w:r w:rsidR="0023119F" w:rsidRPr="004E3E07">
        <w:rPr>
          <w:rFonts w:ascii="Cambria" w:eastAsia="Cambria" w:hAnsi="Cambria" w:cs="Cambria"/>
          <w:sz w:val="20"/>
          <w:szCs w:val="20"/>
          <w:lang w:val="es-MX"/>
        </w:rPr>
        <w:t xml:space="preserve"> búsqueda</w:t>
      </w:r>
      <w:r w:rsidR="00CC07F7" w:rsidRPr="004E3E07">
        <w:rPr>
          <w:rFonts w:ascii="Cambria" w:eastAsia="Cambria" w:hAnsi="Cambria" w:cs="Cambria"/>
          <w:sz w:val="20"/>
          <w:szCs w:val="20"/>
          <w:lang w:val="es-MX"/>
        </w:rPr>
        <w:t>s en Guanajuato</w:t>
      </w:r>
      <w:r w:rsidR="0023119F" w:rsidRPr="004E3E07">
        <w:rPr>
          <w:rFonts w:ascii="Cambria" w:eastAsia="Cambria" w:hAnsi="Cambria" w:cs="Cambria"/>
          <w:sz w:val="20"/>
          <w:szCs w:val="20"/>
          <w:lang w:val="es-MX"/>
        </w:rPr>
        <w:t>, al menos</w:t>
      </w:r>
      <w:r w:rsidR="00CC07F7" w:rsidRPr="004E3E07">
        <w:rPr>
          <w:rFonts w:ascii="Cambria" w:eastAsia="Cambria" w:hAnsi="Cambria" w:cs="Cambria"/>
          <w:sz w:val="20"/>
          <w:szCs w:val="20"/>
          <w:lang w:val="es-MX"/>
        </w:rPr>
        <w:t xml:space="preserve"> cuatro</w:t>
      </w:r>
      <w:r w:rsidR="0023119F" w:rsidRPr="004E3E07">
        <w:rPr>
          <w:rFonts w:ascii="Cambria" w:eastAsia="Cambria" w:hAnsi="Cambria" w:cs="Cambria"/>
          <w:sz w:val="20"/>
          <w:szCs w:val="20"/>
          <w:lang w:val="es-MX"/>
        </w:rPr>
        <w:t xml:space="preserve"> familiares refieren recibir amenazas derivadas de su papel en la búsqueda de sus familiares</w:t>
      </w:r>
      <w:r w:rsidR="004C496A" w:rsidRPr="004E3E07">
        <w:rPr>
          <w:rStyle w:val="FootnoteReference"/>
          <w:rFonts w:ascii="Cambria" w:eastAsia="Cambria" w:hAnsi="Cambria" w:cs="Cambria"/>
          <w:sz w:val="20"/>
          <w:szCs w:val="20"/>
          <w:lang w:val="es-MX"/>
        </w:rPr>
        <w:footnoteReference w:id="178"/>
      </w:r>
      <w:r w:rsidR="00CC07F7" w:rsidRPr="004E3E07">
        <w:rPr>
          <w:rFonts w:ascii="Cambria" w:eastAsia="Cambria" w:hAnsi="Cambria" w:cs="Cambria"/>
          <w:sz w:val="20"/>
          <w:szCs w:val="20"/>
          <w:lang w:val="es-MX"/>
        </w:rPr>
        <w:t>.</w:t>
      </w:r>
    </w:p>
    <w:p w14:paraId="10373BAA" w14:textId="78732A1D" w:rsidR="009432AB" w:rsidRPr="004E3E07" w:rsidRDefault="009432AB" w:rsidP="00C84830">
      <w:pPr>
        <w:numPr>
          <w:ilvl w:val="0"/>
          <w:numId w:val="5"/>
        </w:numPr>
        <w:shd w:val="clear" w:color="auto" w:fill="FFFFFF"/>
        <w:spacing w:after="240" w:line="240" w:lineRule="auto"/>
        <w:ind w:left="0" w:firstLine="720"/>
        <w:jc w:val="both"/>
        <w:rPr>
          <w:rFonts w:ascii="Cambria" w:eastAsia="Cambria" w:hAnsi="Cambria" w:cs="Cambria"/>
          <w:sz w:val="20"/>
          <w:szCs w:val="20"/>
          <w:lang w:val="es-MX"/>
        </w:rPr>
      </w:pPr>
      <w:r w:rsidRPr="004E3E07">
        <w:rPr>
          <w:rFonts w:ascii="Cambria" w:eastAsia="Cambria" w:hAnsi="Cambria" w:cs="Cambria"/>
          <w:sz w:val="20"/>
          <w:szCs w:val="20"/>
          <w:lang w:val="es-MX"/>
        </w:rPr>
        <w:t>Por otro lado, la CIDH ha conocido a partir de información pública de las dificultades y necesidad de iniciar procesos judiciales</w:t>
      </w:r>
      <w:r w:rsidR="00547FE3" w:rsidRPr="004E3E07">
        <w:rPr>
          <w:rFonts w:ascii="Cambria" w:eastAsia="Cambria" w:hAnsi="Cambria" w:cs="Cambria"/>
          <w:sz w:val="20"/>
          <w:szCs w:val="20"/>
          <w:lang w:val="es-MX"/>
        </w:rPr>
        <w:t xml:space="preserve"> y administrativos</w:t>
      </w:r>
      <w:r w:rsidRPr="004E3E07">
        <w:rPr>
          <w:rFonts w:ascii="Cambria" w:eastAsia="Cambria" w:hAnsi="Cambria" w:cs="Cambria"/>
          <w:sz w:val="20"/>
          <w:szCs w:val="20"/>
          <w:lang w:val="es-MX"/>
        </w:rPr>
        <w:t xml:space="preserve">, en algunos casos de hasta siete años, para poder acceder a </w:t>
      </w:r>
      <w:r w:rsidR="00794DE8" w:rsidRPr="004E3E07">
        <w:rPr>
          <w:rFonts w:ascii="Cambria" w:eastAsia="Cambria" w:hAnsi="Cambria" w:cs="Cambria"/>
          <w:sz w:val="20"/>
          <w:szCs w:val="20"/>
          <w:lang w:val="es-MX"/>
        </w:rPr>
        <w:t>expedientes de investigación, en casos de desaparición de migrantes</w:t>
      </w:r>
      <w:r w:rsidR="00AA0095" w:rsidRPr="004E3E07">
        <w:rPr>
          <w:rStyle w:val="FootnoteReference"/>
          <w:rFonts w:ascii="Cambria" w:eastAsia="Cambria" w:hAnsi="Cambria" w:cs="Cambria"/>
          <w:sz w:val="20"/>
          <w:szCs w:val="20"/>
          <w:lang w:val="es-MX"/>
        </w:rPr>
        <w:footnoteReference w:id="179"/>
      </w:r>
      <w:r w:rsidR="00794DE8" w:rsidRPr="004E3E07">
        <w:rPr>
          <w:rFonts w:ascii="Cambria" w:eastAsia="Cambria" w:hAnsi="Cambria" w:cs="Cambria"/>
          <w:sz w:val="20"/>
          <w:szCs w:val="20"/>
          <w:lang w:val="es-MX"/>
        </w:rPr>
        <w:t xml:space="preserve"> </w:t>
      </w:r>
      <w:r w:rsidR="00D74B72" w:rsidRPr="004E3E07">
        <w:rPr>
          <w:rFonts w:ascii="Cambria" w:eastAsia="Cambria" w:hAnsi="Cambria" w:cs="Cambria"/>
          <w:sz w:val="20"/>
          <w:szCs w:val="20"/>
          <w:lang w:val="es-MX"/>
        </w:rPr>
        <w:t>y corrupción</w:t>
      </w:r>
      <w:r w:rsidR="00147158" w:rsidRPr="004E3E07">
        <w:rPr>
          <w:rStyle w:val="FootnoteReference"/>
          <w:rFonts w:ascii="Cambria" w:eastAsia="Cambria" w:hAnsi="Cambria" w:cs="Cambria"/>
          <w:sz w:val="20"/>
          <w:szCs w:val="20"/>
          <w:lang w:val="es-MX"/>
        </w:rPr>
        <w:footnoteReference w:id="180"/>
      </w:r>
      <w:r w:rsidR="00D74B72" w:rsidRPr="004E3E07">
        <w:rPr>
          <w:rFonts w:ascii="Cambria" w:eastAsia="Cambria" w:hAnsi="Cambria" w:cs="Cambria"/>
          <w:sz w:val="20"/>
          <w:szCs w:val="20"/>
          <w:lang w:val="es-MX"/>
        </w:rPr>
        <w:t>.</w:t>
      </w:r>
    </w:p>
    <w:p w14:paraId="146069F1" w14:textId="6193D344" w:rsidR="002277F5" w:rsidRPr="004E3E07" w:rsidRDefault="007E25FF" w:rsidP="5258151B">
      <w:pPr>
        <w:numPr>
          <w:ilvl w:val="0"/>
          <w:numId w:val="5"/>
        </w:numPr>
        <w:shd w:val="clear" w:color="auto" w:fill="FFFFFF"/>
        <w:spacing w:after="240" w:line="240" w:lineRule="auto"/>
        <w:ind w:left="0" w:firstLine="720"/>
        <w:jc w:val="both"/>
        <w:rPr>
          <w:rFonts w:ascii="Cambria" w:eastAsia="Cambria" w:hAnsi="Cambria" w:cs="Cambria"/>
          <w:sz w:val="20"/>
          <w:szCs w:val="20"/>
          <w:lang w:val="es-MX"/>
        </w:rPr>
      </w:pPr>
      <w:r w:rsidRPr="004E3E07">
        <w:rPr>
          <w:rFonts w:ascii="Cambria" w:eastAsia="Cambria" w:hAnsi="Cambria" w:cs="Cambria"/>
          <w:sz w:val="20"/>
          <w:szCs w:val="20"/>
          <w:lang w:val="es-MX"/>
        </w:rPr>
        <w:t>Al respecto</w:t>
      </w:r>
      <w:r w:rsidR="006B5736" w:rsidRPr="004E3E07">
        <w:rPr>
          <w:rFonts w:ascii="Cambria" w:eastAsia="Cambria" w:hAnsi="Cambria" w:cs="Cambria"/>
          <w:sz w:val="20"/>
          <w:szCs w:val="20"/>
          <w:lang w:val="es-MX"/>
        </w:rPr>
        <w:t xml:space="preserve">, si bien </w:t>
      </w:r>
      <w:r w:rsidR="008800A9" w:rsidRPr="004E3E07">
        <w:rPr>
          <w:rFonts w:ascii="Cambria" w:eastAsia="Cambria" w:hAnsi="Cambria" w:cs="Cambria"/>
          <w:sz w:val="20"/>
          <w:szCs w:val="20"/>
          <w:lang w:val="es-MX"/>
        </w:rPr>
        <w:t xml:space="preserve">el Estado ha señalado </w:t>
      </w:r>
      <w:r w:rsidR="006A1171" w:rsidRPr="004E3E07">
        <w:rPr>
          <w:rFonts w:ascii="Cambria" w:eastAsia="Cambria" w:hAnsi="Cambria" w:cs="Cambria"/>
          <w:sz w:val="20"/>
          <w:szCs w:val="20"/>
          <w:lang w:val="es-MX"/>
        </w:rPr>
        <w:t xml:space="preserve">de modo general que </w:t>
      </w:r>
      <w:r w:rsidR="004E346C" w:rsidRPr="004E3E07">
        <w:rPr>
          <w:rFonts w:ascii="Cambria" w:eastAsia="Cambria" w:hAnsi="Cambria" w:cs="Cambria"/>
          <w:sz w:val="20"/>
          <w:szCs w:val="20"/>
          <w:lang w:val="es-MX"/>
        </w:rPr>
        <w:t>alberga mecanismo</w:t>
      </w:r>
      <w:r w:rsidR="009E7AE4" w:rsidRPr="004E3E07">
        <w:rPr>
          <w:rFonts w:ascii="Cambria" w:eastAsia="Cambria" w:hAnsi="Cambria" w:cs="Cambria"/>
          <w:sz w:val="20"/>
          <w:szCs w:val="20"/>
          <w:lang w:val="es-MX"/>
        </w:rPr>
        <w:t>s</w:t>
      </w:r>
      <w:r w:rsidR="004E346C" w:rsidRPr="004E3E07">
        <w:rPr>
          <w:rFonts w:ascii="Cambria" w:eastAsia="Cambria" w:hAnsi="Cambria" w:cs="Cambria"/>
          <w:sz w:val="20"/>
          <w:szCs w:val="20"/>
          <w:lang w:val="es-MX"/>
        </w:rPr>
        <w:t xml:space="preserve"> y protocolos para viabilizar esta recomendación, para la CIDH </w:t>
      </w:r>
      <w:r w:rsidR="003F58D1" w:rsidRPr="004E3E07">
        <w:rPr>
          <w:rFonts w:ascii="Cambria" w:eastAsia="Cambria" w:hAnsi="Cambria" w:cs="Cambria"/>
          <w:sz w:val="20"/>
          <w:szCs w:val="20"/>
          <w:lang w:val="es-MX"/>
        </w:rPr>
        <w:t xml:space="preserve">resulta poco claro el despliegue de las acciones de protección y </w:t>
      </w:r>
      <w:r w:rsidR="00FA4979" w:rsidRPr="004E3E07">
        <w:rPr>
          <w:rFonts w:ascii="Cambria" w:eastAsia="Cambria" w:hAnsi="Cambria" w:cs="Cambria"/>
          <w:sz w:val="20"/>
          <w:szCs w:val="20"/>
          <w:lang w:val="es-MX"/>
        </w:rPr>
        <w:t>apoyos brindados a través de la CEA</w:t>
      </w:r>
      <w:r w:rsidR="003A6DC7" w:rsidRPr="004E3E07">
        <w:rPr>
          <w:rFonts w:ascii="Cambria" w:eastAsia="Cambria" w:hAnsi="Cambria" w:cs="Cambria"/>
          <w:sz w:val="20"/>
          <w:szCs w:val="20"/>
          <w:lang w:val="es-MX"/>
        </w:rPr>
        <w:t>V y las acciones tomadas para garantizar el acceso a las víctimas a los expedientes de investigación</w:t>
      </w:r>
      <w:r w:rsidRPr="004E3E07">
        <w:rPr>
          <w:rFonts w:ascii="Cambria" w:eastAsia="Cambria" w:hAnsi="Cambria" w:cs="Cambria"/>
          <w:sz w:val="20"/>
          <w:szCs w:val="20"/>
          <w:lang w:val="es-MX"/>
        </w:rPr>
        <w:t>.</w:t>
      </w:r>
      <w:r w:rsidR="00485FAE" w:rsidRPr="004E3E07">
        <w:rPr>
          <w:rFonts w:ascii="Cambria" w:eastAsia="Cambria" w:hAnsi="Cambria" w:cs="Cambria"/>
          <w:sz w:val="20"/>
          <w:szCs w:val="20"/>
          <w:lang w:val="es-MX"/>
        </w:rPr>
        <w:t xml:space="preserve"> Por otro lado, </w:t>
      </w:r>
      <w:r w:rsidRPr="004E3E07">
        <w:rPr>
          <w:rFonts w:ascii="Cambria" w:eastAsia="Cambria" w:hAnsi="Cambria" w:cs="Cambria"/>
          <w:sz w:val="20"/>
          <w:szCs w:val="20"/>
          <w:lang w:val="es-MX"/>
        </w:rPr>
        <w:t xml:space="preserve">la recomendación también incluye dos componentes adicionales, uno relacionado con el acceso a expedientes por parte de las personas que buscan justica y el otro con la imposición de sanciones respecto de represalias, respecto de los cuales el Estado no aportó información que permita analizar el nivel de avance en el cumplimiento. En virtud de las consideraciones anteriores, la CIDH considera que esta recomendación se encuentra pendiente de cumplimiento. </w:t>
      </w:r>
    </w:p>
    <w:p w14:paraId="146069F2" w14:textId="202BD630" w:rsidR="002277F5" w:rsidRPr="004E3E07" w:rsidRDefault="007E25FF" w:rsidP="5258151B">
      <w:pPr>
        <w:numPr>
          <w:ilvl w:val="0"/>
          <w:numId w:val="5"/>
        </w:numPr>
        <w:shd w:val="clear" w:color="auto" w:fill="FFFFFF"/>
        <w:spacing w:after="240" w:line="240" w:lineRule="auto"/>
        <w:ind w:left="0" w:firstLine="720"/>
        <w:jc w:val="both"/>
        <w:rPr>
          <w:rFonts w:ascii="Cambria" w:eastAsia="Cambria" w:hAnsi="Cambria" w:cs="Cambria"/>
          <w:sz w:val="20"/>
          <w:szCs w:val="20"/>
          <w:lang w:val="es-MX"/>
        </w:rPr>
      </w:pPr>
      <w:r w:rsidRPr="004E3E07">
        <w:rPr>
          <w:rFonts w:ascii="Cambria" w:eastAsia="Cambria" w:hAnsi="Cambria" w:cs="Cambria"/>
          <w:sz w:val="20"/>
          <w:szCs w:val="20"/>
          <w:lang w:val="es-MX"/>
        </w:rPr>
        <w:t xml:space="preserve">En relación con la </w:t>
      </w:r>
      <w:r w:rsidRPr="004E3E07">
        <w:rPr>
          <w:rFonts w:ascii="Cambria" w:eastAsia="Cambria" w:hAnsi="Cambria" w:cs="Cambria"/>
          <w:b/>
          <w:bCs/>
          <w:sz w:val="20"/>
          <w:szCs w:val="20"/>
          <w:lang w:val="es-MX"/>
        </w:rPr>
        <w:t>recomendación para adoptar medidas de protección específicas para operadores de justicia de acuerdo a sus necesidades particulares y en consulta con ellos</w:t>
      </w:r>
      <w:r w:rsidRPr="004E3E07">
        <w:rPr>
          <w:rFonts w:ascii="Cambria" w:eastAsia="Cambria" w:hAnsi="Cambria" w:cs="Cambria"/>
          <w:sz w:val="20"/>
          <w:szCs w:val="20"/>
          <w:lang w:val="es-MX"/>
        </w:rPr>
        <w:t xml:space="preserve">, el Estado informó que, con base en el “Acuerdo General del Pleno del Consejo de la Judicatura Federal” que regula la Asignación, Empleo y Retiro de Medidas de Seguridad a Servidores Públicos del Poder Judicial de la Federación, </w:t>
      </w:r>
      <w:r w:rsidR="00094F42" w:rsidRPr="004E3E07">
        <w:rPr>
          <w:rFonts w:ascii="Cambria" w:eastAsia="Cambria" w:hAnsi="Cambria" w:cs="Cambria"/>
          <w:sz w:val="20"/>
          <w:szCs w:val="20"/>
          <w:lang w:val="es-MX"/>
        </w:rPr>
        <w:t>al 28 de septiembre de 2021 se emitieron 81 evaluaciones de riesgo a favor de personas funcionarias</w:t>
      </w:r>
      <w:r w:rsidR="00496414" w:rsidRPr="004E3E07">
        <w:rPr>
          <w:rFonts w:ascii="Cambria" w:eastAsia="Cambria" w:hAnsi="Cambria" w:cs="Cambria"/>
          <w:sz w:val="20"/>
          <w:szCs w:val="20"/>
          <w:lang w:val="es-MX"/>
        </w:rPr>
        <w:t xml:space="preserve"> judiciales</w:t>
      </w:r>
      <w:r w:rsidR="00017E92" w:rsidRPr="004E3E07">
        <w:rPr>
          <w:rFonts w:ascii="Cambria" w:eastAsia="Cambria" w:hAnsi="Cambria" w:cs="Cambria"/>
          <w:sz w:val="20"/>
          <w:szCs w:val="20"/>
          <w:lang w:val="es-MX"/>
        </w:rPr>
        <w:t xml:space="preserve"> a través de las cuales </w:t>
      </w:r>
      <w:r w:rsidR="00D060ED" w:rsidRPr="004E3E07">
        <w:rPr>
          <w:rFonts w:ascii="Cambria" w:eastAsia="Cambria" w:hAnsi="Cambria" w:cs="Cambria"/>
          <w:sz w:val="20"/>
          <w:szCs w:val="20"/>
          <w:lang w:val="es-MX"/>
        </w:rPr>
        <w:t>se proponen medidas de seguridad y su temporalidad, y se sugiere la asignación, continuidad, modificación o conclusión de las mismas, en términos del Acuerdo citado</w:t>
      </w:r>
      <w:r w:rsidRPr="004E3E07">
        <w:rPr>
          <w:rFonts w:ascii="Cambria" w:eastAsia="Cambria" w:hAnsi="Cambria" w:cs="Cambria"/>
          <w:sz w:val="20"/>
          <w:szCs w:val="20"/>
          <w:vertAlign w:val="superscript"/>
          <w:lang w:val="es-MX"/>
        </w:rPr>
        <w:footnoteReference w:id="181"/>
      </w:r>
      <w:r w:rsidRPr="004E3E07">
        <w:rPr>
          <w:rFonts w:ascii="Cambria" w:eastAsia="Cambria" w:hAnsi="Cambria" w:cs="Cambria"/>
          <w:sz w:val="20"/>
          <w:szCs w:val="20"/>
          <w:lang w:val="es-MX"/>
        </w:rPr>
        <w:t xml:space="preserve">. </w:t>
      </w:r>
    </w:p>
    <w:p w14:paraId="15131589" w14:textId="12CCEEAB" w:rsidR="00C23DC2" w:rsidRPr="004E3E07" w:rsidRDefault="00CD526C" w:rsidP="5258151B">
      <w:pPr>
        <w:numPr>
          <w:ilvl w:val="0"/>
          <w:numId w:val="5"/>
        </w:numPr>
        <w:shd w:val="clear" w:color="auto" w:fill="FFFFFF"/>
        <w:spacing w:after="240" w:line="240" w:lineRule="auto"/>
        <w:ind w:left="0" w:firstLine="720"/>
        <w:jc w:val="both"/>
        <w:rPr>
          <w:rFonts w:ascii="Cambria" w:eastAsia="Cambria" w:hAnsi="Cambria" w:cs="Cambria"/>
          <w:sz w:val="20"/>
          <w:szCs w:val="20"/>
          <w:lang w:val="es-MX"/>
        </w:rPr>
      </w:pPr>
      <w:r w:rsidRPr="004E3E07">
        <w:rPr>
          <w:rFonts w:ascii="Cambria" w:eastAsia="Cambria" w:hAnsi="Cambria" w:cs="Cambria"/>
          <w:sz w:val="20"/>
          <w:szCs w:val="20"/>
          <w:lang w:val="es-MX"/>
        </w:rPr>
        <w:t xml:space="preserve">En su Informe del 2020, la CIDH dio seguimiento al asesinato del </w:t>
      </w:r>
      <w:r w:rsidR="0005383E" w:rsidRPr="004E3E07">
        <w:rPr>
          <w:rFonts w:ascii="Cambria" w:eastAsia="Cambria" w:hAnsi="Cambria" w:cs="Cambria"/>
          <w:sz w:val="20"/>
          <w:szCs w:val="20"/>
          <w:lang w:val="es-MX"/>
        </w:rPr>
        <w:t xml:space="preserve">juez federal Uriel Villegas </w:t>
      </w:r>
      <w:r w:rsidR="006F7757" w:rsidRPr="004E3E07">
        <w:rPr>
          <w:rFonts w:ascii="Cambria" w:eastAsia="Cambria" w:hAnsi="Cambria" w:cs="Cambria"/>
          <w:sz w:val="20"/>
          <w:szCs w:val="20"/>
          <w:lang w:val="es-MX"/>
        </w:rPr>
        <w:t>y de su esposa Verónica Barajas</w:t>
      </w:r>
      <w:r w:rsidR="00404CF5" w:rsidRPr="004E3E07">
        <w:rPr>
          <w:rStyle w:val="FootnoteReference"/>
          <w:rFonts w:ascii="Cambria" w:eastAsia="Cambria" w:hAnsi="Cambria" w:cs="Cambria"/>
          <w:sz w:val="20"/>
          <w:szCs w:val="20"/>
          <w:lang w:val="es-MX"/>
        </w:rPr>
        <w:footnoteReference w:id="182"/>
      </w:r>
      <w:r w:rsidR="006F7757" w:rsidRPr="004E3E07">
        <w:rPr>
          <w:rFonts w:ascii="Cambria" w:eastAsia="Cambria" w:hAnsi="Cambria" w:cs="Cambria"/>
          <w:sz w:val="20"/>
          <w:szCs w:val="20"/>
          <w:lang w:val="es-MX"/>
        </w:rPr>
        <w:t xml:space="preserve">. </w:t>
      </w:r>
      <w:r w:rsidR="00404CF5" w:rsidRPr="004E3E07">
        <w:rPr>
          <w:rFonts w:ascii="Cambria" w:eastAsia="Cambria" w:hAnsi="Cambria" w:cs="Cambria"/>
          <w:sz w:val="20"/>
          <w:szCs w:val="20"/>
          <w:lang w:val="es-MX"/>
        </w:rPr>
        <w:t>Al respecto, la Comisión toma nota de</w:t>
      </w:r>
      <w:r w:rsidR="00A71AAD" w:rsidRPr="004E3E07">
        <w:rPr>
          <w:rFonts w:ascii="Cambria" w:eastAsia="Cambria" w:hAnsi="Cambria" w:cs="Cambria"/>
          <w:sz w:val="20"/>
          <w:szCs w:val="20"/>
          <w:lang w:val="es-MX"/>
        </w:rPr>
        <w:t xml:space="preserve">l pronunciamiento de la Asociación Nacional de Magistrados de Circuito y Jueces de Distrito </w:t>
      </w:r>
      <w:r w:rsidR="00174E35" w:rsidRPr="004E3E07">
        <w:rPr>
          <w:rFonts w:ascii="Cambria" w:eastAsia="Cambria" w:hAnsi="Cambria" w:cs="Cambria"/>
          <w:sz w:val="20"/>
          <w:szCs w:val="20"/>
          <w:lang w:val="es-MX"/>
        </w:rPr>
        <w:t>del Poder Judicial de la Federación, que recla</w:t>
      </w:r>
      <w:r w:rsidR="00736E75">
        <w:rPr>
          <w:rFonts w:ascii="Cambria" w:eastAsia="Cambria" w:hAnsi="Cambria" w:cs="Cambria"/>
          <w:sz w:val="20"/>
          <w:szCs w:val="20"/>
          <w:lang w:val="es-MX"/>
        </w:rPr>
        <w:t xml:space="preserve">mó </w:t>
      </w:r>
      <w:r w:rsidR="00174E35" w:rsidRPr="004E3E07">
        <w:rPr>
          <w:rFonts w:ascii="Cambria" w:eastAsia="Cambria" w:hAnsi="Cambria" w:cs="Cambria"/>
          <w:sz w:val="20"/>
          <w:szCs w:val="20"/>
          <w:lang w:val="es-MX"/>
        </w:rPr>
        <w:t>que</w:t>
      </w:r>
      <w:r w:rsidR="00B236FB" w:rsidRPr="004E3E07">
        <w:rPr>
          <w:rFonts w:ascii="Cambria" w:eastAsia="Cambria" w:hAnsi="Cambria" w:cs="Cambria"/>
          <w:sz w:val="20"/>
          <w:szCs w:val="20"/>
          <w:lang w:val="es-MX"/>
        </w:rPr>
        <w:t xml:space="preserve">, </w:t>
      </w:r>
      <w:r w:rsidR="00174E35" w:rsidRPr="004E3E07">
        <w:rPr>
          <w:rFonts w:ascii="Cambria" w:eastAsia="Cambria" w:hAnsi="Cambria" w:cs="Cambria"/>
          <w:sz w:val="20"/>
          <w:szCs w:val="20"/>
          <w:lang w:val="es-MX"/>
        </w:rPr>
        <w:t xml:space="preserve">a un año de los hechos, </w:t>
      </w:r>
      <w:r w:rsidR="00652A83" w:rsidRPr="004E3E07">
        <w:rPr>
          <w:rFonts w:ascii="Cambria" w:eastAsia="Cambria" w:hAnsi="Cambria" w:cs="Cambria"/>
          <w:sz w:val="20"/>
          <w:szCs w:val="20"/>
          <w:lang w:val="es-MX"/>
        </w:rPr>
        <w:t xml:space="preserve">no se ha castigado a las personas responsables, que solo una persona estaba vinculada a proceso y que el Estado no brindaba las seguridades necesarias para </w:t>
      </w:r>
      <w:r w:rsidR="00CF12C3" w:rsidRPr="004E3E07">
        <w:rPr>
          <w:rFonts w:ascii="Cambria" w:eastAsia="Cambria" w:hAnsi="Cambria" w:cs="Cambria"/>
          <w:sz w:val="20"/>
          <w:szCs w:val="20"/>
          <w:lang w:val="es-MX"/>
        </w:rPr>
        <w:t xml:space="preserve">la </w:t>
      </w:r>
      <w:r w:rsidR="00736E75">
        <w:rPr>
          <w:rFonts w:ascii="Cambria" w:eastAsia="Cambria" w:hAnsi="Cambria" w:cs="Cambria"/>
          <w:sz w:val="20"/>
          <w:szCs w:val="20"/>
          <w:lang w:val="es-MX"/>
        </w:rPr>
        <w:t xml:space="preserve">labor de </w:t>
      </w:r>
      <w:r w:rsidR="00CF12C3" w:rsidRPr="004E3E07">
        <w:rPr>
          <w:rFonts w:ascii="Cambria" w:eastAsia="Cambria" w:hAnsi="Cambria" w:cs="Cambria"/>
          <w:sz w:val="20"/>
          <w:szCs w:val="20"/>
          <w:lang w:val="es-MX"/>
        </w:rPr>
        <w:t>impartición de justicia</w:t>
      </w:r>
      <w:r w:rsidR="00CF12C3" w:rsidRPr="004E3E07">
        <w:rPr>
          <w:rStyle w:val="FootnoteReference"/>
          <w:rFonts w:ascii="Cambria" w:eastAsia="Cambria" w:hAnsi="Cambria" w:cs="Cambria"/>
          <w:sz w:val="20"/>
          <w:szCs w:val="20"/>
          <w:lang w:val="es-MX"/>
        </w:rPr>
        <w:footnoteReference w:id="183"/>
      </w:r>
      <w:r w:rsidR="00CF12C3" w:rsidRPr="004E3E07">
        <w:rPr>
          <w:rFonts w:ascii="Cambria" w:eastAsia="Cambria" w:hAnsi="Cambria" w:cs="Cambria"/>
          <w:sz w:val="20"/>
          <w:szCs w:val="20"/>
          <w:lang w:val="es-MX"/>
        </w:rPr>
        <w:t>.</w:t>
      </w:r>
    </w:p>
    <w:p w14:paraId="146069F4" w14:textId="68943194" w:rsidR="002277F5" w:rsidRPr="004E3E07" w:rsidRDefault="007E25FF" w:rsidP="5258151B">
      <w:pPr>
        <w:numPr>
          <w:ilvl w:val="0"/>
          <w:numId w:val="5"/>
        </w:numPr>
        <w:shd w:val="clear" w:color="auto" w:fill="FFFFFF"/>
        <w:spacing w:after="240" w:line="240" w:lineRule="auto"/>
        <w:ind w:left="0" w:firstLine="720"/>
        <w:jc w:val="both"/>
        <w:rPr>
          <w:rFonts w:ascii="Cambria" w:eastAsia="Cambria" w:hAnsi="Cambria" w:cs="Cambria"/>
          <w:sz w:val="20"/>
          <w:szCs w:val="20"/>
          <w:lang w:val="es-MX"/>
        </w:rPr>
      </w:pPr>
      <w:r w:rsidRPr="004E3E07">
        <w:rPr>
          <w:rFonts w:ascii="Cambria" w:eastAsia="Cambria" w:hAnsi="Cambria" w:cs="Cambria"/>
          <w:sz w:val="20"/>
          <w:szCs w:val="20"/>
          <w:lang w:val="es-MX"/>
        </w:rPr>
        <w:t xml:space="preserve">La Comisión llama la atención del Estado en relación </w:t>
      </w:r>
      <w:r w:rsidR="00EA6574" w:rsidRPr="004E3E07">
        <w:rPr>
          <w:rFonts w:ascii="Cambria" w:eastAsia="Cambria" w:hAnsi="Cambria" w:cs="Cambria"/>
          <w:sz w:val="20"/>
          <w:szCs w:val="20"/>
          <w:lang w:val="es-MX"/>
        </w:rPr>
        <w:t>con el esclarecimiento del</w:t>
      </w:r>
      <w:r w:rsidRPr="004E3E07">
        <w:rPr>
          <w:rFonts w:ascii="Cambria" w:eastAsia="Cambria" w:hAnsi="Cambria" w:cs="Cambria"/>
          <w:sz w:val="20"/>
          <w:szCs w:val="20"/>
          <w:lang w:val="es-MX"/>
        </w:rPr>
        <w:t xml:space="preserve"> asesinato del juez Villegas y la señora Barajas y sus obligaciones respecto de la garantía de las labores de los operadores de justicia. Sin restar importancia a lo anterior, la Comisión observa que en el presente período de reporte se han adoptado medidas de protección para las personas operadoras de justicia. En consideración de lo anterior, la CIDH considera que la recomendación se mantiene en cumplimiento parcial.</w:t>
      </w:r>
    </w:p>
    <w:p w14:paraId="146069F5" w14:textId="59932242" w:rsidR="002277F5" w:rsidRPr="004E3E07" w:rsidRDefault="007E25FF" w:rsidP="5258151B">
      <w:pPr>
        <w:numPr>
          <w:ilvl w:val="0"/>
          <w:numId w:val="5"/>
        </w:numPr>
        <w:shd w:val="clear" w:color="auto" w:fill="FFFFFF"/>
        <w:spacing w:after="240" w:line="240" w:lineRule="auto"/>
        <w:ind w:left="0" w:firstLine="720"/>
        <w:jc w:val="both"/>
        <w:rPr>
          <w:rFonts w:ascii="Cambria" w:eastAsia="Cambria" w:hAnsi="Cambria" w:cs="Cambria"/>
          <w:sz w:val="20"/>
          <w:szCs w:val="20"/>
          <w:lang w:val="es-MX"/>
        </w:rPr>
      </w:pPr>
      <w:r w:rsidRPr="004E3E07">
        <w:rPr>
          <w:rFonts w:ascii="Cambria" w:eastAsia="Cambria" w:hAnsi="Cambria" w:cs="Cambria"/>
          <w:sz w:val="20"/>
          <w:szCs w:val="20"/>
          <w:lang w:val="es-MX"/>
        </w:rPr>
        <w:t xml:space="preserve">En relación con la recomendación sobre la </w:t>
      </w:r>
      <w:r w:rsidRPr="004E3E07">
        <w:rPr>
          <w:rFonts w:ascii="Cambria" w:eastAsia="Cambria" w:hAnsi="Cambria" w:cs="Cambria"/>
          <w:b/>
          <w:bCs/>
          <w:sz w:val="20"/>
          <w:szCs w:val="20"/>
          <w:lang w:val="es-MX"/>
        </w:rPr>
        <w:t xml:space="preserve">implementación de la Ley General de Víctimas y el funcionamiento de la Comisión Ejecutiva de Atención a Víctimas </w:t>
      </w:r>
      <w:r w:rsidRPr="004E3E07">
        <w:rPr>
          <w:rFonts w:ascii="Cambria" w:eastAsia="Cambria" w:hAnsi="Cambria" w:cs="Cambria"/>
          <w:sz w:val="20"/>
          <w:szCs w:val="20"/>
          <w:lang w:val="es-MX"/>
        </w:rPr>
        <w:t xml:space="preserve">el Estado </w:t>
      </w:r>
      <w:r w:rsidR="00DE6E56" w:rsidRPr="004E3E07">
        <w:rPr>
          <w:rFonts w:ascii="Cambria" w:eastAsia="Cambria" w:hAnsi="Cambria" w:cs="Cambria"/>
          <w:sz w:val="20"/>
          <w:szCs w:val="20"/>
          <w:lang w:val="es-MX"/>
        </w:rPr>
        <w:t>indicó</w:t>
      </w:r>
      <w:r w:rsidR="00846D29" w:rsidRPr="004E3E07">
        <w:rPr>
          <w:rFonts w:ascii="Cambria" w:eastAsia="Cambria" w:hAnsi="Cambria" w:cs="Cambria"/>
          <w:sz w:val="20"/>
          <w:szCs w:val="20"/>
          <w:lang w:val="es-MX"/>
        </w:rPr>
        <w:t xml:space="preserve"> </w:t>
      </w:r>
      <w:r w:rsidR="00BC5721" w:rsidRPr="004E3E07">
        <w:rPr>
          <w:rFonts w:ascii="Cambria" w:eastAsia="Cambria" w:hAnsi="Cambria" w:cs="Cambria"/>
          <w:sz w:val="20"/>
          <w:szCs w:val="20"/>
          <w:lang w:val="es-MX"/>
        </w:rPr>
        <w:t xml:space="preserve">que </w:t>
      </w:r>
      <w:r w:rsidR="001A0AFC" w:rsidRPr="004E3E07">
        <w:rPr>
          <w:rFonts w:ascii="Cambria" w:eastAsia="Cambria" w:hAnsi="Cambria" w:cs="Cambria"/>
          <w:sz w:val="20"/>
          <w:szCs w:val="20"/>
          <w:lang w:val="es-MX"/>
        </w:rPr>
        <w:t xml:space="preserve">la </w:t>
      </w:r>
      <w:r w:rsidR="002A7BE7" w:rsidRPr="004E3E07">
        <w:rPr>
          <w:rFonts w:ascii="Cambria" w:eastAsia="Cambria" w:hAnsi="Cambria" w:cs="Cambria"/>
          <w:sz w:val="20"/>
          <w:szCs w:val="20"/>
          <w:lang w:val="es-MX"/>
        </w:rPr>
        <w:t>Dirección General de Asuntos Jurídicos</w:t>
      </w:r>
      <w:r w:rsidR="002C49EE" w:rsidRPr="004E3E07">
        <w:rPr>
          <w:rFonts w:ascii="Cambria" w:eastAsia="Cambria" w:hAnsi="Cambria" w:cs="Cambria"/>
          <w:sz w:val="20"/>
          <w:szCs w:val="20"/>
          <w:lang w:val="es-MX"/>
        </w:rPr>
        <w:t xml:space="preserve"> de la </w:t>
      </w:r>
      <w:r w:rsidR="00EB7AA9" w:rsidRPr="004E3E07">
        <w:rPr>
          <w:rFonts w:ascii="Cambria" w:eastAsia="Cambria" w:hAnsi="Cambria" w:cs="Cambria"/>
          <w:sz w:val="20"/>
          <w:szCs w:val="20"/>
          <w:lang w:val="es-MX"/>
        </w:rPr>
        <w:t xml:space="preserve">CEAV </w:t>
      </w:r>
      <w:r w:rsidR="00527DD1" w:rsidRPr="004E3E07">
        <w:rPr>
          <w:rFonts w:ascii="Cambria" w:eastAsia="Cambria" w:hAnsi="Cambria" w:cs="Cambria"/>
          <w:sz w:val="20"/>
          <w:szCs w:val="20"/>
          <w:lang w:val="es-MX"/>
        </w:rPr>
        <w:t xml:space="preserve">firmó convenios </w:t>
      </w:r>
      <w:r w:rsidR="00D35A54" w:rsidRPr="004E3E07">
        <w:rPr>
          <w:rFonts w:ascii="Cambria" w:eastAsia="Cambria" w:hAnsi="Cambria" w:cs="Cambria"/>
          <w:sz w:val="20"/>
          <w:szCs w:val="20"/>
          <w:lang w:val="es-MX"/>
        </w:rPr>
        <w:t>de colaboración interinstitucional</w:t>
      </w:r>
      <w:r w:rsidR="00AB6115" w:rsidRPr="004E3E07">
        <w:rPr>
          <w:rFonts w:ascii="Cambria" w:eastAsia="Cambria" w:hAnsi="Cambria" w:cs="Cambria"/>
          <w:sz w:val="20"/>
          <w:szCs w:val="20"/>
          <w:lang w:val="es-MX"/>
        </w:rPr>
        <w:t xml:space="preserve"> </w:t>
      </w:r>
      <w:r w:rsidR="003F5632" w:rsidRPr="004E3E07">
        <w:rPr>
          <w:rFonts w:ascii="Cambria" w:eastAsia="Cambria" w:hAnsi="Cambria" w:cs="Cambria"/>
          <w:sz w:val="20"/>
          <w:szCs w:val="20"/>
          <w:lang w:val="es-MX"/>
        </w:rPr>
        <w:t xml:space="preserve">con las comisiones ejecutivas estatales de atención a víctimas de </w:t>
      </w:r>
      <w:r w:rsidR="00AB6115" w:rsidRPr="004E3E07">
        <w:rPr>
          <w:rFonts w:ascii="Cambria" w:eastAsia="Cambria" w:hAnsi="Cambria" w:cs="Cambria"/>
          <w:sz w:val="20"/>
          <w:szCs w:val="20"/>
          <w:lang w:val="es-MX"/>
        </w:rPr>
        <w:t xml:space="preserve">Chiapas, </w:t>
      </w:r>
      <w:r w:rsidR="0099222E" w:rsidRPr="004E3E07">
        <w:rPr>
          <w:rFonts w:ascii="Cambria" w:eastAsia="Cambria" w:hAnsi="Cambria" w:cs="Cambria"/>
          <w:sz w:val="20"/>
          <w:szCs w:val="20"/>
          <w:lang w:val="es-MX"/>
        </w:rPr>
        <w:t>G</w:t>
      </w:r>
      <w:r w:rsidR="006438A5" w:rsidRPr="004E3E07">
        <w:rPr>
          <w:rFonts w:ascii="Cambria" w:eastAsia="Cambria" w:hAnsi="Cambria" w:cs="Cambria"/>
          <w:sz w:val="20"/>
          <w:szCs w:val="20"/>
          <w:lang w:val="es-MX"/>
        </w:rPr>
        <w:t>uanajuato, Sonora</w:t>
      </w:r>
      <w:r w:rsidR="006F47C9" w:rsidRPr="004E3E07">
        <w:rPr>
          <w:rFonts w:ascii="Cambria" w:eastAsia="Cambria" w:hAnsi="Cambria" w:cs="Cambria"/>
          <w:sz w:val="20"/>
          <w:szCs w:val="20"/>
          <w:lang w:val="es-MX"/>
        </w:rPr>
        <w:t xml:space="preserve"> y </w:t>
      </w:r>
      <w:r w:rsidR="00AC57A0" w:rsidRPr="004E3E07">
        <w:rPr>
          <w:rFonts w:ascii="Cambria" w:eastAsia="Cambria" w:hAnsi="Cambria" w:cs="Cambria"/>
          <w:sz w:val="20"/>
          <w:szCs w:val="20"/>
          <w:lang w:val="es-MX"/>
        </w:rPr>
        <w:t>Puebla</w:t>
      </w:r>
      <w:r w:rsidR="006F47C9" w:rsidRPr="004E3E07">
        <w:rPr>
          <w:rFonts w:ascii="Cambria" w:eastAsia="Cambria" w:hAnsi="Cambria" w:cs="Cambria"/>
          <w:sz w:val="20"/>
          <w:szCs w:val="20"/>
          <w:lang w:val="es-MX"/>
        </w:rPr>
        <w:t>, así como con</w:t>
      </w:r>
      <w:r w:rsidR="00535DDD" w:rsidRPr="004E3E07">
        <w:rPr>
          <w:rFonts w:ascii="Cambria" w:eastAsia="Cambria" w:hAnsi="Cambria" w:cs="Cambria"/>
          <w:sz w:val="20"/>
          <w:szCs w:val="20"/>
          <w:lang w:val="es-MX"/>
        </w:rPr>
        <w:t xml:space="preserve"> el Instituto de Investigaciones Jurídicas de la Universidad Nacional Autónoma de México, el Instituto Nacional de </w:t>
      </w:r>
      <w:r w:rsidR="00E83E6A" w:rsidRPr="004E3E07">
        <w:rPr>
          <w:rFonts w:ascii="Cambria" w:eastAsia="Cambria" w:hAnsi="Cambria" w:cs="Cambria"/>
          <w:sz w:val="20"/>
          <w:szCs w:val="20"/>
          <w:lang w:val="es-MX"/>
        </w:rPr>
        <w:t>Lenguas Indígenas, el Instituto Nacional de Desarrollo Social</w:t>
      </w:r>
      <w:r w:rsidR="004D3AB9" w:rsidRPr="004E3E07">
        <w:rPr>
          <w:rFonts w:ascii="Cambria" w:eastAsia="Cambria" w:hAnsi="Cambria" w:cs="Cambria"/>
          <w:sz w:val="20"/>
          <w:szCs w:val="20"/>
          <w:lang w:val="es-MX"/>
        </w:rPr>
        <w:t>, la Comisión Nacional de Vivienda</w:t>
      </w:r>
      <w:r w:rsidR="00CD186F" w:rsidRPr="004E3E07">
        <w:rPr>
          <w:rFonts w:ascii="Cambria" w:eastAsia="Cambria" w:hAnsi="Cambria" w:cs="Cambria"/>
          <w:sz w:val="20"/>
          <w:szCs w:val="20"/>
          <w:vertAlign w:val="superscript"/>
          <w:lang w:val="es-MX"/>
        </w:rPr>
        <w:footnoteReference w:id="184"/>
      </w:r>
      <w:r w:rsidR="004D3AB9" w:rsidRPr="004E3E07">
        <w:rPr>
          <w:rFonts w:ascii="Cambria" w:eastAsia="Cambria" w:hAnsi="Cambria" w:cs="Cambria"/>
          <w:sz w:val="20"/>
          <w:szCs w:val="20"/>
          <w:lang w:val="es-MX"/>
        </w:rPr>
        <w:t>.</w:t>
      </w:r>
    </w:p>
    <w:p w14:paraId="146069F7" w14:textId="3C1D4753" w:rsidR="002277F5" w:rsidRPr="002F1A6A" w:rsidRDefault="007E25FF" w:rsidP="002F1A6A">
      <w:pPr>
        <w:numPr>
          <w:ilvl w:val="0"/>
          <w:numId w:val="5"/>
        </w:numPr>
        <w:shd w:val="clear" w:color="auto" w:fill="FFFFFF"/>
        <w:spacing w:after="240" w:line="240" w:lineRule="auto"/>
        <w:ind w:left="0" w:firstLine="720"/>
        <w:jc w:val="both"/>
        <w:rPr>
          <w:rFonts w:ascii="Cambria" w:eastAsia="Cambria" w:hAnsi="Cambria" w:cs="Cambria"/>
          <w:sz w:val="20"/>
          <w:szCs w:val="20"/>
          <w:lang w:val="es-MX"/>
        </w:rPr>
      </w:pPr>
      <w:r w:rsidRPr="00736E75">
        <w:rPr>
          <w:rFonts w:ascii="Cambria" w:eastAsia="Cambria" w:hAnsi="Cambria" w:cs="Cambria"/>
          <w:sz w:val="20"/>
          <w:szCs w:val="20"/>
          <w:lang w:val="es-MX"/>
        </w:rPr>
        <w:t xml:space="preserve">Al respecto, la CIDH reitera su preocupación en relación con el financiamiento de la CEAV </w:t>
      </w:r>
      <w:r w:rsidR="001E478F" w:rsidRPr="00736E75">
        <w:rPr>
          <w:rFonts w:ascii="Cambria" w:eastAsia="Cambria" w:hAnsi="Cambria" w:cs="Cambria"/>
          <w:sz w:val="20"/>
          <w:szCs w:val="20"/>
          <w:lang w:val="es-MX"/>
        </w:rPr>
        <w:t xml:space="preserve">de cara a la información pública que da cuenta de que </w:t>
      </w:r>
      <w:r w:rsidR="00B26E6A" w:rsidRPr="00736E75">
        <w:rPr>
          <w:rFonts w:ascii="Cambria" w:eastAsia="Cambria" w:hAnsi="Cambria" w:cs="Cambria"/>
          <w:sz w:val="20"/>
          <w:szCs w:val="20"/>
          <w:lang w:val="es-MX"/>
        </w:rPr>
        <w:t xml:space="preserve">la CEAV operaría el año 2022 con un déficit presupuestal de </w:t>
      </w:r>
      <w:r w:rsidR="000E6D74" w:rsidRPr="00736E75">
        <w:rPr>
          <w:rFonts w:ascii="Cambria" w:eastAsia="Cambria" w:hAnsi="Cambria" w:cs="Cambria"/>
          <w:sz w:val="20"/>
          <w:szCs w:val="20"/>
          <w:lang w:val="es-MX"/>
        </w:rPr>
        <w:t>1600 millones de pesos mexicanos</w:t>
      </w:r>
      <w:r w:rsidR="00573645" w:rsidRPr="00736E75">
        <w:rPr>
          <w:rFonts w:ascii="Cambria" w:eastAsia="Cambria" w:hAnsi="Cambria" w:cs="Cambria"/>
          <w:sz w:val="20"/>
          <w:szCs w:val="20"/>
          <w:lang w:val="es-MX"/>
        </w:rPr>
        <w:t xml:space="preserve"> que se estiman serían necesarios para el pago de reparaciones de casi </w:t>
      </w:r>
      <w:r w:rsidR="00255F84" w:rsidRPr="00736E75">
        <w:rPr>
          <w:rFonts w:ascii="Cambria" w:eastAsia="Cambria" w:hAnsi="Cambria" w:cs="Cambria"/>
          <w:sz w:val="20"/>
          <w:szCs w:val="20"/>
          <w:lang w:val="es-MX"/>
        </w:rPr>
        <w:t>3 mil víctimas y los sueldos de alrededor de 150 funcionarios</w:t>
      </w:r>
      <w:r w:rsidRPr="00736E75">
        <w:rPr>
          <w:rFonts w:ascii="Cambria" w:eastAsia="Cambria" w:hAnsi="Cambria" w:cs="Cambria"/>
          <w:sz w:val="20"/>
          <w:szCs w:val="20"/>
          <w:vertAlign w:val="superscript"/>
          <w:lang w:val="es-MX"/>
        </w:rPr>
        <w:footnoteReference w:id="185"/>
      </w:r>
      <w:r w:rsidRPr="00736E75">
        <w:rPr>
          <w:rFonts w:ascii="Cambria" w:eastAsia="Cambria" w:hAnsi="Cambria" w:cs="Cambria"/>
          <w:sz w:val="20"/>
          <w:szCs w:val="20"/>
          <w:lang w:val="es-MX"/>
        </w:rPr>
        <w:t>.</w:t>
      </w:r>
      <w:r w:rsidR="00736E75" w:rsidRPr="00736E75">
        <w:rPr>
          <w:rFonts w:ascii="Cambria" w:eastAsia="Cambria" w:hAnsi="Cambria" w:cs="Cambria"/>
          <w:sz w:val="20"/>
          <w:szCs w:val="20"/>
          <w:lang w:val="es-MX"/>
        </w:rPr>
        <w:t xml:space="preserve"> </w:t>
      </w:r>
      <w:r w:rsidR="002F1A6A" w:rsidRPr="00715391">
        <w:rPr>
          <w:rFonts w:ascii="Cambria" w:eastAsia="Cambria" w:hAnsi="Cambria" w:cs="Cambria"/>
          <w:sz w:val="20"/>
          <w:szCs w:val="20"/>
          <w:lang w:val="es-MX"/>
        </w:rPr>
        <w:t>En sus observaciones al proyecto del presente informe, el Estado indicó que  para el ejercicio 2021 la CEAV  contó con una asignación original del presupuesto para subsidios (en el cual se concentran los recursos para las medidas de ayuda asistencia y reparación integral) de $430,704,811.00 y durante el ejercicio se realizaron adecuaciones presupuestales de economías que existían en otros capítulos de gasto, y se obtuvieron recursos adicionales de la Secretaría de Hacienda y Crédito Público  (SHCP)  con lo que al final del año se ejercieron $783,620,929.24. Para el ejercicio 2022 la asignación original para subsidios es de $530,713,021.00 más de cien millones que la asignación original del ejercicio anterior, así mismo la Dirección General de Administración y Finanzas de la CEAV tiene programado canalizar todos los recursos que se tengan por economías en otros capítulos de gasto al capítulo de subsidios, la SHCP ha manifestado que en todo momento respaldará a la CEAV para que cuente con los recursos adicionales que sean necesarios para garantizar los apoyos a las víctimas</w:t>
      </w:r>
      <w:r w:rsidR="002F1A6A" w:rsidRPr="00715391">
        <w:rPr>
          <w:rStyle w:val="FootnoteReference"/>
          <w:rFonts w:ascii="Cambria" w:eastAsia="Cambria" w:hAnsi="Cambria" w:cs="Cambria"/>
          <w:sz w:val="20"/>
          <w:szCs w:val="20"/>
          <w:lang w:val="es-MX"/>
        </w:rPr>
        <w:footnoteReference w:id="186"/>
      </w:r>
      <w:r w:rsidR="002F1A6A" w:rsidRPr="00715391">
        <w:rPr>
          <w:rFonts w:ascii="Cambria" w:eastAsia="Cambria" w:hAnsi="Cambria" w:cs="Cambria"/>
          <w:sz w:val="20"/>
          <w:szCs w:val="20"/>
          <w:lang w:val="es-MX"/>
        </w:rPr>
        <w:t xml:space="preserve">. </w:t>
      </w:r>
      <w:r w:rsidR="00736E75" w:rsidRPr="00715391">
        <w:rPr>
          <w:rFonts w:ascii="Cambria" w:eastAsia="Cambria" w:hAnsi="Cambria" w:cs="Cambria"/>
          <w:sz w:val="20"/>
          <w:szCs w:val="20"/>
          <w:lang w:val="es-MX"/>
        </w:rPr>
        <w:t>Por</w:t>
      </w:r>
      <w:r w:rsidR="00736E75" w:rsidRPr="002F1A6A">
        <w:rPr>
          <w:rFonts w:ascii="Cambria" w:eastAsia="Cambria" w:hAnsi="Cambria" w:cs="Cambria"/>
          <w:sz w:val="20"/>
          <w:szCs w:val="20"/>
          <w:lang w:val="es-MX"/>
        </w:rPr>
        <w:t xml:space="preserve"> otro lado, la CIDH valora positivamente que</w:t>
      </w:r>
      <w:r w:rsidRPr="002F1A6A">
        <w:rPr>
          <w:rFonts w:ascii="Cambria" w:eastAsia="Cambria" w:hAnsi="Cambria" w:cs="Cambria"/>
          <w:sz w:val="20"/>
          <w:szCs w:val="20"/>
          <w:lang w:val="es-MX"/>
        </w:rPr>
        <w:t xml:space="preserve"> </w:t>
      </w:r>
      <w:r w:rsidR="00736E75" w:rsidRPr="002F1A6A">
        <w:rPr>
          <w:rFonts w:ascii="Cambria" w:eastAsia="Cambria" w:hAnsi="Cambria" w:cs="Cambria"/>
          <w:sz w:val="20"/>
          <w:szCs w:val="20"/>
          <w:lang w:val="es-MX"/>
        </w:rPr>
        <w:t>el 9 de diciembre el Senado confirmó a la nueva titular de la CEAV, después de un año de vacancia de dicho cargo</w:t>
      </w:r>
      <w:r w:rsidR="00F4063A" w:rsidRPr="00736E75">
        <w:rPr>
          <w:rStyle w:val="FootnoteReference"/>
          <w:rFonts w:ascii="Cambria" w:eastAsia="Cambria" w:hAnsi="Cambria" w:cs="Cambria"/>
          <w:sz w:val="20"/>
          <w:szCs w:val="20"/>
          <w:lang w:val="es-MX"/>
        </w:rPr>
        <w:footnoteReference w:id="187"/>
      </w:r>
      <w:r w:rsidR="00F4063A" w:rsidRPr="002F1A6A">
        <w:rPr>
          <w:rFonts w:ascii="Cambria" w:eastAsia="Cambria" w:hAnsi="Cambria" w:cs="Cambria"/>
          <w:sz w:val="20"/>
          <w:szCs w:val="20"/>
          <w:lang w:val="es-MX"/>
        </w:rPr>
        <w:t>.</w:t>
      </w:r>
      <w:r w:rsidR="00D5000A" w:rsidRPr="002F1A6A">
        <w:rPr>
          <w:rFonts w:ascii="Cambria" w:eastAsia="Cambria" w:hAnsi="Cambria" w:cs="Cambria"/>
          <w:sz w:val="20"/>
          <w:szCs w:val="20"/>
          <w:lang w:val="es-MX"/>
        </w:rPr>
        <w:t xml:space="preserve"> </w:t>
      </w:r>
    </w:p>
    <w:p w14:paraId="6FF3B443" w14:textId="16979742" w:rsidR="00DB5416" w:rsidRPr="004E3E07" w:rsidRDefault="00DB5416" w:rsidP="5258151B">
      <w:pPr>
        <w:numPr>
          <w:ilvl w:val="0"/>
          <w:numId w:val="5"/>
        </w:numPr>
        <w:spacing w:after="240" w:line="240" w:lineRule="auto"/>
        <w:ind w:left="0" w:firstLine="720"/>
        <w:jc w:val="both"/>
        <w:rPr>
          <w:rFonts w:ascii="Cambria" w:eastAsia="Cambria" w:hAnsi="Cambria" w:cs="Cambria"/>
          <w:sz w:val="20"/>
          <w:szCs w:val="20"/>
          <w:lang w:val="es-MX"/>
        </w:rPr>
      </w:pPr>
      <w:r w:rsidRPr="004E3E07">
        <w:rPr>
          <w:rFonts w:ascii="Cambria" w:eastAsia="Cambria" w:hAnsi="Cambria" w:cs="Cambria"/>
          <w:sz w:val="20"/>
          <w:szCs w:val="20"/>
          <w:lang w:val="es-MX"/>
        </w:rPr>
        <w:t xml:space="preserve">Para la CIDH es positivo la suscripción de convenios interinstitucionales para mejorar la protección a víctimas mandato de la CEAV. Sin perjuicio de lo anterior, la CIDH también observa con preocupación que los puntos </w:t>
      </w:r>
      <w:r w:rsidR="003B63E8" w:rsidRPr="004E3E07">
        <w:rPr>
          <w:rFonts w:ascii="Cambria" w:eastAsia="Cambria" w:hAnsi="Cambria" w:cs="Cambria"/>
          <w:sz w:val="20"/>
          <w:szCs w:val="20"/>
          <w:lang w:val="es-MX"/>
        </w:rPr>
        <w:t>que componen la</w:t>
      </w:r>
      <w:r w:rsidRPr="004E3E07">
        <w:rPr>
          <w:rFonts w:ascii="Cambria" w:eastAsia="Cambria" w:hAnsi="Cambria" w:cs="Cambria"/>
          <w:sz w:val="20"/>
          <w:szCs w:val="20"/>
          <w:lang w:val="es-MX"/>
        </w:rPr>
        <w:t xml:space="preserve"> supervisión de la presente </w:t>
      </w:r>
      <w:r w:rsidR="00F975EE" w:rsidRPr="004E3E07">
        <w:rPr>
          <w:rFonts w:ascii="Cambria" w:eastAsia="Cambria" w:hAnsi="Cambria" w:cs="Cambria"/>
          <w:sz w:val="20"/>
          <w:szCs w:val="20"/>
          <w:lang w:val="es-MX"/>
        </w:rPr>
        <w:t>recomendación</w:t>
      </w:r>
      <w:r w:rsidRPr="004E3E07">
        <w:rPr>
          <w:rFonts w:ascii="Cambria" w:eastAsia="Cambria" w:hAnsi="Cambria" w:cs="Cambria"/>
          <w:sz w:val="20"/>
          <w:szCs w:val="20"/>
          <w:lang w:val="es-MX"/>
        </w:rPr>
        <w:t xml:space="preserve"> sig</w:t>
      </w:r>
      <w:r w:rsidR="003B63E8" w:rsidRPr="004E3E07">
        <w:rPr>
          <w:rFonts w:ascii="Cambria" w:eastAsia="Cambria" w:hAnsi="Cambria" w:cs="Cambria"/>
          <w:sz w:val="20"/>
          <w:szCs w:val="20"/>
          <w:lang w:val="es-MX"/>
        </w:rPr>
        <w:t xml:space="preserve">uen </w:t>
      </w:r>
      <w:r w:rsidRPr="004E3E07">
        <w:rPr>
          <w:rFonts w:ascii="Cambria" w:eastAsia="Cambria" w:hAnsi="Cambria" w:cs="Cambria"/>
          <w:sz w:val="20"/>
          <w:szCs w:val="20"/>
          <w:lang w:val="es-MX"/>
        </w:rPr>
        <w:t xml:space="preserve">siendo </w:t>
      </w:r>
      <w:r w:rsidR="00330B36" w:rsidRPr="004E3E07">
        <w:rPr>
          <w:rFonts w:ascii="Cambria" w:eastAsia="Cambria" w:hAnsi="Cambria" w:cs="Cambria"/>
          <w:sz w:val="20"/>
          <w:szCs w:val="20"/>
          <w:lang w:val="es-MX"/>
        </w:rPr>
        <w:t>objeto de incertidumbre.</w:t>
      </w:r>
      <w:r w:rsidR="003E4564" w:rsidRPr="004E3E07">
        <w:rPr>
          <w:rFonts w:ascii="Cambria" w:eastAsia="Cambria" w:hAnsi="Cambria" w:cs="Cambria"/>
          <w:sz w:val="20"/>
          <w:szCs w:val="20"/>
          <w:lang w:val="es-MX"/>
        </w:rPr>
        <w:t xml:space="preserve"> El presupuesto asignado a la CEAV nuevamente</w:t>
      </w:r>
      <w:r w:rsidR="00D72D24" w:rsidRPr="004E3E07">
        <w:rPr>
          <w:rFonts w:ascii="Cambria" w:eastAsia="Cambria" w:hAnsi="Cambria" w:cs="Cambria"/>
          <w:sz w:val="20"/>
          <w:szCs w:val="20"/>
          <w:lang w:val="es-MX"/>
        </w:rPr>
        <w:t xml:space="preserve"> se enfrenta</w:t>
      </w:r>
      <w:r w:rsidR="003E4564" w:rsidRPr="004E3E07">
        <w:rPr>
          <w:rFonts w:ascii="Cambria" w:eastAsia="Cambria" w:hAnsi="Cambria" w:cs="Cambria"/>
          <w:sz w:val="20"/>
          <w:szCs w:val="20"/>
          <w:lang w:val="es-MX"/>
        </w:rPr>
        <w:t xml:space="preserve"> </w:t>
      </w:r>
      <w:r w:rsidR="00D72D24" w:rsidRPr="004E3E07">
        <w:rPr>
          <w:rFonts w:ascii="Cambria" w:eastAsia="Cambria" w:hAnsi="Cambria" w:cs="Cambria"/>
          <w:sz w:val="20"/>
          <w:szCs w:val="20"/>
          <w:lang w:val="es-MX"/>
        </w:rPr>
        <w:t xml:space="preserve">a </w:t>
      </w:r>
      <w:r w:rsidR="003E4564" w:rsidRPr="004E3E07">
        <w:rPr>
          <w:rFonts w:ascii="Cambria" w:eastAsia="Cambria" w:hAnsi="Cambria" w:cs="Cambria"/>
          <w:sz w:val="20"/>
          <w:szCs w:val="20"/>
          <w:lang w:val="es-MX"/>
        </w:rPr>
        <w:t>cuestionamientos para el ejercicio del año 2022</w:t>
      </w:r>
      <w:r w:rsidR="00D72D24" w:rsidRPr="004E3E07">
        <w:rPr>
          <w:rFonts w:ascii="Cambria" w:eastAsia="Cambria" w:hAnsi="Cambria" w:cs="Cambria"/>
          <w:sz w:val="20"/>
          <w:szCs w:val="20"/>
          <w:lang w:val="es-MX"/>
        </w:rPr>
        <w:t xml:space="preserve"> dado que el monto designado sería insuficiente</w:t>
      </w:r>
      <w:r w:rsidR="00736E75">
        <w:rPr>
          <w:rFonts w:ascii="Cambria" w:eastAsia="Cambria" w:hAnsi="Cambria" w:cs="Cambria"/>
          <w:sz w:val="20"/>
          <w:szCs w:val="20"/>
          <w:lang w:val="es-MX"/>
        </w:rPr>
        <w:t xml:space="preserve">, </w:t>
      </w:r>
      <w:r w:rsidR="00D72D24" w:rsidRPr="004E3E07">
        <w:rPr>
          <w:rFonts w:ascii="Cambria" w:eastAsia="Cambria" w:hAnsi="Cambria" w:cs="Cambria"/>
          <w:sz w:val="20"/>
          <w:szCs w:val="20"/>
          <w:lang w:val="es-MX"/>
        </w:rPr>
        <w:t>comprometiendo la operación completa de la CEAV y el cumplimiento de los compromisos de México respecto de los derechos de las víctimas de violaciones a los derechos humanos</w:t>
      </w:r>
      <w:r w:rsidR="003E4564" w:rsidRPr="004E3E07">
        <w:rPr>
          <w:rFonts w:ascii="Cambria" w:eastAsia="Cambria" w:hAnsi="Cambria" w:cs="Cambria"/>
          <w:sz w:val="20"/>
          <w:szCs w:val="20"/>
          <w:lang w:val="es-MX"/>
        </w:rPr>
        <w:t xml:space="preserve">. Asimismo, </w:t>
      </w:r>
      <w:r w:rsidR="00484000" w:rsidRPr="004E3E07">
        <w:rPr>
          <w:rFonts w:ascii="Cambria" w:eastAsia="Cambria" w:hAnsi="Cambria" w:cs="Cambria"/>
          <w:sz w:val="20"/>
          <w:szCs w:val="20"/>
          <w:lang w:val="es-MX"/>
        </w:rPr>
        <w:t xml:space="preserve">la ausencia de un liderazgo visible en la CEAV, </w:t>
      </w:r>
      <w:r w:rsidR="00736E75">
        <w:rPr>
          <w:rFonts w:ascii="Cambria" w:eastAsia="Cambria" w:hAnsi="Cambria" w:cs="Cambria"/>
          <w:sz w:val="20"/>
          <w:szCs w:val="20"/>
          <w:lang w:val="es-MX"/>
        </w:rPr>
        <w:t>debido a</w:t>
      </w:r>
      <w:r w:rsidR="00484000" w:rsidRPr="004E3E07">
        <w:rPr>
          <w:rFonts w:ascii="Cambria" w:eastAsia="Cambria" w:hAnsi="Cambria" w:cs="Cambria"/>
          <w:sz w:val="20"/>
          <w:szCs w:val="20"/>
          <w:lang w:val="es-MX"/>
        </w:rPr>
        <w:t xml:space="preserve"> la </w:t>
      </w:r>
      <w:r w:rsidR="00736E75">
        <w:rPr>
          <w:rFonts w:ascii="Cambria" w:eastAsia="Cambria" w:hAnsi="Cambria" w:cs="Cambria"/>
          <w:sz w:val="20"/>
          <w:szCs w:val="20"/>
          <w:lang w:val="es-MX"/>
        </w:rPr>
        <w:t>larga</w:t>
      </w:r>
      <w:r w:rsidR="00484000" w:rsidRPr="004E3E07">
        <w:rPr>
          <w:rFonts w:ascii="Cambria" w:eastAsia="Cambria" w:hAnsi="Cambria" w:cs="Cambria"/>
          <w:sz w:val="20"/>
          <w:szCs w:val="20"/>
          <w:lang w:val="es-MX"/>
        </w:rPr>
        <w:t xml:space="preserve"> </w:t>
      </w:r>
      <w:r w:rsidR="00736E75">
        <w:rPr>
          <w:rFonts w:ascii="Cambria" w:eastAsia="Cambria" w:hAnsi="Cambria" w:cs="Cambria"/>
          <w:sz w:val="20"/>
          <w:szCs w:val="20"/>
          <w:lang w:val="es-MX"/>
        </w:rPr>
        <w:t>vacancia del cargo titular, resultó</w:t>
      </w:r>
      <w:r w:rsidR="00484000" w:rsidRPr="004E3E07">
        <w:rPr>
          <w:rFonts w:ascii="Cambria" w:eastAsia="Cambria" w:hAnsi="Cambria" w:cs="Cambria"/>
          <w:sz w:val="20"/>
          <w:szCs w:val="20"/>
          <w:lang w:val="es-MX"/>
        </w:rPr>
        <w:t xml:space="preserve"> nocivo para la generación de institucionalidad </w:t>
      </w:r>
      <w:r w:rsidR="00503E0D" w:rsidRPr="004E3E07">
        <w:rPr>
          <w:rFonts w:ascii="Cambria" w:eastAsia="Cambria" w:hAnsi="Cambria" w:cs="Cambria"/>
          <w:sz w:val="20"/>
          <w:szCs w:val="20"/>
          <w:lang w:val="es-MX"/>
        </w:rPr>
        <w:t xml:space="preserve">de </w:t>
      </w:r>
      <w:r w:rsidR="00736E75">
        <w:rPr>
          <w:rFonts w:ascii="Cambria" w:eastAsia="Cambria" w:hAnsi="Cambria" w:cs="Cambria"/>
          <w:sz w:val="20"/>
          <w:szCs w:val="20"/>
          <w:lang w:val="es-MX"/>
        </w:rPr>
        <w:t xml:space="preserve">dicha Comisión </w:t>
      </w:r>
      <w:r w:rsidR="00484000" w:rsidRPr="004E3E07">
        <w:rPr>
          <w:rFonts w:ascii="Cambria" w:eastAsia="Cambria" w:hAnsi="Cambria" w:cs="Cambria"/>
          <w:sz w:val="20"/>
          <w:szCs w:val="20"/>
          <w:lang w:val="es-MX"/>
        </w:rPr>
        <w:t>y su trabajo coordinado con las Comisiones Estatales.</w:t>
      </w:r>
      <w:r w:rsidR="004666C7" w:rsidRPr="004E3E07">
        <w:rPr>
          <w:rFonts w:ascii="Cambria" w:eastAsia="Cambria" w:hAnsi="Cambria" w:cs="Cambria"/>
          <w:sz w:val="20"/>
          <w:szCs w:val="20"/>
          <w:lang w:val="es-MX"/>
        </w:rPr>
        <w:t xml:space="preserve"> La CIDH encuentra </w:t>
      </w:r>
      <w:r w:rsidR="004344D8" w:rsidRPr="004E3E07">
        <w:rPr>
          <w:rFonts w:ascii="Cambria" w:eastAsia="Cambria" w:hAnsi="Cambria" w:cs="Cambria"/>
          <w:sz w:val="20"/>
          <w:szCs w:val="20"/>
          <w:lang w:val="es-MX"/>
        </w:rPr>
        <w:t xml:space="preserve">que la situación </w:t>
      </w:r>
      <w:r w:rsidR="004666C7" w:rsidRPr="004E3E07">
        <w:rPr>
          <w:rFonts w:ascii="Cambria" w:eastAsia="Cambria" w:hAnsi="Cambria" w:cs="Cambria"/>
          <w:sz w:val="20"/>
          <w:szCs w:val="20"/>
          <w:lang w:val="es-MX"/>
        </w:rPr>
        <w:t>en torno a la institucionalización de la CEAV y su rectoría frente a la defensa y protección de las víctimas a los derechos</w:t>
      </w:r>
      <w:r w:rsidR="004344D8" w:rsidRPr="004E3E07">
        <w:rPr>
          <w:rFonts w:ascii="Cambria" w:eastAsia="Cambria" w:hAnsi="Cambria" w:cs="Cambria"/>
          <w:sz w:val="20"/>
          <w:szCs w:val="20"/>
          <w:lang w:val="es-MX"/>
        </w:rPr>
        <w:t xml:space="preserve"> </w:t>
      </w:r>
      <w:r w:rsidR="00CB12CC" w:rsidRPr="004E3E07">
        <w:rPr>
          <w:rFonts w:ascii="Cambria" w:eastAsia="Cambria" w:hAnsi="Cambria" w:cs="Cambria"/>
          <w:sz w:val="20"/>
          <w:szCs w:val="20"/>
          <w:lang w:val="es-MX"/>
        </w:rPr>
        <w:t xml:space="preserve">ha sufrido un deterioro respecto de años anteriores. En este sentido, la Comisión considera que la recomendación ya no se encuentra en situación de cumplimiento </w:t>
      </w:r>
      <w:r w:rsidR="00685A75" w:rsidRPr="004E3E07">
        <w:rPr>
          <w:rFonts w:ascii="Cambria" w:eastAsia="Cambria" w:hAnsi="Cambria" w:cs="Cambria"/>
          <w:sz w:val="20"/>
          <w:szCs w:val="20"/>
          <w:lang w:val="es-MX"/>
        </w:rPr>
        <w:t xml:space="preserve">parcial, sino que se encuentra pendiente de cumplimiento. </w:t>
      </w:r>
    </w:p>
    <w:p w14:paraId="6F82AA0C" w14:textId="71C64A6D" w:rsidR="00421EB5" w:rsidRPr="00A90646" w:rsidRDefault="007E25FF" w:rsidP="00421EB5">
      <w:pPr>
        <w:numPr>
          <w:ilvl w:val="0"/>
          <w:numId w:val="5"/>
        </w:numPr>
        <w:shd w:val="clear" w:color="auto" w:fill="FFFFFF"/>
        <w:spacing w:after="240" w:line="240" w:lineRule="auto"/>
        <w:ind w:left="0" w:firstLine="720"/>
        <w:jc w:val="both"/>
        <w:rPr>
          <w:rFonts w:ascii="Cambria" w:eastAsia="Cambria" w:hAnsi="Cambria" w:cs="Cambria"/>
          <w:sz w:val="20"/>
          <w:szCs w:val="20"/>
          <w:lang w:val="es-MX"/>
        </w:rPr>
      </w:pPr>
      <w:r w:rsidRPr="004E3E07">
        <w:rPr>
          <w:rFonts w:ascii="Cambria" w:eastAsia="Cambria" w:hAnsi="Cambria" w:cs="Cambria"/>
          <w:sz w:val="20"/>
          <w:szCs w:val="20"/>
          <w:lang w:val="es-MX"/>
        </w:rPr>
        <w:t xml:space="preserve">Por lo que se refiere a la recomendación concerniente a la </w:t>
      </w:r>
      <w:r w:rsidRPr="004E3E07">
        <w:rPr>
          <w:rFonts w:ascii="Cambria" w:eastAsia="Cambria" w:hAnsi="Cambria" w:cs="Cambria"/>
          <w:b/>
          <w:bCs/>
          <w:sz w:val="20"/>
          <w:szCs w:val="20"/>
          <w:lang w:val="es-MX"/>
        </w:rPr>
        <w:t>rendición de cuentas sobre las graves violaciones a los derechos humanos e investigar y sancionar los hechos de la época de la llamada Guerra Sucia</w:t>
      </w:r>
      <w:r w:rsidRPr="004E3E07">
        <w:rPr>
          <w:rFonts w:ascii="Cambria" w:eastAsia="Cambria" w:hAnsi="Cambria" w:cs="Cambria"/>
          <w:sz w:val="20"/>
          <w:szCs w:val="20"/>
          <w:lang w:val="es-MX"/>
        </w:rPr>
        <w:t xml:space="preserve">, el </w:t>
      </w:r>
      <w:r w:rsidR="006A7841" w:rsidRPr="004E3E07">
        <w:rPr>
          <w:rFonts w:ascii="Cambria" w:eastAsia="Cambria" w:hAnsi="Cambria" w:cs="Cambria"/>
          <w:sz w:val="20"/>
          <w:szCs w:val="20"/>
          <w:lang w:val="es-MX"/>
        </w:rPr>
        <w:t xml:space="preserve">Estado informó que el 6 de octubre de 2021 se publicó </w:t>
      </w:r>
      <w:r w:rsidR="00421EB5" w:rsidRPr="004E3E07">
        <w:rPr>
          <w:rFonts w:ascii="Cambria" w:eastAsia="Cambria" w:hAnsi="Cambria" w:cs="Cambria"/>
          <w:sz w:val="20"/>
          <w:szCs w:val="20"/>
          <w:lang w:val="es-MX"/>
        </w:rPr>
        <w:t>el decreto por el que se crea la Comisión para el Acceso a la Verdad, el Esclarecimiento Histórico y el Impulso a la Justicia de las violaciones graves a los derechos humanos cometidas de 1965 a 19</w:t>
      </w:r>
      <w:r w:rsidR="00226B3C" w:rsidRPr="004E3E07">
        <w:rPr>
          <w:rFonts w:ascii="Cambria" w:eastAsia="Cambria" w:hAnsi="Cambria" w:cs="Cambria"/>
          <w:sz w:val="20"/>
          <w:szCs w:val="20"/>
          <w:lang w:val="es-MX"/>
        </w:rPr>
        <w:t>90</w:t>
      </w:r>
      <w:r w:rsidR="00226B3C" w:rsidRPr="004E3E07">
        <w:rPr>
          <w:rStyle w:val="FootnoteReference"/>
          <w:rFonts w:ascii="Cambria" w:hAnsi="Cambria"/>
          <w:sz w:val="20"/>
          <w:szCs w:val="20"/>
          <w:shd w:val="clear" w:color="auto" w:fill="FFFFFF"/>
          <w:lang w:val="es-MX"/>
        </w:rPr>
        <w:footnoteReference w:id="188"/>
      </w:r>
      <w:r w:rsidR="00421EB5" w:rsidRPr="004E3E07">
        <w:rPr>
          <w:rFonts w:ascii="Cambria" w:eastAsia="Cambria" w:hAnsi="Cambria" w:cs="Cambria"/>
          <w:sz w:val="20"/>
          <w:szCs w:val="20"/>
          <w:lang w:val="es-MX"/>
        </w:rPr>
        <w:t>.</w:t>
      </w:r>
      <w:r w:rsidR="00EF7528" w:rsidRPr="004E3E07">
        <w:rPr>
          <w:rFonts w:ascii="Cambria" w:eastAsia="Cambria" w:hAnsi="Cambria" w:cs="Cambria"/>
          <w:sz w:val="20"/>
          <w:szCs w:val="20"/>
          <w:lang w:val="es-MX"/>
        </w:rPr>
        <w:t xml:space="preserve"> Según lo informado, d</w:t>
      </w:r>
      <w:r w:rsidR="00421EB5" w:rsidRPr="004E3E07">
        <w:rPr>
          <w:rFonts w:ascii="Cambria" w:eastAsia="Cambria" w:hAnsi="Cambria" w:cs="Cambria"/>
          <w:sz w:val="20"/>
          <w:szCs w:val="20"/>
          <w:lang w:val="es-MX"/>
        </w:rPr>
        <w:t xml:space="preserve">icha Comisión </w:t>
      </w:r>
      <w:r w:rsidR="00EF7528" w:rsidRPr="004E3E07">
        <w:rPr>
          <w:rFonts w:ascii="Cambria" w:eastAsia="Cambria" w:hAnsi="Cambria" w:cs="Cambria"/>
          <w:sz w:val="20"/>
          <w:szCs w:val="20"/>
          <w:lang w:val="es-MX"/>
        </w:rPr>
        <w:t>de la Verdad</w:t>
      </w:r>
      <w:r w:rsidR="00421EB5" w:rsidRPr="004E3E07">
        <w:rPr>
          <w:rFonts w:ascii="Cambria" w:eastAsia="Cambria" w:hAnsi="Cambria" w:cs="Cambria"/>
          <w:sz w:val="20"/>
          <w:szCs w:val="20"/>
          <w:lang w:val="es-MX"/>
        </w:rPr>
        <w:t xml:space="preserve"> se constituye como grupo de trabajo especial para cumplir las funciones de investigación, seguimiento, fiscalización, proposición y emisión de informes relacionados con los hechos de violaciones graves de derechos humanos en el periodo de violencia política de 1965 a 1990, </w:t>
      </w:r>
      <w:r w:rsidR="00024A03" w:rsidRPr="004E3E07">
        <w:rPr>
          <w:rFonts w:ascii="Cambria" w:eastAsia="Cambria" w:hAnsi="Cambria" w:cs="Cambria"/>
          <w:sz w:val="20"/>
          <w:szCs w:val="20"/>
          <w:lang w:val="es-MX"/>
        </w:rPr>
        <w:t>para que se</w:t>
      </w:r>
      <w:r w:rsidR="00421EB5" w:rsidRPr="004E3E07">
        <w:rPr>
          <w:rFonts w:ascii="Cambria" w:eastAsia="Cambria" w:hAnsi="Cambria" w:cs="Cambria"/>
          <w:sz w:val="20"/>
          <w:szCs w:val="20"/>
          <w:lang w:val="es-MX"/>
        </w:rPr>
        <w:t xml:space="preserve"> realicen las acciones necesarias para el esclarecimiento de la verdad, el impulso a la justicia, la reparación integral y el derecho a la memoria dentro de la competencia de la Administración Pública Federal, y en su caso, dar vista a las autoridades ministeriales, judiciales, de atención a víctimas o aquellas que resulten competentes para su atención.</w:t>
      </w:r>
      <w:r w:rsidR="00BE4C50" w:rsidRPr="004E3E07">
        <w:rPr>
          <w:rFonts w:ascii="Cambria" w:eastAsia="Cambria" w:hAnsi="Cambria" w:cs="Cambria"/>
          <w:sz w:val="20"/>
          <w:szCs w:val="20"/>
          <w:lang w:val="es-MX"/>
        </w:rPr>
        <w:t xml:space="preserve"> La Comisión </w:t>
      </w:r>
      <w:r w:rsidR="00807603" w:rsidRPr="004E3E07">
        <w:rPr>
          <w:rFonts w:ascii="Cambria" w:eastAsia="Cambria" w:hAnsi="Cambria" w:cs="Cambria"/>
          <w:sz w:val="20"/>
          <w:szCs w:val="20"/>
          <w:lang w:val="es-MX"/>
        </w:rPr>
        <w:t>de la Verdad ya fue conformada y está próxima a su entrada en funciones</w:t>
      </w:r>
      <w:r w:rsidR="00807603" w:rsidRPr="004E3E07">
        <w:rPr>
          <w:rStyle w:val="FootnoteReference"/>
          <w:rFonts w:ascii="Cambria" w:eastAsia="Cambria" w:hAnsi="Cambria" w:cs="Cambria"/>
          <w:sz w:val="20"/>
          <w:szCs w:val="20"/>
          <w:lang w:val="es-MX"/>
        </w:rPr>
        <w:footnoteReference w:id="189"/>
      </w:r>
      <w:r w:rsidR="00807603" w:rsidRPr="004E3E07">
        <w:rPr>
          <w:rFonts w:ascii="Cambria" w:eastAsia="Cambria" w:hAnsi="Cambria" w:cs="Cambria"/>
          <w:sz w:val="20"/>
          <w:szCs w:val="20"/>
          <w:lang w:val="es-MX"/>
        </w:rPr>
        <w:t>.</w:t>
      </w:r>
    </w:p>
    <w:p w14:paraId="29991BE8" w14:textId="37CFA8B1" w:rsidR="002F6492" w:rsidRPr="004E3E07" w:rsidRDefault="00511C80" w:rsidP="00421EB5">
      <w:pPr>
        <w:numPr>
          <w:ilvl w:val="0"/>
          <w:numId w:val="5"/>
        </w:numPr>
        <w:shd w:val="clear" w:color="auto" w:fill="FFFFFF"/>
        <w:spacing w:after="240" w:line="240" w:lineRule="auto"/>
        <w:ind w:left="0" w:firstLine="720"/>
        <w:jc w:val="both"/>
        <w:rPr>
          <w:rFonts w:ascii="Cambria" w:eastAsia="Cambria" w:hAnsi="Cambria" w:cs="Cambria"/>
          <w:sz w:val="20"/>
          <w:szCs w:val="20"/>
          <w:lang w:val="es-MX"/>
        </w:rPr>
      </w:pPr>
      <w:r w:rsidRPr="004E3E07">
        <w:rPr>
          <w:rFonts w:ascii="Cambria" w:eastAsia="Cambria" w:hAnsi="Cambria" w:cs="Cambria"/>
          <w:sz w:val="20"/>
          <w:szCs w:val="20"/>
          <w:lang w:val="es-MX"/>
        </w:rPr>
        <w:t xml:space="preserve">Por su lado, </w:t>
      </w:r>
      <w:r w:rsidR="00C3555E" w:rsidRPr="004E3E07">
        <w:rPr>
          <w:rFonts w:ascii="Cambria" w:eastAsia="Cambria" w:hAnsi="Cambria" w:cs="Cambria"/>
          <w:sz w:val="20"/>
          <w:szCs w:val="20"/>
          <w:lang w:val="es-MX"/>
        </w:rPr>
        <w:t xml:space="preserve">Justicia Transicional en México ha puesto de relieve la importancia de que </w:t>
      </w:r>
      <w:r w:rsidR="00DF38C5" w:rsidRPr="004E3E07">
        <w:rPr>
          <w:rFonts w:ascii="Cambria" w:eastAsia="Cambria" w:hAnsi="Cambria" w:cs="Cambria"/>
          <w:sz w:val="20"/>
          <w:szCs w:val="20"/>
          <w:lang w:val="es-MX"/>
        </w:rPr>
        <w:t xml:space="preserve">la mencionada Comisión de la Verdad </w:t>
      </w:r>
      <w:r w:rsidR="00497BF3" w:rsidRPr="004E3E07">
        <w:rPr>
          <w:rFonts w:ascii="Cambria" w:eastAsia="Cambria" w:hAnsi="Cambria" w:cs="Cambria"/>
          <w:sz w:val="20"/>
          <w:szCs w:val="20"/>
          <w:lang w:val="es-MX"/>
        </w:rPr>
        <w:t xml:space="preserve">escuche de primera mano las voces de las víctimas y </w:t>
      </w:r>
      <w:r w:rsidR="00F816C4" w:rsidRPr="004E3E07">
        <w:rPr>
          <w:rFonts w:ascii="Cambria" w:eastAsia="Cambria" w:hAnsi="Cambria" w:cs="Cambria"/>
          <w:sz w:val="20"/>
          <w:szCs w:val="20"/>
          <w:lang w:val="es-MX"/>
        </w:rPr>
        <w:t>que</w:t>
      </w:r>
      <w:r w:rsidR="00CA0761" w:rsidRPr="004E3E07">
        <w:rPr>
          <w:rFonts w:ascii="Cambria" w:eastAsia="Cambria" w:hAnsi="Cambria" w:cs="Cambria"/>
          <w:sz w:val="20"/>
          <w:szCs w:val="20"/>
          <w:lang w:val="es-MX"/>
        </w:rPr>
        <w:t xml:space="preserve"> los lineamientos que determinarán su funcionamiento sean explícitos respecto de</w:t>
      </w:r>
      <w:r w:rsidR="00AF033A" w:rsidRPr="004E3E07">
        <w:rPr>
          <w:rFonts w:ascii="Cambria" w:eastAsia="Cambria" w:hAnsi="Cambria" w:cs="Cambria"/>
          <w:sz w:val="20"/>
          <w:szCs w:val="20"/>
          <w:lang w:val="es-MX"/>
        </w:rPr>
        <w:t xml:space="preserve">l financiamiento </w:t>
      </w:r>
      <w:r w:rsidR="00E77B4F" w:rsidRPr="004E3E07">
        <w:rPr>
          <w:rFonts w:ascii="Cambria" w:eastAsia="Cambria" w:hAnsi="Cambria" w:cs="Cambria"/>
          <w:sz w:val="20"/>
          <w:szCs w:val="20"/>
          <w:lang w:val="es-MX"/>
        </w:rPr>
        <w:t xml:space="preserve">y el personal con el que contará para </w:t>
      </w:r>
      <w:r w:rsidR="00AF033A" w:rsidRPr="004E3E07">
        <w:rPr>
          <w:rFonts w:ascii="Cambria" w:eastAsia="Cambria" w:hAnsi="Cambria" w:cs="Cambria"/>
          <w:sz w:val="20"/>
          <w:szCs w:val="20"/>
          <w:lang w:val="es-MX"/>
        </w:rPr>
        <w:t>su operación</w:t>
      </w:r>
      <w:r w:rsidR="00E77B4F" w:rsidRPr="004E3E07">
        <w:rPr>
          <w:rStyle w:val="FootnoteReference"/>
          <w:rFonts w:ascii="Cambria" w:eastAsia="Cambria" w:hAnsi="Cambria" w:cs="Cambria"/>
          <w:sz w:val="20"/>
          <w:szCs w:val="20"/>
          <w:lang w:val="es-MX"/>
        </w:rPr>
        <w:footnoteReference w:id="190"/>
      </w:r>
      <w:r w:rsidR="00E77B4F" w:rsidRPr="004E3E07">
        <w:rPr>
          <w:rFonts w:ascii="Cambria" w:eastAsia="Cambria" w:hAnsi="Cambria" w:cs="Cambria"/>
          <w:sz w:val="20"/>
          <w:szCs w:val="20"/>
          <w:lang w:val="es-MX"/>
        </w:rPr>
        <w:t>.</w:t>
      </w:r>
      <w:r w:rsidR="0088742E" w:rsidRPr="004E3E07">
        <w:rPr>
          <w:rFonts w:ascii="Cambria" w:eastAsia="Cambria" w:hAnsi="Cambria" w:cs="Cambria"/>
          <w:sz w:val="20"/>
          <w:szCs w:val="20"/>
          <w:lang w:val="es-MX"/>
        </w:rPr>
        <w:t xml:space="preserve"> En esta misma línea, el Centro PRODH puso de manifiesto que </w:t>
      </w:r>
      <w:r w:rsidR="00C86EB5" w:rsidRPr="004E3E07">
        <w:rPr>
          <w:rFonts w:ascii="Cambria" w:eastAsia="Cambria" w:hAnsi="Cambria" w:cs="Cambria"/>
          <w:sz w:val="20"/>
          <w:szCs w:val="20"/>
          <w:lang w:val="es-MX"/>
        </w:rPr>
        <w:t>se omitió incluir en el articulado del Decreto la obligación de todas las dependencias de la Administración Pública Federal de entregar toda la información en un plazo concreto, a pesar de que esta habría sido incluida en decretos similares; y por el otro, se generó un esquema de votación en el que mayoritariamente tiene voz los integrantes de instituciones gubernamentales; así como se estableció una temporalidad apegada a los tiempos de una administración pública federal y no a un plan concreto respecto a los objetivos del Decreto y sus alcances</w:t>
      </w:r>
      <w:r w:rsidR="00DF689F" w:rsidRPr="004E3E07">
        <w:rPr>
          <w:rFonts w:ascii="Cambria" w:eastAsia="Cambria" w:hAnsi="Cambria" w:cs="Cambria"/>
          <w:sz w:val="20"/>
          <w:szCs w:val="20"/>
          <w:lang w:val="es-MX"/>
        </w:rPr>
        <w:t xml:space="preserve">. El Centro PRODH transmitió a la CIDH la relevancia </w:t>
      </w:r>
      <w:r w:rsidR="00422C2D" w:rsidRPr="004E3E07">
        <w:rPr>
          <w:rFonts w:ascii="Cambria" w:eastAsia="Cambria" w:hAnsi="Cambria" w:cs="Cambria"/>
          <w:sz w:val="20"/>
          <w:szCs w:val="20"/>
          <w:lang w:val="es-MX"/>
        </w:rPr>
        <w:t xml:space="preserve">de que la SEDENA </w:t>
      </w:r>
      <w:r w:rsidR="00905512" w:rsidRPr="004E3E07">
        <w:rPr>
          <w:rFonts w:ascii="Cambria" w:eastAsia="Cambria" w:hAnsi="Cambria" w:cs="Cambria"/>
          <w:sz w:val="20"/>
          <w:szCs w:val="20"/>
          <w:lang w:val="es-MX"/>
        </w:rPr>
        <w:t>colabore activamente con las acciones de la Comisión de la Verdad, entregando los archivos que tienen en su poder y permitiendo el acceso a sus instalaciones con fines de búsqueda</w:t>
      </w:r>
      <w:r w:rsidR="00C86EB5" w:rsidRPr="004E3E07">
        <w:rPr>
          <w:rStyle w:val="FootnoteReference"/>
          <w:rFonts w:ascii="Cambria" w:eastAsia="Cambria" w:hAnsi="Cambria" w:cs="Cambria"/>
          <w:sz w:val="20"/>
          <w:szCs w:val="20"/>
          <w:lang w:val="es-MX"/>
        </w:rPr>
        <w:footnoteReference w:id="191"/>
      </w:r>
      <w:r w:rsidR="00C86EB5" w:rsidRPr="004E3E07">
        <w:rPr>
          <w:rFonts w:ascii="Cambria" w:eastAsia="Cambria" w:hAnsi="Cambria" w:cs="Cambria"/>
          <w:sz w:val="20"/>
          <w:szCs w:val="20"/>
          <w:lang w:val="es-MX"/>
        </w:rPr>
        <w:t>.</w:t>
      </w:r>
    </w:p>
    <w:p w14:paraId="5157E3E7" w14:textId="6F2B6EF2" w:rsidR="003A620B" w:rsidRPr="004E3E07" w:rsidRDefault="00226B3C" w:rsidP="5258151B">
      <w:pPr>
        <w:numPr>
          <w:ilvl w:val="0"/>
          <w:numId w:val="5"/>
        </w:numPr>
        <w:shd w:val="clear" w:color="auto" w:fill="FFFFFF"/>
        <w:spacing w:after="240" w:line="240" w:lineRule="auto"/>
        <w:ind w:left="0" w:firstLine="720"/>
        <w:jc w:val="both"/>
        <w:rPr>
          <w:rFonts w:ascii="Cambria" w:eastAsia="Cambria" w:hAnsi="Cambria" w:cs="Cambria"/>
          <w:sz w:val="20"/>
          <w:szCs w:val="20"/>
          <w:lang w:val="es-MX"/>
        </w:rPr>
      </w:pPr>
      <w:r w:rsidRPr="004E3E07">
        <w:rPr>
          <w:rFonts w:ascii="Cambria" w:eastAsia="Cambria" w:hAnsi="Cambria" w:cs="Cambria"/>
          <w:sz w:val="20"/>
          <w:szCs w:val="20"/>
          <w:lang w:val="es-MX"/>
        </w:rPr>
        <w:t>La</w:t>
      </w:r>
      <w:r w:rsidR="003A620B" w:rsidRPr="004E3E07">
        <w:rPr>
          <w:rFonts w:ascii="Cambria" w:eastAsia="Cambria" w:hAnsi="Cambria" w:cs="Cambria"/>
          <w:sz w:val="20"/>
          <w:szCs w:val="20"/>
          <w:lang w:val="es-MX"/>
        </w:rPr>
        <w:t xml:space="preserve"> CIDH valora positivamente la iniciativa de creación e instalación de la </w:t>
      </w:r>
      <w:r w:rsidR="003A620B" w:rsidRPr="004E3E07">
        <w:rPr>
          <w:rFonts w:ascii="Cambria" w:hAnsi="Cambria"/>
          <w:sz w:val="20"/>
          <w:szCs w:val="20"/>
          <w:lang w:val="es-MX"/>
        </w:rPr>
        <w:t xml:space="preserve">Comisión por el Acceso a la Verdad y el Esclarecimiento Histórico y Justicia a las Violaciones graves a los Derechos Humanos cometidos entre los años 1965-1990, </w:t>
      </w:r>
      <w:r w:rsidRPr="004E3E07">
        <w:rPr>
          <w:rFonts w:ascii="Cambria" w:hAnsi="Cambria"/>
          <w:sz w:val="20"/>
          <w:szCs w:val="20"/>
          <w:lang w:val="es-MX"/>
        </w:rPr>
        <w:t>que impulsará</w:t>
      </w:r>
      <w:r w:rsidR="003A620B" w:rsidRPr="004E3E07">
        <w:rPr>
          <w:rFonts w:ascii="Cambria" w:hAnsi="Cambria"/>
          <w:sz w:val="20"/>
          <w:szCs w:val="20"/>
          <w:lang w:val="es-MX"/>
        </w:rPr>
        <w:t xml:space="preserve"> las acciones y condiciones necesarias desde el poder ejecutivo federal para garantizar los derechos a la verdad, justicia, reparación y memoria respecto de las graves violaciones cometidas durante el periodo conocido como Guerra Sucia. Para ello, se implementarán mecanismos y políticas de verdad, justicia, búsqueda, reparación integral, memoria y garantías de no repetición</w:t>
      </w:r>
      <w:r w:rsidR="003A620B" w:rsidRPr="004E3E07">
        <w:rPr>
          <w:rStyle w:val="FootnoteReference"/>
          <w:rFonts w:ascii="Cambria" w:hAnsi="Cambria"/>
          <w:sz w:val="20"/>
          <w:szCs w:val="20"/>
          <w:shd w:val="clear" w:color="auto" w:fill="FFFFFF"/>
          <w:lang w:val="es-MX"/>
        </w:rPr>
        <w:footnoteReference w:id="192"/>
      </w:r>
      <w:r w:rsidR="003A620B" w:rsidRPr="004E3E07">
        <w:rPr>
          <w:rFonts w:ascii="Cambria" w:hAnsi="Cambria"/>
          <w:sz w:val="20"/>
          <w:szCs w:val="20"/>
          <w:lang w:val="es-MX"/>
        </w:rPr>
        <w:t xml:space="preserve">. Al respecto, la CIDH reconoce esta iniciativa como un importante paso hacia la rendición de cuentas sobre las violaciones de derechos humanos enmarcadas en la época de la llamada Guerra Sucia, </w:t>
      </w:r>
      <w:r w:rsidRPr="004E3E07">
        <w:rPr>
          <w:rFonts w:ascii="Cambria" w:hAnsi="Cambria"/>
          <w:sz w:val="20"/>
          <w:szCs w:val="20"/>
          <w:lang w:val="es-MX"/>
        </w:rPr>
        <w:t xml:space="preserve">por lo que concluye que la recomendación se encuentra en situación de cumplimiento parcial sustancial. </w:t>
      </w:r>
    </w:p>
    <w:p w14:paraId="0BFF4CE8" w14:textId="3606C503" w:rsidR="001C04FF" w:rsidRPr="004E3E07" w:rsidRDefault="007E25FF" w:rsidP="5258151B">
      <w:pPr>
        <w:numPr>
          <w:ilvl w:val="0"/>
          <w:numId w:val="5"/>
        </w:numPr>
        <w:shd w:val="clear" w:color="auto" w:fill="FFFFFF"/>
        <w:spacing w:after="240" w:line="240" w:lineRule="auto"/>
        <w:ind w:left="0" w:firstLine="720"/>
        <w:jc w:val="both"/>
        <w:rPr>
          <w:rFonts w:ascii="Cambria" w:eastAsia="Cambria" w:hAnsi="Cambria" w:cs="Cambria"/>
          <w:sz w:val="20"/>
          <w:szCs w:val="20"/>
          <w:lang w:val="es-MX"/>
        </w:rPr>
      </w:pPr>
      <w:r w:rsidRPr="004E3E07">
        <w:rPr>
          <w:rFonts w:ascii="Cambria" w:eastAsia="Cambria" w:hAnsi="Cambria" w:cs="Cambria"/>
          <w:sz w:val="20"/>
          <w:szCs w:val="20"/>
          <w:lang w:val="es-MX"/>
        </w:rPr>
        <w:t>Con respecto a la recomendación relativa a</w:t>
      </w:r>
      <w:r w:rsidRPr="004E3E07">
        <w:rPr>
          <w:rFonts w:ascii="Cambria" w:eastAsia="Cambria" w:hAnsi="Cambria" w:cs="Cambria"/>
          <w:b/>
          <w:bCs/>
          <w:sz w:val="20"/>
          <w:szCs w:val="20"/>
          <w:lang w:val="es-MX"/>
        </w:rPr>
        <w:t xml:space="preserve"> fortalecer el mecanismo de protección de personas defensoras de derechos humanos y periodistas, garantizando su sostenibilidad económica a largo plazo y su autonomía, así como adoptar medidas para la evaluación y protección diferenciada de los beneficiarios, </w:t>
      </w:r>
      <w:r w:rsidRPr="004E3E07">
        <w:rPr>
          <w:rFonts w:ascii="Cambria" w:eastAsia="Cambria" w:hAnsi="Cambria" w:cs="Cambria"/>
          <w:sz w:val="20"/>
          <w:szCs w:val="20"/>
          <w:lang w:val="es-MX"/>
        </w:rPr>
        <w:t>el Estado informó</w:t>
      </w:r>
      <w:r w:rsidR="00155615" w:rsidRPr="004E3E07">
        <w:rPr>
          <w:rFonts w:ascii="Cambria" w:eastAsia="Cambria" w:hAnsi="Cambria" w:cs="Cambria"/>
          <w:sz w:val="20"/>
          <w:szCs w:val="20"/>
          <w:lang w:val="es-MX"/>
        </w:rPr>
        <w:t xml:space="preserve"> que desde el 2012 </w:t>
      </w:r>
      <w:r w:rsidR="00FA58EB" w:rsidRPr="004E3E07">
        <w:rPr>
          <w:rFonts w:ascii="Cambria" w:eastAsia="Cambria" w:hAnsi="Cambria" w:cs="Cambria"/>
          <w:sz w:val="20"/>
          <w:szCs w:val="20"/>
          <w:lang w:val="es-MX"/>
        </w:rPr>
        <w:t>cuenta con la Ley para la Protección de Personas Defensoras de Derechos Humanos y Periodistas que dio origen al Mecanismo de Protección objeto de supervisión de la presente recomendación</w:t>
      </w:r>
      <w:r w:rsidR="00100CA4" w:rsidRPr="004E3E07">
        <w:rPr>
          <w:rFonts w:ascii="Cambria" w:eastAsia="Cambria" w:hAnsi="Cambria" w:cs="Cambria"/>
          <w:sz w:val="20"/>
          <w:szCs w:val="20"/>
          <w:lang w:val="es-MX"/>
        </w:rPr>
        <w:t>, que para abril de 2021 contaba con 1,848 personas beneficiarias, de las cuales 691 son periodistas y 1157 son personas defensoras de derechos humanos</w:t>
      </w:r>
      <w:r w:rsidR="001C04FF" w:rsidRPr="004E3E07">
        <w:rPr>
          <w:rFonts w:ascii="Cambria" w:eastAsia="Cambria" w:hAnsi="Cambria" w:cs="Cambria"/>
          <w:sz w:val="20"/>
          <w:szCs w:val="20"/>
          <w:vertAlign w:val="superscript"/>
          <w:lang w:val="es-MX"/>
        </w:rPr>
        <w:footnoteReference w:id="193"/>
      </w:r>
      <w:r w:rsidR="001C04FF" w:rsidRPr="004E3E07">
        <w:rPr>
          <w:rFonts w:ascii="Cambria" w:eastAsia="Cambria" w:hAnsi="Cambria" w:cs="Cambria"/>
          <w:sz w:val="20"/>
          <w:szCs w:val="20"/>
          <w:lang w:val="es-MX"/>
        </w:rPr>
        <w:t>.</w:t>
      </w:r>
      <w:r w:rsidR="00DB5617" w:rsidRPr="004E3E07">
        <w:rPr>
          <w:rFonts w:ascii="Cambria" w:eastAsia="Cambria" w:hAnsi="Cambria" w:cs="Cambria"/>
          <w:sz w:val="20"/>
          <w:szCs w:val="20"/>
          <w:lang w:val="es-MX"/>
        </w:rPr>
        <w:t xml:space="preserve"> El Estado también informó sobre </w:t>
      </w:r>
      <w:r w:rsidR="00062BCC" w:rsidRPr="004E3E07">
        <w:rPr>
          <w:rFonts w:ascii="Cambria" w:eastAsia="Cambria" w:hAnsi="Cambria" w:cs="Cambria"/>
          <w:sz w:val="20"/>
          <w:szCs w:val="20"/>
          <w:lang w:val="es-MX"/>
        </w:rPr>
        <w:t>acuerdos de</w:t>
      </w:r>
      <w:r w:rsidR="008E751C" w:rsidRPr="004E3E07">
        <w:rPr>
          <w:rFonts w:ascii="Cambria" w:eastAsia="Cambria" w:hAnsi="Cambria" w:cs="Cambria"/>
          <w:sz w:val="20"/>
          <w:szCs w:val="20"/>
          <w:lang w:val="es-MX"/>
        </w:rPr>
        <w:t xml:space="preserve"> cooperación internacional</w:t>
      </w:r>
      <w:r w:rsidR="008B415C" w:rsidRPr="004E3E07">
        <w:rPr>
          <w:rFonts w:ascii="Cambria" w:eastAsia="Cambria" w:hAnsi="Cambria" w:cs="Cambria"/>
          <w:sz w:val="20"/>
          <w:szCs w:val="20"/>
          <w:lang w:val="es-MX"/>
        </w:rPr>
        <w:t xml:space="preserve">, </w:t>
      </w:r>
      <w:r w:rsidR="00281D86" w:rsidRPr="004E3E07">
        <w:rPr>
          <w:rFonts w:ascii="Cambria" w:eastAsia="Cambria" w:hAnsi="Cambria" w:cs="Cambria"/>
          <w:sz w:val="20"/>
          <w:szCs w:val="20"/>
          <w:lang w:val="es-MX"/>
        </w:rPr>
        <w:t>para fortalecer el Mecanismo</w:t>
      </w:r>
      <w:r w:rsidR="008B415C" w:rsidRPr="004E3E07">
        <w:rPr>
          <w:rFonts w:ascii="Cambria" w:eastAsia="Cambria" w:hAnsi="Cambria" w:cs="Cambria"/>
          <w:sz w:val="20"/>
          <w:szCs w:val="20"/>
          <w:lang w:val="es-MX"/>
        </w:rPr>
        <w:t>,</w:t>
      </w:r>
      <w:r w:rsidR="00281D86" w:rsidRPr="004E3E07">
        <w:rPr>
          <w:rFonts w:ascii="Cambria" w:eastAsia="Cambria" w:hAnsi="Cambria" w:cs="Cambria"/>
          <w:sz w:val="20"/>
          <w:szCs w:val="20"/>
          <w:lang w:val="es-MX"/>
        </w:rPr>
        <w:t xml:space="preserve"> </w:t>
      </w:r>
      <w:r w:rsidR="00062BCC" w:rsidRPr="004E3E07">
        <w:rPr>
          <w:rFonts w:ascii="Cambria" w:eastAsia="Cambria" w:hAnsi="Cambria" w:cs="Cambria"/>
          <w:sz w:val="20"/>
          <w:szCs w:val="20"/>
          <w:lang w:val="es-MX"/>
        </w:rPr>
        <w:t xml:space="preserve">suscritos en 2019 y sobre el énfasis de la protección de personas defensoras ambientales desde la suscripción del Acuerdo de Escazú en 2020. </w:t>
      </w:r>
    </w:p>
    <w:p w14:paraId="6D346DCB" w14:textId="6FDA5213" w:rsidR="00C86926" w:rsidRPr="002F1A6A" w:rsidRDefault="00C86926" w:rsidP="002F1A6A">
      <w:pPr>
        <w:numPr>
          <w:ilvl w:val="0"/>
          <w:numId w:val="5"/>
        </w:numPr>
        <w:shd w:val="clear" w:color="auto" w:fill="FFFFFF" w:themeFill="background1"/>
        <w:spacing w:after="240" w:line="240" w:lineRule="auto"/>
        <w:ind w:left="0" w:firstLine="720"/>
        <w:jc w:val="both"/>
        <w:rPr>
          <w:rFonts w:ascii="Cambria" w:eastAsia="Cambria" w:hAnsi="Cambria" w:cs="Cambria"/>
          <w:sz w:val="20"/>
          <w:szCs w:val="20"/>
          <w:lang w:val="es-MX"/>
        </w:rPr>
      </w:pPr>
      <w:r w:rsidRPr="004E3E07">
        <w:rPr>
          <w:rFonts w:ascii="Cambria" w:eastAsia="Cambria" w:hAnsi="Cambria" w:cs="Cambria"/>
          <w:sz w:val="20"/>
          <w:szCs w:val="20"/>
          <w:lang w:val="es-MX"/>
        </w:rPr>
        <w:t xml:space="preserve">Al respecto, la CIDH toma con preocupación </w:t>
      </w:r>
      <w:r w:rsidR="00E84ED3" w:rsidRPr="004E3E07">
        <w:rPr>
          <w:rFonts w:ascii="Cambria" w:eastAsia="Cambria" w:hAnsi="Cambria" w:cs="Cambria"/>
          <w:sz w:val="20"/>
          <w:szCs w:val="20"/>
          <w:lang w:val="es-MX"/>
        </w:rPr>
        <w:t>el señalamiento por parte de</w:t>
      </w:r>
      <w:r w:rsidR="000F4D0E">
        <w:rPr>
          <w:rFonts w:ascii="Cambria" w:eastAsia="Cambria" w:hAnsi="Cambria" w:cs="Cambria"/>
          <w:sz w:val="20"/>
          <w:szCs w:val="20"/>
          <w:lang w:val="es-MX"/>
        </w:rPr>
        <w:t xml:space="preserve"> personas</w:t>
      </w:r>
      <w:r w:rsidR="00E84ED3" w:rsidRPr="004E3E07">
        <w:rPr>
          <w:rFonts w:ascii="Cambria" w:eastAsia="Cambria" w:hAnsi="Cambria" w:cs="Cambria"/>
          <w:sz w:val="20"/>
          <w:szCs w:val="20"/>
          <w:lang w:val="es-MX"/>
        </w:rPr>
        <w:t xml:space="preserve"> funcionari</w:t>
      </w:r>
      <w:r w:rsidR="000F4D0E">
        <w:rPr>
          <w:rFonts w:ascii="Cambria" w:eastAsia="Cambria" w:hAnsi="Cambria" w:cs="Cambria"/>
          <w:sz w:val="20"/>
          <w:szCs w:val="20"/>
          <w:lang w:val="es-MX"/>
        </w:rPr>
        <w:t>a</w:t>
      </w:r>
      <w:r w:rsidR="00E84ED3" w:rsidRPr="004E3E07">
        <w:rPr>
          <w:rFonts w:ascii="Cambria" w:eastAsia="Cambria" w:hAnsi="Cambria" w:cs="Cambria"/>
          <w:sz w:val="20"/>
          <w:szCs w:val="20"/>
          <w:lang w:val="es-MX"/>
        </w:rPr>
        <w:t>s públic</w:t>
      </w:r>
      <w:r w:rsidR="000F4D0E">
        <w:rPr>
          <w:rFonts w:ascii="Cambria" w:eastAsia="Cambria" w:hAnsi="Cambria" w:cs="Cambria"/>
          <w:sz w:val="20"/>
          <w:szCs w:val="20"/>
          <w:lang w:val="es-MX"/>
        </w:rPr>
        <w:t>a</w:t>
      </w:r>
      <w:r w:rsidR="00E84ED3" w:rsidRPr="004E3E07">
        <w:rPr>
          <w:rFonts w:ascii="Cambria" w:eastAsia="Cambria" w:hAnsi="Cambria" w:cs="Cambria"/>
          <w:sz w:val="20"/>
          <w:szCs w:val="20"/>
          <w:lang w:val="es-MX"/>
        </w:rPr>
        <w:t xml:space="preserve">s de que el Mecanismo </w:t>
      </w:r>
      <w:r w:rsidR="00645AE1" w:rsidRPr="004E3E07">
        <w:rPr>
          <w:rFonts w:ascii="Cambria" w:eastAsia="Cambria" w:hAnsi="Cambria" w:cs="Cambria"/>
          <w:sz w:val="20"/>
          <w:szCs w:val="20"/>
          <w:lang w:val="es-MX"/>
        </w:rPr>
        <w:t>ha quedado rebasado y es insuficiente para combatir las agresiones y violencia que enfrentan las personas defensoras de derechos humanos y periodistas.</w:t>
      </w:r>
      <w:r w:rsidR="00372778" w:rsidRPr="004E3E07">
        <w:rPr>
          <w:rFonts w:ascii="Cambria" w:eastAsia="Cambria" w:hAnsi="Cambria" w:cs="Cambria"/>
          <w:sz w:val="20"/>
          <w:szCs w:val="20"/>
          <w:lang w:val="es-MX"/>
        </w:rPr>
        <w:t xml:space="preserve"> La CIDH saluda el anuncio de </w:t>
      </w:r>
      <w:r w:rsidR="009F2DE0" w:rsidRPr="004E3E07">
        <w:rPr>
          <w:rFonts w:ascii="Cambria" w:eastAsia="Cambria" w:hAnsi="Cambria" w:cs="Cambria"/>
          <w:sz w:val="20"/>
          <w:szCs w:val="20"/>
          <w:lang w:val="es-MX"/>
        </w:rPr>
        <w:t xml:space="preserve">la propuesta de reforma del Mecanismo </w:t>
      </w:r>
      <w:r w:rsidR="000F4D0E">
        <w:rPr>
          <w:rFonts w:ascii="Cambria" w:eastAsia="Cambria" w:hAnsi="Cambria" w:cs="Cambria"/>
          <w:sz w:val="20"/>
          <w:szCs w:val="20"/>
          <w:lang w:val="es-MX"/>
        </w:rPr>
        <w:t xml:space="preserve">por parte del poder ejecutivo al poder </w:t>
      </w:r>
      <w:r w:rsidR="00ED3F28">
        <w:rPr>
          <w:rFonts w:ascii="Cambria" w:eastAsia="Cambria" w:hAnsi="Cambria" w:cs="Cambria"/>
          <w:sz w:val="20"/>
          <w:szCs w:val="20"/>
          <w:lang w:val="es-MX"/>
        </w:rPr>
        <w:t>legislativo</w:t>
      </w:r>
      <w:r w:rsidR="00B14473" w:rsidRPr="004E3E07">
        <w:rPr>
          <w:rFonts w:ascii="Cambria" w:eastAsia="Cambria" w:hAnsi="Cambria" w:cs="Cambria"/>
          <w:sz w:val="20"/>
          <w:szCs w:val="20"/>
          <w:lang w:val="es-MX"/>
        </w:rPr>
        <w:t xml:space="preserve"> </w:t>
      </w:r>
      <w:r w:rsidR="000F4D0E">
        <w:rPr>
          <w:rFonts w:ascii="Cambria" w:eastAsia="Cambria" w:hAnsi="Cambria" w:cs="Cambria"/>
          <w:sz w:val="20"/>
          <w:szCs w:val="20"/>
          <w:lang w:val="es-MX"/>
        </w:rPr>
        <w:t>con el objetivo de fortalecerlo y dotarlo de mayores capacidades</w:t>
      </w:r>
      <w:r w:rsidR="000F4D0E" w:rsidRPr="004E3E07">
        <w:rPr>
          <w:rStyle w:val="FootnoteReference"/>
          <w:rFonts w:ascii="Cambria" w:eastAsia="Cambria" w:hAnsi="Cambria" w:cs="Cambria"/>
          <w:sz w:val="20"/>
          <w:szCs w:val="20"/>
          <w:lang w:val="es-MX"/>
        </w:rPr>
        <w:footnoteReference w:id="194"/>
      </w:r>
      <w:r w:rsidR="002F1A6A">
        <w:rPr>
          <w:rFonts w:ascii="Cambria" w:eastAsia="Cambria" w:hAnsi="Cambria" w:cs="Cambria"/>
          <w:sz w:val="20"/>
          <w:szCs w:val="20"/>
          <w:lang w:val="es-MX"/>
        </w:rPr>
        <w:t xml:space="preserve">. </w:t>
      </w:r>
      <w:r w:rsidR="002F1A6A" w:rsidRPr="00715391">
        <w:rPr>
          <w:rFonts w:ascii="Cambria" w:eastAsia="Cambria" w:hAnsi="Cambria" w:cs="Cambria"/>
          <w:sz w:val="20"/>
          <w:szCs w:val="20"/>
          <w:lang w:val="es-MX"/>
        </w:rPr>
        <w:t>En sus observaciones al proyecto del presente informe, el Estado informó que se han implementado acciones de capacitación al personal analista incluso también al personal titular de la Dirección General del mismo. De igual forma, se ha dado inicio a un proceso de selección de perfiles capacitados para integrarse al Mecanismo, aplicando estándares que prioricen la excelencia y profesionalismo</w:t>
      </w:r>
      <w:r w:rsidR="002F1A6A" w:rsidRPr="00715391">
        <w:rPr>
          <w:rStyle w:val="FootnoteReference"/>
          <w:rFonts w:ascii="Cambria" w:eastAsia="Cambria" w:hAnsi="Cambria" w:cs="Cambria"/>
          <w:sz w:val="20"/>
          <w:szCs w:val="20"/>
          <w:lang w:val="es-MX"/>
        </w:rPr>
        <w:footnoteReference w:id="195"/>
      </w:r>
      <w:r w:rsidR="002F1A6A" w:rsidRPr="00715391">
        <w:rPr>
          <w:rFonts w:ascii="Cambria" w:eastAsia="Cambria" w:hAnsi="Cambria" w:cs="Cambria"/>
          <w:sz w:val="20"/>
          <w:szCs w:val="20"/>
          <w:lang w:val="es-MX"/>
        </w:rPr>
        <w:t>.</w:t>
      </w:r>
    </w:p>
    <w:p w14:paraId="412EBAEA" w14:textId="1615C5B2" w:rsidR="0011275F" w:rsidRPr="004E3E07" w:rsidRDefault="0012672B" w:rsidP="3664F56E">
      <w:pPr>
        <w:numPr>
          <w:ilvl w:val="0"/>
          <w:numId w:val="5"/>
        </w:numPr>
        <w:shd w:val="clear" w:color="auto" w:fill="FFFFFF" w:themeFill="background1"/>
        <w:spacing w:after="240" w:line="240" w:lineRule="auto"/>
        <w:ind w:left="0" w:firstLine="720"/>
        <w:jc w:val="both"/>
        <w:rPr>
          <w:rFonts w:ascii="Cambria" w:eastAsia="Cambria" w:hAnsi="Cambria" w:cs="Cambria"/>
          <w:sz w:val="20"/>
          <w:szCs w:val="20"/>
          <w:lang w:val="es-MX"/>
        </w:rPr>
      </w:pPr>
      <w:r w:rsidRPr="004E3E07">
        <w:rPr>
          <w:rFonts w:ascii="Cambria" w:eastAsia="Cambria" w:hAnsi="Cambria" w:cs="Cambria"/>
          <w:sz w:val="20"/>
          <w:szCs w:val="20"/>
          <w:lang w:val="es-MX"/>
        </w:rPr>
        <w:t>Ahora bien, la CIDH pone de relieve que la recomendación apunta a l</w:t>
      </w:r>
      <w:r w:rsidR="00905512" w:rsidRPr="004E3E07">
        <w:rPr>
          <w:rFonts w:ascii="Cambria" w:eastAsia="Cambria" w:hAnsi="Cambria" w:cs="Cambria"/>
          <w:sz w:val="20"/>
          <w:szCs w:val="20"/>
          <w:lang w:val="es-MX"/>
        </w:rPr>
        <w:t>a</w:t>
      </w:r>
      <w:r w:rsidRPr="004E3E07">
        <w:rPr>
          <w:rFonts w:ascii="Cambria" w:eastAsia="Cambria" w:hAnsi="Cambria" w:cs="Cambria"/>
          <w:sz w:val="20"/>
          <w:szCs w:val="20"/>
          <w:lang w:val="es-MX"/>
        </w:rPr>
        <w:t xml:space="preserve"> adopción de decisiones que favorezcan el funcionamiento </w:t>
      </w:r>
      <w:r w:rsidR="00402BBF" w:rsidRPr="004E3E07">
        <w:rPr>
          <w:rFonts w:ascii="Cambria" w:eastAsia="Cambria" w:hAnsi="Cambria" w:cs="Cambria"/>
          <w:sz w:val="20"/>
          <w:szCs w:val="20"/>
          <w:lang w:val="es-MX"/>
        </w:rPr>
        <w:t>efectivo del Mecanismo a nivel interno (presupuesto, independencia funcional</w:t>
      </w:r>
      <w:r w:rsidR="003342B8" w:rsidRPr="004E3E07">
        <w:rPr>
          <w:rFonts w:ascii="Cambria" w:eastAsia="Cambria" w:hAnsi="Cambria" w:cs="Cambria"/>
          <w:sz w:val="20"/>
          <w:szCs w:val="20"/>
          <w:lang w:val="es-MX"/>
        </w:rPr>
        <w:t>, soste</w:t>
      </w:r>
      <w:r w:rsidR="00AC306A" w:rsidRPr="004E3E07">
        <w:rPr>
          <w:rFonts w:ascii="Cambria" w:eastAsia="Cambria" w:hAnsi="Cambria" w:cs="Cambria"/>
          <w:sz w:val="20"/>
          <w:szCs w:val="20"/>
          <w:lang w:val="es-MX"/>
        </w:rPr>
        <w:t>nibilidad</w:t>
      </w:r>
      <w:r w:rsidR="00402BBF" w:rsidRPr="004E3E07">
        <w:rPr>
          <w:rFonts w:ascii="Cambria" w:eastAsia="Cambria" w:hAnsi="Cambria" w:cs="Cambria"/>
          <w:sz w:val="20"/>
          <w:szCs w:val="20"/>
          <w:lang w:val="es-MX"/>
        </w:rPr>
        <w:t>)</w:t>
      </w:r>
      <w:r w:rsidR="00AC306A" w:rsidRPr="004E3E07">
        <w:rPr>
          <w:rFonts w:ascii="Cambria" w:eastAsia="Cambria" w:hAnsi="Cambria" w:cs="Cambria"/>
          <w:sz w:val="20"/>
          <w:szCs w:val="20"/>
          <w:lang w:val="es-MX"/>
        </w:rPr>
        <w:t xml:space="preserve"> y externo (prestación efectiva del servicio de protección de acuerdo </w:t>
      </w:r>
      <w:r w:rsidR="008B415C" w:rsidRPr="004E3E07">
        <w:rPr>
          <w:rFonts w:ascii="Cambria" w:eastAsia="Cambria" w:hAnsi="Cambria" w:cs="Cambria"/>
          <w:sz w:val="20"/>
          <w:szCs w:val="20"/>
          <w:lang w:val="es-MX"/>
        </w:rPr>
        <w:t xml:space="preserve">con </w:t>
      </w:r>
      <w:r w:rsidR="00AC306A" w:rsidRPr="004E3E07">
        <w:rPr>
          <w:rFonts w:ascii="Cambria" w:eastAsia="Cambria" w:hAnsi="Cambria" w:cs="Cambria"/>
          <w:sz w:val="20"/>
          <w:szCs w:val="20"/>
          <w:lang w:val="es-MX"/>
        </w:rPr>
        <w:t>las necesidad</w:t>
      </w:r>
      <w:r w:rsidR="00DB428E" w:rsidRPr="004E3E07">
        <w:rPr>
          <w:rFonts w:ascii="Cambria" w:eastAsia="Cambria" w:hAnsi="Cambria" w:cs="Cambria"/>
          <w:sz w:val="20"/>
          <w:szCs w:val="20"/>
          <w:lang w:val="es-MX"/>
        </w:rPr>
        <w:t>es</w:t>
      </w:r>
      <w:r w:rsidR="00AC306A" w:rsidRPr="004E3E07">
        <w:rPr>
          <w:rFonts w:ascii="Cambria" w:eastAsia="Cambria" w:hAnsi="Cambria" w:cs="Cambria"/>
          <w:sz w:val="20"/>
          <w:szCs w:val="20"/>
          <w:lang w:val="es-MX"/>
        </w:rPr>
        <w:t xml:space="preserve"> de la población a la que se dirige).</w:t>
      </w:r>
      <w:r w:rsidR="00B14473" w:rsidRPr="004E3E07">
        <w:rPr>
          <w:rFonts w:ascii="Cambria" w:eastAsia="Cambria" w:hAnsi="Cambria" w:cs="Cambria"/>
          <w:sz w:val="20"/>
          <w:szCs w:val="20"/>
          <w:lang w:val="es-MX"/>
        </w:rPr>
        <w:t xml:space="preserve"> Asimismo, ante el anuncio de una posible reforma del mismo, la CIDH considera necesario que las modificaciones normativas </w:t>
      </w:r>
      <w:r w:rsidR="00EB37AA" w:rsidRPr="004E3E07">
        <w:rPr>
          <w:rFonts w:ascii="Cambria" w:eastAsia="Cambria" w:hAnsi="Cambria" w:cs="Cambria"/>
          <w:sz w:val="20"/>
          <w:szCs w:val="20"/>
          <w:lang w:val="es-MX"/>
        </w:rPr>
        <w:t xml:space="preserve">sean </w:t>
      </w:r>
      <w:r w:rsidR="00E73665" w:rsidRPr="004E3E07">
        <w:rPr>
          <w:rFonts w:ascii="Cambria" w:eastAsia="Cambria" w:hAnsi="Cambria" w:cs="Cambria"/>
          <w:sz w:val="20"/>
          <w:szCs w:val="20"/>
          <w:lang w:val="es-MX"/>
        </w:rPr>
        <w:t xml:space="preserve">participativas </w:t>
      </w:r>
      <w:r w:rsidR="00A81EC0" w:rsidRPr="004E3E07">
        <w:rPr>
          <w:rFonts w:ascii="Cambria" w:eastAsia="Cambria" w:hAnsi="Cambria" w:cs="Cambria"/>
          <w:sz w:val="20"/>
          <w:szCs w:val="20"/>
          <w:lang w:val="es-MX"/>
        </w:rPr>
        <w:t>e incluyan las opiniones y propuestas de las o</w:t>
      </w:r>
      <w:r w:rsidR="29F1257D" w:rsidRPr="004E3E07">
        <w:rPr>
          <w:rFonts w:ascii="Cambria" w:eastAsia="Cambria" w:hAnsi="Cambria" w:cs="Cambria"/>
          <w:sz w:val="20"/>
          <w:szCs w:val="20"/>
          <w:lang w:val="es-MX"/>
        </w:rPr>
        <w:t xml:space="preserve">rganizaciones de </w:t>
      </w:r>
      <w:r w:rsidR="00A81EC0" w:rsidRPr="004E3E07">
        <w:rPr>
          <w:rFonts w:ascii="Cambria" w:eastAsia="Cambria" w:hAnsi="Cambria" w:cs="Cambria"/>
          <w:sz w:val="20"/>
          <w:szCs w:val="20"/>
          <w:lang w:val="es-MX"/>
        </w:rPr>
        <w:t xml:space="preserve">la </w:t>
      </w:r>
      <w:r w:rsidR="0041685A" w:rsidRPr="004E3E07">
        <w:rPr>
          <w:rFonts w:ascii="Cambria" w:eastAsia="Cambria" w:hAnsi="Cambria" w:cs="Cambria"/>
          <w:sz w:val="20"/>
          <w:szCs w:val="20"/>
          <w:lang w:val="es-MX"/>
        </w:rPr>
        <w:t xml:space="preserve">sociedad civil, </w:t>
      </w:r>
      <w:r w:rsidR="29F1257D" w:rsidRPr="004E3E07">
        <w:rPr>
          <w:rFonts w:ascii="Cambria" w:eastAsia="Cambria" w:hAnsi="Cambria" w:cs="Cambria"/>
          <w:sz w:val="20"/>
          <w:szCs w:val="20"/>
          <w:lang w:val="es-MX"/>
        </w:rPr>
        <w:t>así como de las personas beneficiarias de medidas de protección.</w:t>
      </w:r>
      <w:r w:rsidR="00A81EC0" w:rsidRPr="004E3E07">
        <w:rPr>
          <w:rFonts w:ascii="Cambria" w:eastAsia="Cambria" w:hAnsi="Cambria" w:cs="Cambria"/>
          <w:sz w:val="20"/>
          <w:szCs w:val="20"/>
          <w:lang w:val="es-MX"/>
        </w:rPr>
        <w:t xml:space="preserve"> </w:t>
      </w:r>
      <w:r w:rsidR="00AC306A" w:rsidRPr="004E3E07">
        <w:rPr>
          <w:rFonts w:ascii="Cambria" w:eastAsia="Cambria" w:hAnsi="Cambria" w:cs="Cambria"/>
          <w:sz w:val="20"/>
          <w:szCs w:val="20"/>
          <w:lang w:val="es-MX"/>
        </w:rPr>
        <w:t>Al respecto la CIDH no encuentra que el Estado haya aportado información que permita</w:t>
      </w:r>
      <w:r w:rsidR="00DB428E" w:rsidRPr="004E3E07">
        <w:rPr>
          <w:rFonts w:ascii="Cambria" w:eastAsia="Cambria" w:hAnsi="Cambria" w:cs="Cambria"/>
          <w:sz w:val="20"/>
          <w:szCs w:val="20"/>
          <w:lang w:val="es-MX"/>
        </w:rPr>
        <w:t xml:space="preserve"> analizar</w:t>
      </w:r>
      <w:r w:rsidR="00AC306A" w:rsidRPr="004E3E07">
        <w:rPr>
          <w:rFonts w:ascii="Cambria" w:eastAsia="Cambria" w:hAnsi="Cambria" w:cs="Cambria"/>
          <w:sz w:val="20"/>
          <w:szCs w:val="20"/>
          <w:lang w:val="es-MX"/>
        </w:rPr>
        <w:t xml:space="preserve"> </w:t>
      </w:r>
      <w:r w:rsidR="00DB428E" w:rsidRPr="004E3E07">
        <w:rPr>
          <w:rFonts w:ascii="Cambria" w:eastAsia="Cambria" w:hAnsi="Cambria" w:cs="Cambria"/>
          <w:sz w:val="20"/>
          <w:szCs w:val="20"/>
          <w:lang w:val="es-MX"/>
        </w:rPr>
        <w:t xml:space="preserve">si </w:t>
      </w:r>
      <w:r w:rsidR="00AC306A" w:rsidRPr="004E3E07">
        <w:rPr>
          <w:rFonts w:ascii="Cambria" w:eastAsia="Cambria" w:hAnsi="Cambria" w:cs="Cambria"/>
          <w:sz w:val="20"/>
          <w:szCs w:val="20"/>
          <w:lang w:val="es-MX"/>
        </w:rPr>
        <w:t>la configuración</w:t>
      </w:r>
      <w:r w:rsidR="00710870" w:rsidRPr="004E3E07">
        <w:rPr>
          <w:rFonts w:ascii="Cambria" w:eastAsia="Cambria" w:hAnsi="Cambria" w:cs="Cambria"/>
          <w:sz w:val="20"/>
          <w:szCs w:val="20"/>
          <w:lang w:val="es-MX"/>
        </w:rPr>
        <w:t xml:space="preserve"> actual</w:t>
      </w:r>
      <w:r w:rsidR="00AC306A" w:rsidRPr="004E3E07">
        <w:rPr>
          <w:rFonts w:ascii="Cambria" w:eastAsia="Cambria" w:hAnsi="Cambria" w:cs="Cambria"/>
          <w:sz w:val="20"/>
          <w:szCs w:val="20"/>
          <w:lang w:val="es-MX"/>
        </w:rPr>
        <w:t xml:space="preserve"> del Mecanismo garantiza</w:t>
      </w:r>
      <w:r w:rsidR="007E25FF" w:rsidRPr="004E3E07">
        <w:rPr>
          <w:rFonts w:ascii="Cambria" w:eastAsia="Cambria" w:hAnsi="Cambria" w:cs="Cambria"/>
          <w:sz w:val="20"/>
          <w:szCs w:val="20"/>
          <w:lang w:val="es-MX"/>
        </w:rPr>
        <w:t xml:space="preserve"> un nivel adecuado de personal formado para recibir solicitudes de protección, realizar análisis de riesgo, adoptar medidas de protección y su aplicación, y realizar monitoreo para asegurar que la implementación del Mecanismo es la adecuada</w:t>
      </w:r>
      <w:r w:rsidR="00D67A8F" w:rsidRPr="004E3E07">
        <w:rPr>
          <w:rFonts w:ascii="Cambria" w:eastAsia="Cambria" w:hAnsi="Cambria" w:cs="Cambria"/>
          <w:sz w:val="20"/>
          <w:szCs w:val="20"/>
          <w:lang w:val="es-MX"/>
        </w:rPr>
        <w:t xml:space="preserve">, ni sobre las posibles soluciones para </w:t>
      </w:r>
      <w:r w:rsidR="0011275F" w:rsidRPr="004E3E07">
        <w:rPr>
          <w:rFonts w:ascii="Cambria" w:eastAsia="Cambria" w:hAnsi="Cambria" w:cs="Cambria"/>
          <w:sz w:val="20"/>
          <w:szCs w:val="20"/>
          <w:lang w:val="es-MX"/>
        </w:rPr>
        <w:t>que el Mecanismo, luego de su reforma, sea una entidad con mayor capacidad de operación</w:t>
      </w:r>
      <w:r w:rsidR="007E25FF" w:rsidRPr="004E3E07">
        <w:rPr>
          <w:rFonts w:ascii="Cambria" w:eastAsia="Cambria" w:hAnsi="Cambria" w:cs="Cambria"/>
          <w:sz w:val="20"/>
          <w:szCs w:val="20"/>
          <w:lang w:val="es-MX"/>
        </w:rPr>
        <w:t xml:space="preserve">. </w:t>
      </w:r>
    </w:p>
    <w:p w14:paraId="14606A03" w14:textId="4EAE316B" w:rsidR="002277F5" w:rsidRPr="004E3E07" w:rsidRDefault="007E25FF" w:rsidP="5246F06F">
      <w:pPr>
        <w:numPr>
          <w:ilvl w:val="0"/>
          <w:numId w:val="5"/>
        </w:numPr>
        <w:shd w:val="clear" w:color="auto" w:fill="FFFFFF" w:themeFill="background1"/>
        <w:spacing w:after="240" w:line="240" w:lineRule="auto"/>
        <w:ind w:left="0" w:firstLine="720"/>
        <w:jc w:val="both"/>
        <w:rPr>
          <w:rFonts w:ascii="Cambria" w:eastAsia="Cambria" w:hAnsi="Cambria" w:cs="Cambria"/>
          <w:sz w:val="20"/>
          <w:szCs w:val="20"/>
          <w:lang w:val="es-MX"/>
        </w:rPr>
      </w:pPr>
      <w:r w:rsidRPr="004E3E07">
        <w:rPr>
          <w:rFonts w:ascii="Cambria" w:eastAsia="Cambria" w:hAnsi="Cambria" w:cs="Cambria"/>
          <w:sz w:val="20"/>
          <w:szCs w:val="20"/>
          <w:lang w:val="es-MX"/>
        </w:rPr>
        <w:t xml:space="preserve">Así pues, la CIDH </w:t>
      </w:r>
      <w:r w:rsidR="507552FD" w:rsidRPr="004E3E07">
        <w:rPr>
          <w:rFonts w:ascii="Cambria" w:eastAsia="Cambria" w:hAnsi="Cambria" w:cs="Cambria"/>
          <w:sz w:val="20"/>
          <w:szCs w:val="20"/>
          <w:lang w:val="es-MX"/>
        </w:rPr>
        <w:t>ha</w:t>
      </w:r>
      <w:r w:rsidRPr="004E3E07">
        <w:rPr>
          <w:rFonts w:ascii="Cambria" w:eastAsia="Cambria" w:hAnsi="Cambria" w:cs="Cambria"/>
          <w:sz w:val="20"/>
          <w:szCs w:val="20"/>
          <w:lang w:val="es-MX"/>
        </w:rPr>
        <w:t xml:space="preserve"> </w:t>
      </w:r>
      <w:r w:rsidR="507552FD" w:rsidRPr="004E3E07">
        <w:rPr>
          <w:rFonts w:ascii="Cambria" w:eastAsia="Cambria" w:hAnsi="Cambria" w:cs="Cambria"/>
          <w:sz w:val="20"/>
          <w:szCs w:val="20"/>
          <w:lang w:val="es-MX"/>
        </w:rPr>
        <w:t>señalado</w:t>
      </w:r>
      <w:r w:rsidRPr="004E3E07">
        <w:rPr>
          <w:rFonts w:ascii="Cambria" w:eastAsia="Cambria" w:hAnsi="Cambria" w:cs="Cambria"/>
          <w:sz w:val="20"/>
          <w:szCs w:val="20"/>
          <w:lang w:val="es-MX"/>
        </w:rPr>
        <w:t xml:space="preserve"> que el Estado debe proveer los recursos presupuestarios y logísticos necesarios para asegurar que las medidas de protección pueden permanecer en efecto mientras subsista el riesgo, por lo cual es fundamental que México </w:t>
      </w:r>
      <w:r w:rsidR="00DB428E" w:rsidRPr="004E3E07">
        <w:rPr>
          <w:rFonts w:ascii="Cambria" w:eastAsia="Cambria" w:hAnsi="Cambria" w:cs="Cambria"/>
          <w:sz w:val="20"/>
          <w:szCs w:val="20"/>
          <w:lang w:val="es-MX"/>
        </w:rPr>
        <w:t xml:space="preserve">aporte la información suficiente que permita </w:t>
      </w:r>
      <w:r w:rsidR="00A34216" w:rsidRPr="004E3E07">
        <w:rPr>
          <w:rFonts w:ascii="Cambria" w:eastAsia="Cambria" w:hAnsi="Cambria" w:cs="Cambria"/>
          <w:sz w:val="20"/>
          <w:szCs w:val="20"/>
          <w:lang w:val="es-MX"/>
        </w:rPr>
        <w:t>determinar</w:t>
      </w:r>
      <w:r w:rsidRPr="004E3E07">
        <w:rPr>
          <w:rFonts w:ascii="Cambria" w:eastAsia="Cambria" w:hAnsi="Cambria" w:cs="Cambria"/>
          <w:sz w:val="20"/>
          <w:szCs w:val="20"/>
          <w:lang w:val="es-MX"/>
        </w:rPr>
        <w:t xml:space="preserve"> las garantías necesarias que aseguren la operación independiente, continua y efectiva de los servicios del Mecanismo de Protección a Personas Defensoras de Derechos Humanos y Periodistas. Por tales motivos, y debido a la falta de avances, la CIDH estima que la presente recomendación mantiene su calificación de cumplimiento parcial.</w:t>
      </w:r>
    </w:p>
    <w:p w14:paraId="61DF4984" w14:textId="6EB94839" w:rsidR="00D51CB2" w:rsidRPr="004E3E07" w:rsidRDefault="007E25FF" w:rsidP="00087667">
      <w:pPr>
        <w:numPr>
          <w:ilvl w:val="0"/>
          <w:numId w:val="5"/>
        </w:numPr>
        <w:shd w:val="clear" w:color="auto" w:fill="FFFFFF"/>
        <w:spacing w:after="240" w:line="240" w:lineRule="auto"/>
        <w:ind w:left="0" w:firstLine="720"/>
        <w:jc w:val="both"/>
        <w:rPr>
          <w:rFonts w:ascii="Cambria" w:eastAsia="Cambria" w:hAnsi="Cambria" w:cs="Cambria"/>
          <w:sz w:val="20"/>
          <w:szCs w:val="20"/>
          <w:lang w:val="es-MX"/>
        </w:rPr>
      </w:pPr>
      <w:r w:rsidRPr="004E3E07">
        <w:rPr>
          <w:rFonts w:ascii="Cambria" w:eastAsia="Cambria" w:hAnsi="Cambria" w:cs="Cambria"/>
          <w:sz w:val="20"/>
          <w:szCs w:val="20"/>
          <w:lang w:val="es-MX"/>
        </w:rPr>
        <w:t xml:space="preserve">En relación con la recomendación sobre la </w:t>
      </w:r>
      <w:r w:rsidRPr="004E3E07">
        <w:rPr>
          <w:rFonts w:ascii="Cambria" w:eastAsia="Cambria" w:hAnsi="Cambria" w:cs="Cambria"/>
          <w:b/>
          <w:bCs/>
          <w:sz w:val="20"/>
          <w:szCs w:val="20"/>
          <w:lang w:val="es-MX"/>
        </w:rPr>
        <w:t>reforma al Código de Justicia Militar</w:t>
      </w:r>
      <w:r w:rsidRPr="004E3E07">
        <w:rPr>
          <w:rFonts w:ascii="Cambria" w:eastAsia="Cambria" w:hAnsi="Cambria" w:cs="Cambria"/>
          <w:sz w:val="20"/>
          <w:szCs w:val="20"/>
          <w:lang w:val="es-MX"/>
        </w:rPr>
        <w:t>, el Estado reiteró</w:t>
      </w:r>
      <w:r w:rsidR="00121B92" w:rsidRPr="004E3E07">
        <w:rPr>
          <w:rFonts w:ascii="Cambria" w:eastAsia="Cambria" w:hAnsi="Cambria" w:cs="Cambria"/>
          <w:sz w:val="20"/>
          <w:szCs w:val="20"/>
          <w:lang w:val="es-MX"/>
        </w:rPr>
        <w:t xml:space="preserve"> que el </w:t>
      </w:r>
      <w:r w:rsidR="00D51CB2" w:rsidRPr="004E3E07">
        <w:rPr>
          <w:rFonts w:ascii="Cambria" w:eastAsia="Cambria" w:hAnsi="Cambria" w:cs="Cambria"/>
          <w:sz w:val="20"/>
          <w:szCs w:val="20"/>
          <w:lang w:val="es-MX"/>
        </w:rPr>
        <w:t>Código de Justicia Militar, del Código Federal de Procedimientos Penales y de la Ley que Establece las Normas Mínimas sobre Readaptación</w:t>
      </w:r>
      <w:r w:rsidR="00087667" w:rsidRPr="004E3E07">
        <w:rPr>
          <w:rFonts w:ascii="Cambria" w:eastAsia="Cambria" w:hAnsi="Cambria" w:cs="Cambria"/>
          <w:sz w:val="20"/>
          <w:szCs w:val="20"/>
          <w:lang w:val="es-MX"/>
        </w:rPr>
        <w:t xml:space="preserve"> Social de Sentenciados restringe la jurisdicción militar y asegura que los casos de violaciones a los derechos humanos cometidos por militares en contra de civiles, sean juzgados por tribunales civiles, </w:t>
      </w:r>
      <w:r w:rsidR="00B414A8" w:rsidRPr="004E3E07">
        <w:rPr>
          <w:rFonts w:ascii="Cambria" w:eastAsia="Cambria" w:hAnsi="Cambria" w:cs="Cambria"/>
          <w:sz w:val="20"/>
          <w:szCs w:val="20"/>
          <w:lang w:val="es-MX"/>
        </w:rPr>
        <w:t>lo que permitiría</w:t>
      </w:r>
      <w:r w:rsidR="00087667" w:rsidRPr="004E3E07">
        <w:rPr>
          <w:rFonts w:ascii="Cambria" w:eastAsia="Cambria" w:hAnsi="Cambria" w:cs="Cambria"/>
          <w:sz w:val="20"/>
          <w:szCs w:val="20"/>
          <w:lang w:val="es-MX"/>
        </w:rPr>
        <w:t xml:space="preserve"> armonizar la legislación nacional con los estándares internacionales en la materia. </w:t>
      </w:r>
      <w:r w:rsidR="00B414A8" w:rsidRPr="004E3E07">
        <w:rPr>
          <w:rFonts w:ascii="Cambria" w:eastAsia="Cambria" w:hAnsi="Cambria" w:cs="Cambria"/>
          <w:sz w:val="20"/>
          <w:szCs w:val="20"/>
          <w:lang w:val="es-MX"/>
        </w:rPr>
        <w:t xml:space="preserve">El </w:t>
      </w:r>
      <w:r w:rsidR="00C415D6" w:rsidRPr="004E3E07">
        <w:rPr>
          <w:rFonts w:ascii="Cambria" w:eastAsia="Cambria" w:hAnsi="Cambria" w:cs="Cambria"/>
          <w:sz w:val="20"/>
          <w:szCs w:val="20"/>
          <w:lang w:val="es-MX"/>
        </w:rPr>
        <w:t xml:space="preserve">Estado también indicó que las normas precitadas </w:t>
      </w:r>
      <w:r w:rsidR="00087667" w:rsidRPr="004E3E07">
        <w:rPr>
          <w:rFonts w:ascii="Cambria" w:eastAsia="Cambria" w:hAnsi="Cambria" w:cs="Cambria"/>
          <w:sz w:val="20"/>
          <w:szCs w:val="20"/>
          <w:lang w:val="es-MX"/>
        </w:rPr>
        <w:t>establece</w:t>
      </w:r>
      <w:r w:rsidR="00C62220" w:rsidRPr="004E3E07">
        <w:rPr>
          <w:rFonts w:ascii="Cambria" w:eastAsia="Cambria" w:hAnsi="Cambria" w:cs="Cambria"/>
          <w:sz w:val="20"/>
          <w:szCs w:val="20"/>
          <w:lang w:val="es-MX"/>
        </w:rPr>
        <w:t>n las reglas de enjuiciamiento de integrantes</w:t>
      </w:r>
      <w:r w:rsidR="00087667" w:rsidRPr="004E3E07">
        <w:rPr>
          <w:rFonts w:ascii="Cambria" w:eastAsia="Cambria" w:hAnsi="Cambria" w:cs="Cambria"/>
          <w:sz w:val="20"/>
          <w:szCs w:val="20"/>
          <w:lang w:val="es-MX"/>
        </w:rPr>
        <w:t xml:space="preserve"> de las fuerzas armadas </w:t>
      </w:r>
      <w:r w:rsidR="00C62220" w:rsidRPr="004E3E07">
        <w:rPr>
          <w:rFonts w:ascii="Cambria" w:eastAsia="Cambria" w:hAnsi="Cambria" w:cs="Cambria"/>
          <w:sz w:val="20"/>
          <w:szCs w:val="20"/>
          <w:lang w:val="es-MX"/>
        </w:rPr>
        <w:t>frente a estos delitos. El Estado manifestó a la CIDH que consideraba cumplida la recomendación</w:t>
      </w:r>
      <w:r w:rsidR="00121B92" w:rsidRPr="004E3E07">
        <w:rPr>
          <w:rFonts w:ascii="Cambria" w:eastAsia="Cambria" w:hAnsi="Cambria" w:cs="Cambria"/>
          <w:sz w:val="20"/>
          <w:szCs w:val="20"/>
          <w:vertAlign w:val="superscript"/>
          <w:lang w:val="es-MX"/>
        </w:rPr>
        <w:footnoteReference w:id="196"/>
      </w:r>
      <w:r w:rsidR="00087667" w:rsidRPr="004E3E07">
        <w:rPr>
          <w:rFonts w:ascii="Cambria" w:eastAsia="Cambria" w:hAnsi="Cambria" w:cs="Cambria"/>
          <w:sz w:val="20"/>
          <w:szCs w:val="20"/>
          <w:lang w:val="es-MX"/>
        </w:rPr>
        <w:t>.</w:t>
      </w:r>
    </w:p>
    <w:p w14:paraId="14606A05" w14:textId="17778C86" w:rsidR="002277F5" w:rsidRPr="004E3E07" w:rsidRDefault="007E25FF" w:rsidP="00CC6C4B">
      <w:pPr>
        <w:numPr>
          <w:ilvl w:val="0"/>
          <w:numId w:val="5"/>
        </w:numPr>
        <w:shd w:val="clear" w:color="auto" w:fill="FFFFFF"/>
        <w:spacing w:after="240" w:line="240" w:lineRule="auto"/>
        <w:ind w:left="0" w:firstLine="720"/>
        <w:jc w:val="both"/>
        <w:rPr>
          <w:rFonts w:ascii="Cambria" w:eastAsia="Cambria" w:hAnsi="Cambria" w:cs="Cambria"/>
          <w:sz w:val="20"/>
          <w:szCs w:val="20"/>
          <w:lang w:val="es-MX"/>
        </w:rPr>
      </w:pPr>
      <w:r w:rsidRPr="004E3E07">
        <w:rPr>
          <w:rFonts w:ascii="Cambria" w:eastAsia="Cambria" w:hAnsi="Cambria" w:cs="Cambria"/>
          <w:sz w:val="20"/>
          <w:szCs w:val="20"/>
          <w:lang w:val="es-MX"/>
        </w:rPr>
        <w:t xml:space="preserve">Sin perjuicio de lo anterior, la CIDH advierte que la acción de inconstitucionalidad 46/2016 relativa a la legalidad de las reformas al Código de Justicia Militar y la publicación del Código Militar de Procedimientos Penales se encuentra pendiente de resolución por parte de la SCJN. </w:t>
      </w:r>
      <w:r w:rsidR="00146E9C" w:rsidRPr="004E3E07">
        <w:rPr>
          <w:rFonts w:ascii="Cambria" w:eastAsia="Cambria" w:hAnsi="Cambria" w:cs="Cambria"/>
          <w:sz w:val="20"/>
          <w:szCs w:val="20"/>
          <w:lang w:val="es-MX"/>
        </w:rPr>
        <w:t>En opinión de</w:t>
      </w:r>
      <w:r w:rsidR="00D3351E" w:rsidRPr="004E3E07">
        <w:rPr>
          <w:rFonts w:ascii="Cambria" w:eastAsia="Cambria" w:hAnsi="Cambria" w:cs="Cambria"/>
          <w:sz w:val="20"/>
          <w:szCs w:val="20"/>
          <w:lang w:val="es-MX"/>
        </w:rPr>
        <w:t xml:space="preserve">l Centro PRODH la falta de modificación también desconoce </w:t>
      </w:r>
      <w:r w:rsidR="00AB707D" w:rsidRPr="004E3E07">
        <w:rPr>
          <w:rFonts w:ascii="Cambria" w:eastAsia="Cambria" w:hAnsi="Cambria" w:cs="Cambria"/>
          <w:sz w:val="20"/>
          <w:szCs w:val="20"/>
          <w:lang w:val="es-MX"/>
        </w:rPr>
        <w:t>las sentencias de la Corte Interamericana frente a esta materia</w:t>
      </w:r>
      <w:r w:rsidRPr="004E3E07">
        <w:rPr>
          <w:rFonts w:ascii="Cambria" w:eastAsia="Cambria" w:hAnsi="Cambria" w:cs="Cambria"/>
          <w:sz w:val="20"/>
          <w:szCs w:val="20"/>
          <w:vertAlign w:val="superscript"/>
          <w:lang w:val="es-MX"/>
        </w:rPr>
        <w:footnoteReference w:id="197"/>
      </w:r>
      <w:r w:rsidRPr="004E3E07">
        <w:rPr>
          <w:rFonts w:ascii="Cambria" w:eastAsia="Cambria" w:hAnsi="Cambria" w:cs="Cambria"/>
          <w:sz w:val="20"/>
          <w:szCs w:val="20"/>
          <w:lang w:val="es-MX"/>
        </w:rPr>
        <w:t xml:space="preserve">. </w:t>
      </w:r>
    </w:p>
    <w:p w14:paraId="14606A06" w14:textId="77777777" w:rsidR="002277F5" w:rsidRPr="004E3E07" w:rsidRDefault="007E25FF" w:rsidP="5258151B">
      <w:pPr>
        <w:numPr>
          <w:ilvl w:val="0"/>
          <w:numId w:val="5"/>
        </w:numPr>
        <w:shd w:val="clear" w:color="auto" w:fill="FFFFFF"/>
        <w:spacing w:after="240" w:line="240" w:lineRule="auto"/>
        <w:ind w:left="0" w:firstLine="720"/>
        <w:jc w:val="both"/>
        <w:rPr>
          <w:rFonts w:ascii="Cambria" w:eastAsia="Cambria" w:hAnsi="Cambria" w:cs="Cambria"/>
          <w:sz w:val="20"/>
          <w:szCs w:val="20"/>
          <w:lang w:val="es-MX"/>
        </w:rPr>
      </w:pPr>
      <w:r w:rsidRPr="004E3E07">
        <w:rPr>
          <w:rFonts w:ascii="Cambria" w:eastAsia="Cambria" w:hAnsi="Cambria" w:cs="Cambria"/>
          <w:sz w:val="20"/>
          <w:szCs w:val="20"/>
          <w:lang w:val="es-MX"/>
        </w:rPr>
        <w:t>La Comisión recuerda que desde el Informe Anual 2017</w:t>
      </w:r>
      <w:r w:rsidRPr="004E3E07">
        <w:rPr>
          <w:rFonts w:ascii="Cambria" w:eastAsia="Cambria" w:hAnsi="Cambria" w:cs="Cambria"/>
          <w:sz w:val="20"/>
          <w:szCs w:val="20"/>
          <w:vertAlign w:val="superscript"/>
          <w:lang w:val="es-MX"/>
        </w:rPr>
        <w:footnoteReference w:id="198"/>
      </w:r>
      <w:r w:rsidRPr="004E3E07">
        <w:rPr>
          <w:rFonts w:ascii="Cambria" w:eastAsia="Cambria" w:hAnsi="Cambria" w:cs="Cambria"/>
          <w:sz w:val="20"/>
          <w:szCs w:val="20"/>
          <w:lang w:val="es-MX"/>
        </w:rPr>
        <w:t xml:space="preserve"> señaló que estaba pendiente dicha modificación al Código, pues la actual legislación continúa sin adaptarse cabalmente a los estándares interamericanos, observación que ha compartido la Corte IDH en la supervisión de cumplimiento de algunas sentencias contra México</w:t>
      </w:r>
      <w:r w:rsidRPr="004E3E07">
        <w:rPr>
          <w:rFonts w:ascii="Cambria" w:eastAsia="Cambria" w:hAnsi="Cambria" w:cs="Cambria"/>
          <w:sz w:val="20"/>
          <w:szCs w:val="20"/>
          <w:vertAlign w:val="superscript"/>
          <w:lang w:val="es-MX"/>
        </w:rPr>
        <w:footnoteReference w:id="199"/>
      </w:r>
      <w:r w:rsidRPr="004E3E07">
        <w:rPr>
          <w:rFonts w:ascii="Cambria" w:eastAsia="Cambria" w:hAnsi="Cambria" w:cs="Cambria"/>
          <w:sz w:val="20"/>
          <w:szCs w:val="20"/>
          <w:lang w:val="es-MX"/>
        </w:rPr>
        <w:t xml:space="preserve">. Tomando en consideración lo anterior, la Comisión reitera la necesidad de que el Estado cumpla con dicha recomendación que aún sigue pendiente de cumplimiento para que se reconozca que la jurisdicción penal militar no aplica para violaciones de derechos humanos, sea el sujeto pasivo civil o militar. </w:t>
      </w:r>
    </w:p>
    <w:p w14:paraId="3FF453C8" w14:textId="445ADC74" w:rsidR="0029151F" w:rsidRPr="004E3E07" w:rsidRDefault="007E25FF" w:rsidP="00B22908">
      <w:pPr>
        <w:numPr>
          <w:ilvl w:val="0"/>
          <w:numId w:val="5"/>
        </w:numPr>
        <w:shd w:val="clear" w:color="auto" w:fill="FFFFFF"/>
        <w:spacing w:after="240" w:line="240" w:lineRule="auto"/>
        <w:ind w:left="0" w:firstLine="720"/>
        <w:jc w:val="both"/>
        <w:rPr>
          <w:rFonts w:ascii="Cambria" w:eastAsia="Cambria" w:hAnsi="Cambria" w:cs="Cambria"/>
          <w:sz w:val="20"/>
          <w:szCs w:val="20"/>
          <w:lang w:val="es-MX"/>
        </w:rPr>
      </w:pPr>
      <w:r w:rsidRPr="004E3E07">
        <w:rPr>
          <w:rFonts w:ascii="Cambria" w:eastAsia="Cambria" w:hAnsi="Cambria" w:cs="Cambria"/>
          <w:sz w:val="20"/>
          <w:szCs w:val="20"/>
          <w:lang w:val="es-MX"/>
        </w:rPr>
        <w:t xml:space="preserve">Con respecto a las recomendaciones sobre </w:t>
      </w:r>
      <w:r w:rsidRPr="004E3E07">
        <w:rPr>
          <w:rFonts w:ascii="Cambria" w:eastAsia="Cambria" w:hAnsi="Cambria" w:cs="Cambria"/>
          <w:b/>
          <w:bCs/>
          <w:sz w:val="20"/>
          <w:szCs w:val="20"/>
          <w:lang w:val="es-MX"/>
        </w:rPr>
        <w:t>monitorear la vigencia del nuevo sistema de justicia penal</w:t>
      </w:r>
      <w:r w:rsidRPr="004E3E07">
        <w:rPr>
          <w:rFonts w:ascii="Cambria" w:eastAsia="Cambria" w:hAnsi="Cambria" w:cs="Cambria"/>
          <w:sz w:val="20"/>
          <w:szCs w:val="20"/>
          <w:lang w:val="es-MX"/>
        </w:rPr>
        <w:t xml:space="preserve"> y </w:t>
      </w:r>
      <w:r w:rsidRPr="004E3E07">
        <w:rPr>
          <w:rFonts w:ascii="Cambria" w:eastAsia="Cambria" w:hAnsi="Cambria" w:cs="Cambria"/>
          <w:b/>
          <w:bCs/>
          <w:sz w:val="20"/>
          <w:szCs w:val="20"/>
          <w:lang w:val="es-MX"/>
        </w:rPr>
        <w:t xml:space="preserve">evaluar su efectiva implementación, </w:t>
      </w:r>
      <w:r w:rsidRPr="004E3E07">
        <w:rPr>
          <w:rFonts w:ascii="Cambria" w:eastAsia="Cambria" w:hAnsi="Cambria" w:cs="Cambria"/>
          <w:sz w:val="20"/>
          <w:szCs w:val="20"/>
          <w:lang w:val="es-MX"/>
        </w:rPr>
        <w:t>el Estado señaló que</w:t>
      </w:r>
      <w:r w:rsidR="00B22908" w:rsidRPr="004E3E07">
        <w:rPr>
          <w:rFonts w:ascii="Cambria" w:eastAsia="Cambria" w:hAnsi="Cambria" w:cs="Cambria"/>
          <w:sz w:val="20"/>
          <w:szCs w:val="20"/>
          <w:lang w:val="es-MX"/>
        </w:rPr>
        <w:t xml:space="preserve"> la Unidad de Consolidación del Nuevo Sistema de Justicia Penal (UCNSJP) es el área administrativa dependiente de la Secretaría General de la Presidencia del Consejo de la Judicatura Federal, encargada del estudio, análisis y propuesta del diseño, planeación, ejecución y evaluación de los planes, programas y acciones necesarias para la consolidación del Nuevo Sistema de Justicia Penal, así como de la coordinación de las diversas áreas administrativas involucradas en estos procesos; entre otras tareas. Respecto de las capacitaciones, el Estado señaló que la Escuela Federal de Formación Judicial (EFFJ) impartió materias relacionadas con el sistema penal acusatorio</w:t>
      </w:r>
      <w:r w:rsidR="00525FBF" w:rsidRPr="004E3E07">
        <w:rPr>
          <w:rFonts w:ascii="Cambria" w:eastAsia="Cambria" w:hAnsi="Cambria" w:cs="Cambria"/>
          <w:sz w:val="20"/>
          <w:szCs w:val="20"/>
          <w:lang w:val="es-MX"/>
        </w:rPr>
        <w:t xml:space="preserve"> y </w:t>
      </w:r>
      <w:r w:rsidR="00B22908" w:rsidRPr="004E3E07">
        <w:rPr>
          <w:rFonts w:ascii="Cambria" w:eastAsia="Cambria" w:hAnsi="Cambria" w:cs="Cambria"/>
          <w:sz w:val="20"/>
          <w:szCs w:val="20"/>
          <w:lang w:val="es-MX"/>
        </w:rPr>
        <w:t xml:space="preserve">diversos programas académicos dirigidos a las personas servidoras públicas del CJF, incluidas las pertenecientes al Instituto Federal de Defensoría Pública. </w:t>
      </w:r>
      <w:r w:rsidR="000F4D0E">
        <w:rPr>
          <w:rFonts w:ascii="Cambria" w:eastAsia="Cambria" w:hAnsi="Cambria" w:cs="Cambria"/>
          <w:sz w:val="20"/>
          <w:szCs w:val="20"/>
          <w:lang w:val="es-MX"/>
        </w:rPr>
        <w:t xml:space="preserve">Del </w:t>
      </w:r>
      <w:r w:rsidR="000F4D0E" w:rsidRPr="004E3E07">
        <w:rPr>
          <w:rFonts w:ascii="Cambria" w:eastAsia="Cambria" w:hAnsi="Cambria" w:cs="Cambria"/>
          <w:sz w:val="20"/>
          <w:szCs w:val="20"/>
          <w:lang w:val="es-MX"/>
        </w:rPr>
        <w:t>1 de junio al 5 de agosto de 2021</w:t>
      </w:r>
      <w:r w:rsidR="000F4D0E">
        <w:rPr>
          <w:rFonts w:ascii="Cambria" w:eastAsia="Cambria" w:hAnsi="Cambria" w:cs="Cambria"/>
          <w:sz w:val="20"/>
          <w:szCs w:val="20"/>
          <w:lang w:val="es-MX"/>
        </w:rPr>
        <w:t xml:space="preserve"> el Estado </w:t>
      </w:r>
      <w:r w:rsidR="00AA43ED" w:rsidRPr="004E3E07">
        <w:rPr>
          <w:rFonts w:ascii="Cambria" w:eastAsia="Cambria" w:hAnsi="Cambria" w:cs="Cambria"/>
          <w:sz w:val="20"/>
          <w:szCs w:val="20"/>
          <w:lang w:val="es-MX"/>
        </w:rPr>
        <w:t>impartió el curso “Razonamiento probatorio en la función de la defensa pública en el proceso penal acusatorio”</w:t>
      </w:r>
      <w:r w:rsidR="00B8235A" w:rsidRPr="004E3E07">
        <w:rPr>
          <w:rStyle w:val="FootnoteReference"/>
          <w:rFonts w:ascii="Cambria" w:eastAsia="Cambria" w:hAnsi="Cambria" w:cs="Cambria"/>
          <w:sz w:val="20"/>
          <w:szCs w:val="20"/>
          <w:lang w:val="es-MX"/>
        </w:rPr>
        <w:footnoteReference w:id="200"/>
      </w:r>
      <w:r w:rsidR="00AA43ED" w:rsidRPr="004E3E07">
        <w:rPr>
          <w:rFonts w:ascii="Cambria" w:eastAsia="Cambria" w:hAnsi="Cambria" w:cs="Cambria"/>
          <w:sz w:val="20"/>
          <w:szCs w:val="20"/>
          <w:lang w:val="es-MX"/>
        </w:rPr>
        <w:t>.</w:t>
      </w:r>
    </w:p>
    <w:p w14:paraId="19C22CDB" w14:textId="784E4956" w:rsidR="00403D74" w:rsidRPr="004E3E07" w:rsidRDefault="007E25FF" w:rsidP="00B8235A">
      <w:pPr>
        <w:numPr>
          <w:ilvl w:val="0"/>
          <w:numId w:val="5"/>
        </w:numPr>
        <w:shd w:val="clear" w:color="auto" w:fill="FFFFFF"/>
        <w:spacing w:after="240" w:line="240" w:lineRule="auto"/>
        <w:ind w:left="0" w:firstLine="720"/>
        <w:jc w:val="both"/>
        <w:rPr>
          <w:rFonts w:ascii="Cambria" w:eastAsia="Cambria" w:hAnsi="Cambria" w:cs="Cambria"/>
          <w:sz w:val="20"/>
          <w:szCs w:val="20"/>
          <w:lang w:val="es-MX"/>
        </w:rPr>
      </w:pPr>
      <w:r w:rsidRPr="004E3E07">
        <w:rPr>
          <w:rFonts w:ascii="Cambria" w:eastAsia="Cambria" w:hAnsi="Cambria" w:cs="Cambria"/>
          <w:sz w:val="20"/>
          <w:szCs w:val="20"/>
          <w:lang w:val="es-MX"/>
        </w:rPr>
        <w:t>En cuanto a la evaluación efectiva en la implementación del NSJP,</w:t>
      </w:r>
      <w:r w:rsidR="00A13E35" w:rsidRPr="004E3E07">
        <w:rPr>
          <w:rFonts w:ascii="Cambria" w:eastAsia="Cambria" w:hAnsi="Cambria" w:cs="Cambria"/>
          <w:sz w:val="20"/>
          <w:szCs w:val="20"/>
          <w:lang w:val="es-MX"/>
        </w:rPr>
        <w:t xml:space="preserve"> </w:t>
      </w:r>
      <w:r w:rsidR="000563E6" w:rsidRPr="004E3E07">
        <w:rPr>
          <w:rFonts w:ascii="Cambria" w:eastAsia="Cambria" w:hAnsi="Cambria" w:cs="Cambria"/>
          <w:sz w:val="20"/>
          <w:szCs w:val="20"/>
          <w:lang w:val="es-MX"/>
        </w:rPr>
        <w:t>el Estado señaló que l</w:t>
      </w:r>
      <w:r w:rsidR="00B8235A" w:rsidRPr="004E3E07">
        <w:rPr>
          <w:rFonts w:ascii="Cambria" w:eastAsia="Cambria" w:hAnsi="Cambria" w:cs="Cambria"/>
          <w:sz w:val="20"/>
          <w:szCs w:val="20"/>
          <w:lang w:val="es-MX"/>
        </w:rPr>
        <w:t xml:space="preserve">a UCNSJP </w:t>
      </w:r>
      <w:r w:rsidR="000563E6" w:rsidRPr="004E3E07">
        <w:rPr>
          <w:rFonts w:ascii="Cambria" w:eastAsia="Cambria" w:hAnsi="Cambria" w:cs="Cambria"/>
          <w:sz w:val="20"/>
          <w:szCs w:val="20"/>
          <w:lang w:val="es-MX"/>
        </w:rPr>
        <w:t>desplegó</w:t>
      </w:r>
      <w:r w:rsidR="00B8235A" w:rsidRPr="004E3E07">
        <w:rPr>
          <w:rFonts w:ascii="Cambria" w:eastAsia="Cambria" w:hAnsi="Cambria" w:cs="Cambria"/>
          <w:sz w:val="20"/>
          <w:szCs w:val="20"/>
          <w:lang w:val="es-MX"/>
        </w:rPr>
        <w:t xml:space="preserve"> acciones transversales de política judicial para la mejor atención del conjunto de los casos judicializables, como parte de los esfuerzos para la consolidación del nuevo sistema de justicia federal en tres aspectos principales: (a) armonización de pautas de actuación en distintos aspectos del enjuiciamiento penal -guías judiciales de conducción de audiencia, de valoración judicial de la prueba científica, y para la individualización de sanciones a partir del uso de un asistente tecnológico; (b) garantizar la continuidad e incremento de las capacidades institucionales para brindar un eficaz servicio de impartición de justicia -cambio en el esquema de administración de los Centros de Justicia Penal Federal (CJPF) para transitar de jueces de Distrito en funciones de administración a administradores profesionales, cambio en el esquema de gestión judicial de los CJPF (juez-causa), y </w:t>
      </w:r>
      <w:r w:rsidR="000C1A71">
        <w:rPr>
          <w:rFonts w:ascii="Cambria" w:eastAsia="Cambria" w:hAnsi="Cambria" w:cs="Cambria"/>
          <w:sz w:val="20"/>
          <w:szCs w:val="20"/>
          <w:lang w:val="es-MX"/>
        </w:rPr>
        <w:t>b</w:t>
      </w:r>
      <w:r w:rsidR="00B8235A" w:rsidRPr="00BA6325">
        <w:rPr>
          <w:rFonts w:ascii="Cambria" w:eastAsia="Cambria" w:hAnsi="Cambria" w:cs="Cambria"/>
          <w:sz w:val="20"/>
          <w:szCs w:val="20"/>
          <w:lang w:val="es-MX"/>
        </w:rPr>
        <w:t>uscador</w:t>
      </w:r>
      <w:r w:rsidR="00B8235A" w:rsidRPr="004E3E07">
        <w:rPr>
          <w:rFonts w:ascii="Cambria" w:eastAsia="Cambria" w:hAnsi="Cambria" w:cs="Cambria"/>
          <w:sz w:val="20"/>
          <w:szCs w:val="20"/>
          <w:lang w:val="es-MX"/>
        </w:rPr>
        <w:t xml:space="preserve"> de sentencias especializado en el Sistema de Justicia Penal Adversarial; y (c) capacitación del personal para perfeccionar su dominio del sistema adversarial y de aspectos especialmente relevantes para la valoración de este tipo de hechos</w:t>
      </w:r>
      <w:r w:rsidR="0033705E" w:rsidRPr="004E3E07">
        <w:rPr>
          <w:rStyle w:val="FootnoteReference"/>
          <w:rFonts w:ascii="Cambria" w:eastAsia="Cambria" w:hAnsi="Cambria" w:cs="Cambria"/>
          <w:sz w:val="20"/>
          <w:szCs w:val="20"/>
          <w:lang w:val="es-MX"/>
        </w:rPr>
        <w:footnoteReference w:id="201"/>
      </w:r>
      <w:r w:rsidR="000563E6" w:rsidRPr="004E3E07">
        <w:rPr>
          <w:rFonts w:ascii="Cambria" w:eastAsia="Cambria" w:hAnsi="Cambria" w:cs="Cambria"/>
          <w:sz w:val="20"/>
          <w:szCs w:val="20"/>
          <w:lang w:val="es-MX"/>
        </w:rPr>
        <w:t>.</w:t>
      </w:r>
    </w:p>
    <w:p w14:paraId="7B361DEE" w14:textId="3A952234" w:rsidR="002F1A6A" w:rsidRPr="002F1A6A" w:rsidRDefault="00775C51" w:rsidP="002F1A6A">
      <w:pPr>
        <w:numPr>
          <w:ilvl w:val="0"/>
          <w:numId w:val="5"/>
        </w:numPr>
        <w:shd w:val="clear" w:color="auto" w:fill="FFFFFF"/>
        <w:spacing w:after="240" w:line="240" w:lineRule="auto"/>
        <w:ind w:left="0" w:firstLine="720"/>
        <w:jc w:val="both"/>
        <w:rPr>
          <w:rFonts w:ascii="Cambria" w:eastAsia="Cambria" w:hAnsi="Cambria" w:cs="Cambria"/>
          <w:sz w:val="20"/>
          <w:szCs w:val="20"/>
          <w:lang w:val="es-MX"/>
        </w:rPr>
      </w:pPr>
      <w:r w:rsidRPr="004E3E07">
        <w:rPr>
          <w:rFonts w:ascii="Cambria" w:eastAsia="Cambria" w:hAnsi="Cambria" w:cs="Cambria"/>
          <w:sz w:val="20"/>
          <w:szCs w:val="20"/>
          <w:lang w:val="es-MX"/>
        </w:rPr>
        <w:t xml:space="preserve">La Comisión Interamericana </w:t>
      </w:r>
      <w:r w:rsidR="007472F5" w:rsidRPr="004E3E07">
        <w:rPr>
          <w:rFonts w:ascii="Cambria" w:eastAsia="Cambria" w:hAnsi="Cambria" w:cs="Cambria"/>
          <w:sz w:val="20"/>
          <w:szCs w:val="20"/>
          <w:lang w:val="es-MX"/>
        </w:rPr>
        <w:t xml:space="preserve">observa positivamente la información remitida en torno al fortalecimiento de capacidades de las personas operadoras de justicia en torno a la implementación del sistema </w:t>
      </w:r>
      <w:r w:rsidR="000F7BA0" w:rsidRPr="004E3E07">
        <w:rPr>
          <w:rFonts w:ascii="Cambria" w:eastAsia="Cambria" w:hAnsi="Cambria" w:cs="Cambria"/>
          <w:sz w:val="20"/>
          <w:szCs w:val="20"/>
          <w:lang w:val="es-MX"/>
        </w:rPr>
        <w:t>penal acusatorio en México. Sin embargo,</w:t>
      </w:r>
      <w:r w:rsidR="007E25FF" w:rsidRPr="004E3E07">
        <w:rPr>
          <w:rFonts w:ascii="Cambria" w:eastAsia="Cambria" w:hAnsi="Cambria" w:cs="Cambria"/>
          <w:sz w:val="20"/>
          <w:szCs w:val="20"/>
          <w:lang w:val="es-MX"/>
        </w:rPr>
        <w:t xml:space="preserve"> </w:t>
      </w:r>
      <w:r w:rsidR="005C2E1D" w:rsidRPr="004E3E07">
        <w:rPr>
          <w:rFonts w:ascii="Cambria" w:eastAsia="Cambria" w:hAnsi="Cambria" w:cs="Cambria"/>
          <w:sz w:val="20"/>
          <w:szCs w:val="20"/>
          <w:lang w:val="es-MX"/>
        </w:rPr>
        <w:t>l</w:t>
      </w:r>
      <w:r w:rsidR="006934F4" w:rsidRPr="004E3E07">
        <w:rPr>
          <w:rFonts w:ascii="Cambria" w:eastAsia="Cambria" w:hAnsi="Cambria" w:cs="Cambria"/>
          <w:sz w:val="20"/>
          <w:szCs w:val="20"/>
          <w:lang w:val="es-MX"/>
        </w:rPr>
        <w:t>a información remitida respecto</w:t>
      </w:r>
      <w:r w:rsidR="00056A4E" w:rsidRPr="004E3E07">
        <w:rPr>
          <w:rFonts w:ascii="Cambria" w:eastAsia="Cambria" w:hAnsi="Cambria" w:cs="Cambria"/>
          <w:sz w:val="20"/>
          <w:szCs w:val="20"/>
          <w:lang w:val="es-MX"/>
        </w:rPr>
        <w:t xml:space="preserve"> de la</w:t>
      </w:r>
      <w:r w:rsidR="006934F4" w:rsidRPr="004E3E07">
        <w:rPr>
          <w:rFonts w:ascii="Cambria" w:eastAsia="Cambria" w:hAnsi="Cambria" w:cs="Cambria"/>
          <w:sz w:val="20"/>
          <w:szCs w:val="20"/>
          <w:lang w:val="es-MX"/>
        </w:rPr>
        <w:t xml:space="preserve"> Unidad de Consolidación del Nuevo Sistema de Justicia Penal es solo declarativa </w:t>
      </w:r>
      <w:r w:rsidR="00566BD0" w:rsidRPr="004E3E07">
        <w:rPr>
          <w:rFonts w:ascii="Cambria" w:eastAsia="Cambria" w:hAnsi="Cambria" w:cs="Cambria"/>
          <w:sz w:val="20"/>
          <w:szCs w:val="20"/>
          <w:lang w:val="es-MX"/>
        </w:rPr>
        <w:t xml:space="preserve">y </w:t>
      </w:r>
      <w:r w:rsidR="00056A4E" w:rsidRPr="004E3E07">
        <w:rPr>
          <w:rFonts w:ascii="Cambria" w:eastAsia="Cambria" w:hAnsi="Cambria" w:cs="Cambria"/>
          <w:sz w:val="20"/>
          <w:szCs w:val="20"/>
          <w:lang w:val="es-MX"/>
        </w:rPr>
        <w:t xml:space="preserve">no contempla datos sustantivos sobre </w:t>
      </w:r>
      <w:r w:rsidR="0051416E" w:rsidRPr="004E3E07">
        <w:rPr>
          <w:rFonts w:ascii="Cambria" w:eastAsia="Cambria" w:hAnsi="Cambria" w:cs="Cambria"/>
          <w:sz w:val="20"/>
          <w:szCs w:val="20"/>
          <w:lang w:val="es-MX"/>
        </w:rPr>
        <w:t xml:space="preserve">la implementación </w:t>
      </w:r>
      <w:r w:rsidR="00EE2623" w:rsidRPr="004E3E07">
        <w:rPr>
          <w:rFonts w:ascii="Cambria" w:eastAsia="Cambria" w:hAnsi="Cambria" w:cs="Cambria"/>
          <w:sz w:val="20"/>
          <w:szCs w:val="20"/>
          <w:lang w:val="es-MX"/>
        </w:rPr>
        <w:t>en los diferentes órdenes de gobierno y no sólo a nivel federal, con especial énfasis en la capacitación de las personas servidoras públicas en materia de derechos humanos, perspectiva de género y atención a diferentes grupos vulnerables</w:t>
      </w:r>
      <w:r w:rsidR="002F1A6A">
        <w:rPr>
          <w:rStyle w:val="FootnoteReference"/>
          <w:rFonts w:ascii="Cambria" w:eastAsia="Cambria" w:hAnsi="Cambria" w:cs="Cambria"/>
          <w:sz w:val="20"/>
          <w:szCs w:val="20"/>
          <w:lang w:val="es-MX"/>
        </w:rPr>
        <w:footnoteReference w:id="202"/>
      </w:r>
      <w:r w:rsidR="00EE2623" w:rsidRPr="004E3E07">
        <w:rPr>
          <w:rFonts w:ascii="Cambria" w:eastAsia="Cambria" w:hAnsi="Cambria" w:cs="Cambria"/>
          <w:sz w:val="20"/>
          <w:szCs w:val="20"/>
          <w:lang w:val="es-MX"/>
        </w:rPr>
        <w:t>. Por tales motivos, la CIDH considera que la</w:t>
      </w:r>
      <w:r w:rsidR="00056A4E" w:rsidRPr="004E3E07">
        <w:rPr>
          <w:rFonts w:ascii="Cambria" w:eastAsia="Cambria" w:hAnsi="Cambria" w:cs="Cambria"/>
          <w:sz w:val="20"/>
          <w:szCs w:val="20"/>
          <w:lang w:val="es-MX"/>
        </w:rPr>
        <w:t>s</w:t>
      </w:r>
      <w:r w:rsidR="00EE2623" w:rsidRPr="004E3E07">
        <w:rPr>
          <w:rFonts w:ascii="Cambria" w:eastAsia="Cambria" w:hAnsi="Cambria" w:cs="Cambria"/>
          <w:sz w:val="20"/>
          <w:szCs w:val="20"/>
          <w:lang w:val="es-MX"/>
        </w:rPr>
        <w:t xml:space="preserve"> presente</w:t>
      </w:r>
      <w:r w:rsidR="00056A4E" w:rsidRPr="004E3E07">
        <w:rPr>
          <w:rFonts w:ascii="Cambria" w:eastAsia="Cambria" w:hAnsi="Cambria" w:cs="Cambria"/>
          <w:sz w:val="20"/>
          <w:szCs w:val="20"/>
          <w:lang w:val="es-MX"/>
        </w:rPr>
        <w:t>s</w:t>
      </w:r>
      <w:r w:rsidR="00EE2623" w:rsidRPr="004E3E07">
        <w:rPr>
          <w:rFonts w:ascii="Cambria" w:eastAsia="Cambria" w:hAnsi="Cambria" w:cs="Cambria"/>
          <w:sz w:val="20"/>
          <w:szCs w:val="20"/>
          <w:lang w:val="es-MX"/>
        </w:rPr>
        <w:t xml:space="preserve"> recomendaci</w:t>
      </w:r>
      <w:r w:rsidR="00056A4E" w:rsidRPr="004E3E07">
        <w:rPr>
          <w:rFonts w:ascii="Cambria" w:eastAsia="Cambria" w:hAnsi="Cambria" w:cs="Cambria"/>
          <w:sz w:val="20"/>
          <w:szCs w:val="20"/>
          <w:lang w:val="es-MX"/>
        </w:rPr>
        <w:t>ones</w:t>
      </w:r>
      <w:r w:rsidR="00EE2623" w:rsidRPr="004E3E07">
        <w:rPr>
          <w:rFonts w:ascii="Cambria" w:eastAsia="Cambria" w:hAnsi="Cambria" w:cs="Cambria"/>
          <w:sz w:val="20"/>
          <w:szCs w:val="20"/>
          <w:lang w:val="es-MX"/>
        </w:rPr>
        <w:t xml:space="preserve"> se encuentra</w:t>
      </w:r>
      <w:r w:rsidR="00056A4E" w:rsidRPr="004E3E07">
        <w:rPr>
          <w:rFonts w:ascii="Cambria" w:eastAsia="Cambria" w:hAnsi="Cambria" w:cs="Cambria"/>
          <w:sz w:val="20"/>
          <w:szCs w:val="20"/>
          <w:lang w:val="es-MX"/>
        </w:rPr>
        <w:t>n</w:t>
      </w:r>
      <w:r w:rsidR="00EE2623" w:rsidRPr="004E3E07">
        <w:rPr>
          <w:rFonts w:ascii="Cambria" w:eastAsia="Cambria" w:hAnsi="Cambria" w:cs="Cambria"/>
          <w:sz w:val="20"/>
          <w:szCs w:val="20"/>
          <w:lang w:val="es-MX"/>
        </w:rPr>
        <w:t xml:space="preserve"> con cumplimiento parcial.</w:t>
      </w:r>
    </w:p>
    <w:p w14:paraId="14606A0D" w14:textId="77777777" w:rsidR="002277F5" w:rsidRPr="00BD18FA" w:rsidRDefault="007E25FF" w:rsidP="00BD18FA">
      <w:pPr>
        <w:pStyle w:val="Heading2"/>
      </w:pPr>
      <w:r w:rsidRPr="00BD18FA">
        <w:t>Afectación de grupos particulares</w:t>
      </w:r>
    </w:p>
    <w:p w14:paraId="14606A0E" w14:textId="77777777" w:rsidR="002277F5" w:rsidRPr="004E3E07" w:rsidRDefault="007E25FF">
      <w:pPr>
        <w:pStyle w:val="Heading3"/>
        <w:numPr>
          <w:ilvl w:val="2"/>
          <w:numId w:val="11"/>
        </w:numPr>
        <w:shd w:val="clear" w:color="auto" w:fill="auto"/>
        <w:spacing w:before="0"/>
        <w:ind w:left="1440" w:hanging="720"/>
        <w:rPr>
          <w:sz w:val="20"/>
          <w:szCs w:val="20"/>
        </w:rPr>
      </w:pPr>
      <w:r w:rsidRPr="004E3E07">
        <w:rPr>
          <w:sz w:val="20"/>
          <w:szCs w:val="20"/>
        </w:rPr>
        <w:t>Personas LGBT</w:t>
      </w:r>
    </w:p>
    <w:p w14:paraId="14606A0F" w14:textId="77777777" w:rsidR="002277F5" w:rsidRPr="004E3E07" w:rsidRDefault="007E25FF">
      <w:pPr>
        <w:numPr>
          <w:ilvl w:val="0"/>
          <w:numId w:val="20"/>
        </w:numPr>
        <w:pBdr>
          <w:top w:val="nil"/>
          <w:left w:val="nil"/>
          <w:bottom w:val="nil"/>
          <w:right w:val="nil"/>
          <w:between w:val="nil"/>
        </w:pBdr>
        <w:shd w:val="clear" w:color="auto" w:fill="D9D9D9"/>
        <w:spacing w:after="0" w:line="240" w:lineRule="auto"/>
        <w:ind w:left="1354" w:hanging="634"/>
        <w:jc w:val="both"/>
        <w:rPr>
          <w:rFonts w:ascii="Cambria" w:hAnsi="Cambria"/>
          <w:lang w:val="es-MX"/>
        </w:rPr>
      </w:pPr>
      <w:r w:rsidRPr="004E3E07">
        <w:rPr>
          <w:rFonts w:ascii="Cambria" w:eastAsia="Cambria" w:hAnsi="Cambria" w:cs="Cambria"/>
          <w:sz w:val="20"/>
          <w:szCs w:val="20"/>
          <w:lang w:val="es-MX"/>
        </w:rPr>
        <w:t xml:space="preserve">Adoptar las medidas necesarias para investigar, sancionar y reparar actos de violencia contra personas LGBT, de acuerdo con estándares de debida diligencia. Las investigaciones en casos de violencia contra personas LGBT deben estar libres de nociones estereotipadas de las personas LGBT y deben incluir la determinación de si estos actos fueron cometidos por la orientación sexual o identidad de género de las víctimas. </w:t>
      </w:r>
    </w:p>
    <w:p w14:paraId="14606A10" w14:textId="77777777" w:rsidR="002277F5" w:rsidRPr="004E3E07" w:rsidRDefault="007E25FF">
      <w:pPr>
        <w:numPr>
          <w:ilvl w:val="0"/>
          <w:numId w:val="20"/>
        </w:numPr>
        <w:pBdr>
          <w:top w:val="nil"/>
          <w:left w:val="nil"/>
          <w:bottom w:val="nil"/>
          <w:right w:val="nil"/>
          <w:between w:val="nil"/>
        </w:pBdr>
        <w:shd w:val="clear" w:color="auto" w:fill="D9D9D9"/>
        <w:spacing w:after="0" w:line="240" w:lineRule="auto"/>
        <w:ind w:left="1354" w:hanging="634"/>
        <w:jc w:val="both"/>
        <w:rPr>
          <w:rFonts w:ascii="Cambria" w:hAnsi="Cambria"/>
          <w:lang w:val="es-MX"/>
        </w:rPr>
      </w:pPr>
      <w:r w:rsidRPr="004E3E07">
        <w:rPr>
          <w:rFonts w:ascii="Cambria" w:eastAsia="Cambria" w:hAnsi="Cambria" w:cs="Cambria"/>
          <w:sz w:val="20"/>
          <w:szCs w:val="20"/>
          <w:lang w:val="es-MX"/>
        </w:rPr>
        <w:t xml:space="preserve">Adoptar medidas necesarias en materia de prevención de la violencia, incluyendo medidas legislativas y en políticas públicas en miras hacia la erradicación de la discriminación social que existe hacia personas LGBT, la cual potencia y refuerza la violencia basada en prejuicio. </w:t>
      </w:r>
    </w:p>
    <w:p w14:paraId="14606A11" w14:textId="77777777" w:rsidR="002277F5" w:rsidRPr="004E3E07" w:rsidRDefault="002277F5">
      <w:pPr>
        <w:shd w:val="clear" w:color="auto" w:fill="FFFFFF"/>
        <w:spacing w:after="0" w:line="240" w:lineRule="auto"/>
        <w:ind w:left="720"/>
        <w:jc w:val="both"/>
        <w:rPr>
          <w:rFonts w:ascii="Cambria" w:eastAsia="Cambria" w:hAnsi="Cambria" w:cs="Cambria"/>
          <w:sz w:val="20"/>
          <w:szCs w:val="20"/>
          <w:lang w:val="es-MX"/>
        </w:rPr>
      </w:pPr>
    </w:p>
    <w:p w14:paraId="3407EE59" w14:textId="0BDB9D0F" w:rsidR="002269C2" w:rsidRPr="004E3E07" w:rsidRDefault="007E25FF" w:rsidP="002269C2">
      <w:pPr>
        <w:numPr>
          <w:ilvl w:val="0"/>
          <w:numId w:val="5"/>
        </w:numPr>
        <w:shd w:val="clear" w:color="auto" w:fill="FFFFFF"/>
        <w:spacing w:after="0" w:line="240" w:lineRule="auto"/>
        <w:ind w:left="0" w:firstLine="720"/>
        <w:jc w:val="both"/>
        <w:rPr>
          <w:rFonts w:ascii="Cambria" w:eastAsia="Cambria" w:hAnsi="Cambria" w:cs="Cambria"/>
          <w:sz w:val="20"/>
          <w:szCs w:val="20"/>
          <w:lang w:val="es-MX"/>
        </w:rPr>
      </w:pPr>
      <w:r w:rsidRPr="004E3E07">
        <w:rPr>
          <w:rFonts w:ascii="Cambria" w:eastAsia="Cambria" w:hAnsi="Cambria" w:cs="Cambria"/>
          <w:sz w:val="20"/>
          <w:szCs w:val="20"/>
          <w:lang w:val="es-MX"/>
        </w:rPr>
        <w:t xml:space="preserve">Sobre la recomendación de </w:t>
      </w:r>
      <w:r w:rsidRPr="004E3E07">
        <w:rPr>
          <w:rFonts w:ascii="Cambria" w:eastAsia="Cambria" w:hAnsi="Cambria" w:cs="Cambria"/>
          <w:b/>
          <w:bCs/>
          <w:sz w:val="20"/>
          <w:szCs w:val="20"/>
          <w:lang w:val="es-MX"/>
        </w:rPr>
        <w:t>investigar, sancionar y reparar actos de violencia contra personas LGBT</w:t>
      </w:r>
      <w:r w:rsidRPr="004E3E07">
        <w:rPr>
          <w:rFonts w:ascii="Cambria" w:eastAsia="Cambria" w:hAnsi="Cambria" w:cs="Cambria"/>
          <w:b/>
          <w:bCs/>
          <w:sz w:val="20"/>
          <w:szCs w:val="20"/>
          <w:vertAlign w:val="superscript"/>
          <w:lang w:val="es-MX"/>
        </w:rPr>
        <w:footnoteReference w:id="203"/>
      </w:r>
      <w:r w:rsidRPr="004E3E07">
        <w:rPr>
          <w:rFonts w:ascii="Cambria" w:eastAsia="Cambria" w:hAnsi="Cambria" w:cs="Cambria"/>
          <w:sz w:val="20"/>
          <w:szCs w:val="20"/>
          <w:lang w:val="es-MX"/>
        </w:rPr>
        <w:t xml:space="preserve">, </w:t>
      </w:r>
      <w:r w:rsidR="002269C2" w:rsidRPr="004E3E07">
        <w:rPr>
          <w:rFonts w:ascii="Cambria" w:eastAsia="Cambria" w:hAnsi="Cambria" w:cs="Cambria"/>
          <w:sz w:val="20"/>
          <w:szCs w:val="20"/>
          <w:lang w:val="es-MX"/>
        </w:rPr>
        <w:t>el Estado aportó información sobre las quejas por discriminación recibidas y tramitadas por CONAPRED. El Estado indicó que, durante 2021, CONAPRED inició 25 expedientes de quejas por actos de discriminación contra personas LGBTI, de las cuales, 21 fueron atribuidas a particulares y 4 a personas con cargos públicos</w:t>
      </w:r>
      <w:r w:rsidR="002269C2" w:rsidRPr="004E3E07">
        <w:rPr>
          <w:rStyle w:val="FootnoteReference"/>
          <w:rFonts w:ascii="Cambria" w:eastAsia="Cambria" w:hAnsi="Cambria" w:cs="Cambria"/>
          <w:sz w:val="20"/>
          <w:szCs w:val="20"/>
          <w:lang w:val="es-MX"/>
        </w:rPr>
        <w:footnoteReference w:id="204"/>
      </w:r>
      <w:r w:rsidR="002269C2" w:rsidRPr="004E3E07">
        <w:rPr>
          <w:rFonts w:ascii="Cambria" w:eastAsia="Cambria" w:hAnsi="Cambria" w:cs="Cambria"/>
          <w:sz w:val="20"/>
          <w:szCs w:val="20"/>
          <w:lang w:val="es-MX"/>
        </w:rPr>
        <w:t xml:space="preserve">. </w:t>
      </w:r>
      <w:r w:rsidR="005A5137">
        <w:rPr>
          <w:rFonts w:ascii="Cambria" w:eastAsia="Cambria" w:hAnsi="Cambria" w:cs="Cambria"/>
          <w:sz w:val="20"/>
          <w:szCs w:val="20"/>
          <w:lang w:val="es-MX"/>
        </w:rPr>
        <w:t xml:space="preserve">La CNDH informó de la realización de diversas actividades de difusión del </w:t>
      </w:r>
      <w:r w:rsidR="00EF41B3">
        <w:rPr>
          <w:rFonts w:ascii="Cambria" w:eastAsia="Cambria" w:hAnsi="Cambria" w:cs="Cambria"/>
          <w:sz w:val="20"/>
          <w:szCs w:val="20"/>
          <w:lang w:val="es-MX"/>
        </w:rPr>
        <w:t>P</w:t>
      </w:r>
      <w:r w:rsidR="00EF41B3" w:rsidRPr="00EF41B3">
        <w:rPr>
          <w:rFonts w:ascii="Cambria" w:eastAsia="Cambria" w:hAnsi="Cambria" w:cs="Cambria"/>
          <w:sz w:val="20"/>
          <w:szCs w:val="20"/>
          <w:lang w:val="es-MX"/>
        </w:rPr>
        <w:t xml:space="preserve">rotocolo </w:t>
      </w:r>
      <w:r w:rsidR="00EF41B3">
        <w:rPr>
          <w:rFonts w:ascii="Cambria" w:eastAsia="Cambria" w:hAnsi="Cambria" w:cs="Cambria"/>
          <w:sz w:val="20"/>
          <w:szCs w:val="20"/>
          <w:lang w:val="es-MX"/>
        </w:rPr>
        <w:t>n</w:t>
      </w:r>
      <w:r w:rsidR="00EF41B3" w:rsidRPr="00EF41B3">
        <w:rPr>
          <w:rFonts w:ascii="Cambria" w:eastAsia="Cambria" w:hAnsi="Cambria" w:cs="Cambria"/>
          <w:sz w:val="20"/>
          <w:szCs w:val="20"/>
          <w:lang w:val="es-MX"/>
        </w:rPr>
        <w:t>acional de actuación para el personal de las instancias de procuración de justicia del país, en casos que involucren la orientación sexual o la identidad de género</w:t>
      </w:r>
      <w:r w:rsidR="00EF41B3">
        <w:rPr>
          <w:rFonts w:ascii="Cambria" w:eastAsia="Cambria" w:hAnsi="Cambria" w:cs="Cambria"/>
          <w:sz w:val="20"/>
          <w:szCs w:val="20"/>
          <w:lang w:val="es-MX"/>
        </w:rPr>
        <w:t xml:space="preserve"> con órganos de procuración de justicia</w:t>
      </w:r>
      <w:r w:rsidR="00EF41B3">
        <w:rPr>
          <w:rStyle w:val="FootnoteReference"/>
          <w:rFonts w:ascii="Cambria" w:eastAsia="Cambria" w:hAnsi="Cambria" w:cs="Cambria"/>
          <w:sz w:val="20"/>
          <w:szCs w:val="20"/>
          <w:lang w:val="es-MX"/>
        </w:rPr>
        <w:footnoteReference w:id="205"/>
      </w:r>
      <w:r w:rsidR="00EF41B3">
        <w:rPr>
          <w:rFonts w:ascii="Cambria" w:eastAsia="Cambria" w:hAnsi="Cambria" w:cs="Cambria"/>
          <w:sz w:val="20"/>
          <w:szCs w:val="20"/>
          <w:lang w:val="es-MX"/>
        </w:rPr>
        <w:t>.</w:t>
      </w:r>
    </w:p>
    <w:p w14:paraId="2BC0D5F0" w14:textId="77777777" w:rsidR="002269C2" w:rsidRPr="004E3E07" w:rsidRDefault="002269C2" w:rsidP="002269C2">
      <w:pPr>
        <w:shd w:val="clear" w:color="auto" w:fill="FFFFFF"/>
        <w:spacing w:after="0" w:line="240" w:lineRule="auto"/>
        <w:ind w:left="720"/>
        <w:jc w:val="both"/>
        <w:rPr>
          <w:rFonts w:ascii="Cambria" w:eastAsia="Cambria" w:hAnsi="Cambria" w:cs="Cambria"/>
          <w:sz w:val="20"/>
          <w:szCs w:val="20"/>
          <w:lang w:val="es-MX"/>
        </w:rPr>
      </w:pPr>
    </w:p>
    <w:p w14:paraId="34E48EED" w14:textId="4B122567" w:rsidR="002269C2" w:rsidRPr="004E3E07" w:rsidRDefault="002269C2" w:rsidP="002269C2">
      <w:pPr>
        <w:numPr>
          <w:ilvl w:val="0"/>
          <w:numId w:val="5"/>
        </w:numPr>
        <w:shd w:val="clear" w:color="auto" w:fill="FFFFFF"/>
        <w:spacing w:after="0" w:line="240" w:lineRule="auto"/>
        <w:ind w:left="0" w:firstLine="720"/>
        <w:jc w:val="both"/>
        <w:rPr>
          <w:rFonts w:ascii="Cambria" w:eastAsia="Cambria" w:hAnsi="Cambria" w:cs="Cambria"/>
          <w:sz w:val="20"/>
          <w:szCs w:val="20"/>
          <w:lang w:val="es-MX"/>
        </w:rPr>
      </w:pPr>
      <w:r w:rsidRPr="004E3E07">
        <w:rPr>
          <w:rFonts w:ascii="Cambria" w:eastAsia="Cambria" w:hAnsi="Cambria" w:cs="Cambria"/>
          <w:sz w:val="20"/>
          <w:szCs w:val="20"/>
          <w:lang w:val="es-MX"/>
        </w:rPr>
        <w:t xml:space="preserve">La Comisión reconoce el trabajo que realiza CONAPRED como institución rectora para promover políticas y medidas para la inclusión social y la igualdad. Asimismo, la CIDH </w:t>
      </w:r>
      <w:r w:rsidR="000C1A71">
        <w:rPr>
          <w:rFonts w:ascii="Cambria" w:eastAsia="Cambria" w:hAnsi="Cambria" w:cs="Cambria"/>
          <w:sz w:val="20"/>
          <w:szCs w:val="20"/>
          <w:lang w:val="es-MX"/>
        </w:rPr>
        <w:t>valora</w:t>
      </w:r>
      <w:r w:rsidRPr="004E3E07">
        <w:rPr>
          <w:rFonts w:ascii="Cambria" w:eastAsia="Cambria" w:hAnsi="Cambria" w:cs="Cambria"/>
          <w:sz w:val="20"/>
          <w:szCs w:val="20"/>
          <w:lang w:val="es-MX"/>
        </w:rPr>
        <w:t xml:space="preserve"> la existencia de protocolos nacionales para garantizar el acceso a la justicia en casos relacionados con discriminación basada en orientación sexual, identidad y expresión de género</w:t>
      </w:r>
      <w:r w:rsidRPr="004E3E07">
        <w:rPr>
          <w:rStyle w:val="FootnoteReference"/>
          <w:rFonts w:ascii="Cambria" w:eastAsia="Cambria" w:hAnsi="Cambria" w:cs="Cambria"/>
          <w:sz w:val="20"/>
          <w:szCs w:val="20"/>
          <w:lang w:val="es-MX"/>
        </w:rPr>
        <w:footnoteReference w:id="206"/>
      </w:r>
      <w:r w:rsidRPr="004E3E07">
        <w:rPr>
          <w:rFonts w:ascii="Cambria" w:eastAsia="Cambria" w:hAnsi="Cambria" w:cs="Cambria"/>
          <w:sz w:val="20"/>
          <w:szCs w:val="20"/>
          <w:lang w:val="es-MX"/>
        </w:rPr>
        <w:t xml:space="preserve"> y la incorporación del elemento de odio como agravante por orientación sexual, identidad y expresión de género en el delito de homicidio en Quintana Roo</w:t>
      </w:r>
      <w:r w:rsidRPr="004E3E07">
        <w:rPr>
          <w:rStyle w:val="FootnoteReference"/>
          <w:rFonts w:ascii="Cambria" w:eastAsia="Cambria" w:hAnsi="Cambria" w:cs="Cambria"/>
          <w:sz w:val="20"/>
          <w:szCs w:val="20"/>
          <w:lang w:val="es-MX"/>
        </w:rPr>
        <w:footnoteReference w:id="207"/>
      </w:r>
      <w:r w:rsidRPr="004E3E07">
        <w:rPr>
          <w:rFonts w:ascii="Cambria" w:eastAsia="Cambria" w:hAnsi="Cambria" w:cs="Cambria"/>
          <w:sz w:val="20"/>
          <w:szCs w:val="20"/>
          <w:lang w:val="es-MX"/>
        </w:rPr>
        <w:t>. Además, la CIDH saluda el acto de pedido de perdón realizado por la Fiscalía de la Ciudad de México ante las deficiencias en las investigaciones del transfemicidio de Paola Buenrostro, ocurrido en 2016</w:t>
      </w:r>
      <w:r w:rsidRPr="004E3E07">
        <w:rPr>
          <w:rStyle w:val="FootnoteReference"/>
          <w:rFonts w:ascii="Cambria" w:eastAsia="Cambria" w:hAnsi="Cambria" w:cs="Cambria"/>
          <w:sz w:val="20"/>
          <w:szCs w:val="20"/>
          <w:lang w:val="es-MX"/>
        </w:rPr>
        <w:footnoteReference w:id="208"/>
      </w:r>
      <w:r w:rsidRPr="004E3E07">
        <w:rPr>
          <w:rFonts w:ascii="Cambria" w:eastAsia="Cambria" w:hAnsi="Cambria" w:cs="Cambria"/>
          <w:sz w:val="20"/>
          <w:szCs w:val="20"/>
          <w:lang w:val="es-MX"/>
        </w:rPr>
        <w:t xml:space="preserve">. </w:t>
      </w:r>
    </w:p>
    <w:p w14:paraId="2B94222C" w14:textId="77777777" w:rsidR="002269C2" w:rsidRPr="004E3E07" w:rsidRDefault="002269C2" w:rsidP="002269C2">
      <w:pPr>
        <w:shd w:val="clear" w:color="auto" w:fill="FFFFFF"/>
        <w:spacing w:after="0" w:line="240" w:lineRule="auto"/>
        <w:ind w:left="720"/>
        <w:jc w:val="both"/>
        <w:rPr>
          <w:rFonts w:ascii="Cambria" w:eastAsia="Cambria" w:hAnsi="Cambria" w:cs="Cambria"/>
          <w:sz w:val="20"/>
          <w:szCs w:val="20"/>
          <w:lang w:val="es-MX"/>
        </w:rPr>
      </w:pPr>
    </w:p>
    <w:p w14:paraId="5B84446F" w14:textId="597652D0" w:rsidR="002269C2" w:rsidRPr="004E3E07" w:rsidRDefault="002269C2" w:rsidP="002269C2">
      <w:pPr>
        <w:numPr>
          <w:ilvl w:val="0"/>
          <w:numId w:val="5"/>
        </w:numPr>
        <w:shd w:val="clear" w:color="auto" w:fill="FFFFFF"/>
        <w:spacing w:after="0" w:line="240" w:lineRule="auto"/>
        <w:ind w:left="0" w:firstLine="720"/>
        <w:jc w:val="both"/>
        <w:rPr>
          <w:rFonts w:ascii="Cambria" w:eastAsia="Cambria" w:hAnsi="Cambria" w:cs="Cambria"/>
          <w:sz w:val="20"/>
          <w:szCs w:val="20"/>
          <w:lang w:val="es-MX"/>
        </w:rPr>
      </w:pPr>
      <w:r w:rsidRPr="004E3E07">
        <w:rPr>
          <w:rFonts w:ascii="Cambria" w:eastAsia="Cambria" w:hAnsi="Cambria" w:cs="Cambria"/>
          <w:sz w:val="20"/>
          <w:szCs w:val="20"/>
          <w:lang w:val="es-MX"/>
        </w:rPr>
        <w:t xml:space="preserve">Sin embargo, la información remitida por el Estado no incluye información específica relativa a medidas adoptadas durante 2021 para la garantía de la debida diligencia en las investigaciones, sanciones y reparaciones por actos de violencia contra las personas LGBTI y quienes son percibidas como tales en el país los cuales, según la información disponible, continúan reportándose con características alarmantes. </w:t>
      </w:r>
    </w:p>
    <w:p w14:paraId="74F12F50" w14:textId="77777777" w:rsidR="002269C2" w:rsidRPr="004E3E07" w:rsidRDefault="002269C2" w:rsidP="002269C2">
      <w:pPr>
        <w:shd w:val="clear" w:color="auto" w:fill="FFFFFF"/>
        <w:spacing w:after="0" w:line="240" w:lineRule="auto"/>
        <w:ind w:left="720"/>
        <w:jc w:val="both"/>
        <w:rPr>
          <w:rFonts w:ascii="Cambria" w:eastAsia="Cambria" w:hAnsi="Cambria" w:cs="Cambria"/>
          <w:sz w:val="20"/>
          <w:szCs w:val="20"/>
          <w:lang w:val="es-MX"/>
        </w:rPr>
      </w:pPr>
    </w:p>
    <w:p w14:paraId="6259E8F0" w14:textId="5CC0EE8A" w:rsidR="003C176D" w:rsidRDefault="000F4D0E" w:rsidP="003C176D">
      <w:pPr>
        <w:numPr>
          <w:ilvl w:val="0"/>
          <w:numId w:val="5"/>
        </w:numPr>
        <w:shd w:val="clear" w:color="auto" w:fill="FFFFFF"/>
        <w:spacing w:after="0" w:line="240" w:lineRule="auto"/>
        <w:ind w:left="0" w:firstLine="720"/>
        <w:jc w:val="both"/>
        <w:rPr>
          <w:rFonts w:ascii="Cambria" w:eastAsia="Cambria" w:hAnsi="Cambria" w:cs="Cambria"/>
          <w:sz w:val="20"/>
          <w:szCs w:val="20"/>
          <w:lang w:val="es-MX"/>
        </w:rPr>
      </w:pPr>
      <w:r>
        <w:rPr>
          <w:rFonts w:ascii="Cambria" w:eastAsia="Cambria" w:hAnsi="Cambria" w:cs="Cambria"/>
          <w:sz w:val="20"/>
          <w:szCs w:val="20"/>
          <w:lang w:val="es-MX"/>
        </w:rPr>
        <w:t>A partir de información pública, l</w:t>
      </w:r>
      <w:r w:rsidR="002269C2" w:rsidRPr="004E3E07">
        <w:rPr>
          <w:rFonts w:ascii="Cambria" w:eastAsia="Cambria" w:hAnsi="Cambria" w:cs="Cambria"/>
          <w:sz w:val="20"/>
          <w:szCs w:val="20"/>
          <w:lang w:val="es-MX"/>
        </w:rPr>
        <w:t>a Comisión Interamericana adv</w:t>
      </w:r>
      <w:r>
        <w:rPr>
          <w:rFonts w:ascii="Cambria" w:eastAsia="Cambria" w:hAnsi="Cambria" w:cs="Cambria"/>
          <w:sz w:val="20"/>
          <w:szCs w:val="20"/>
          <w:lang w:val="es-MX"/>
        </w:rPr>
        <w:t>ierte</w:t>
      </w:r>
      <w:r w:rsidR="002269C2" w:rsidRPr="004E3E07">
        <w:rPr>
          <w:rFonts w:ascii="Cambria" w:eastAsia="Cambria" w:hAnsi="Cambria" w:cs="Cambria"/>
          <w:sz w:val="20"/>
          <w:szCs w:val="20"/>
          <w:lang w:val="es-MX"/>
        </w:rPr>
        <w:t xml:space="preserve"> un contexto </w:t>
      </w:r>
      <w:r>
        <w:rPr>
          <w:rFonts w:ascii="Cambria" w:eastAsia="Cambria" w:hAnsi="Cambria" w:cs="Cambria"/>
          <w:sz w:val="20"/>
          <w:szCs w:val="20"/>
          <w:lang w:val="es-MX"/>
        </w:rPr>
        <w:t>desafiante</w:t>
      </w:r>
      <w:r w:rsidR="002269C2" w:rsidRPr="004E3E07">
        <w:rPr>
          <w:rFonts w:ascii="Cambria" w:eastAsia="Cambria" w:hAnsi="Cambria" w:cs="Cambria"/>
          <w:sz w:val="20"/>
          <w:szCs w:val="20"/>
          <w:lang w:val="es-MX"/>
        </w:rPr>
        <w:t xml:space="preserve"> en el que los derechos a la vida e integridad personal, seguridad personal y acceso a la justicia de las personas LGBTI se ven amenazados. Al respecto, según información de sociedad civil, entre enero y octubre de 2021 se reportaron al menos 374 incidentes de violencia y discriminación cometidos contra personas LGBTI</w:t>
      </w:r>
      <w:r w:rsidR="002269C2" w:rsidRPr="004E3E07">
        <w:rPr>
          <w:rStyle w:val="FootnoteReference"/>
          <w:rFonts w:ascii="Cambria" w:eastAsia="Cambria" w:hAnsi="Cambria" w:cs="Cambria"/>
          <w:sz w:val="20"/>
          <w:szCs w:val="20"/>
          <w:lang w:val="es-MX"/>
        </w:rPr>
        <w:footnoteReference w:id="209"/>
      </w:r>
      <w:r w:rsidR="002269C2" w:rsidRPr="004E3E07">
        <w:rPr>
          <w:rFonts w:ascii="Cambria" w:eastAsia="Cambria" w:hAnsi="Cambria" w:cs="Cambria"/>
          <w:sz w:val="20"/>
          <w:szCs w:val="20"/>
          <w:lang w:val="es-MX"/>
        </w:rPr>
        <w:t>, incluyendo 68 asesinatos que estarían motivados por el prejuicio</w:t>
      </w:r>
      <w:r w:rsidR="002269C2" w:rsidRPr="004E3E07">
        <w:rPr>
          <w:rFonts w:ascii="Cambria" w:hAnsi="Cambria"/>
          <w:sz w:val="20"/>
          <w:szCs w:val="20"/>
          <w:vertAlign w:val="superscript"/>
          <w:lang w:val="es-MX"/>
        </w:rPr>
        <w:footnoteReference w:id="210"/>
      </w:r>
      <w:r w:rsidR="002269C2" w:rsidRPr="004E3E07">
        <w:rPr>
          <w:rFonts w:ascii="Cambria" w:eastAsia="Cambria" w:hAnsi="Cambria" w:cs="Cambria"/>
          <w:sz w:val="20"/>
          <w:szCs w:val="20"/>
          <w:lang w:val="es-MX"/>
        </w:rPr>
        <w:t>, con un número preocupante de casos que, debido a la existencia de indicios preliminares y el contexto en el que se cometieron, podrían calificarse como asesinatos por prejuicios contra las identidades y expresiones de género de mujeres trans o transfemicidios</w:t>
      </w:r>
      <w:r w:rsidR="002269C2" w:rsidRPr="004E3E07">
        <w:rPr>
          <w:rStyle w:val="FootnoteReference"/>
          <w:rFonts w:ascii="Cambria" w:eastAsia="Cambria" w:hAnsi="Cambria" w:cs="Cambria"/>
          <w:sz w:val="20"/>
          <w:szCs w:val="20"/>
          <w:lang w:val="es-MX"/>
        </w:rPr>
        <w:footnoteReference w:id="211"/>
      </w:r>
      <w:r w:rsidR="002269C2" w:rsidRPr="004E3E07">
        <w:rPr>
          <w:rFonts w:ascii="Cambria" w:eastAsia="Cambria" w:hAnsi="Cambria" w:cs="Cambria"/>
          <w:sz w:val="20"/>
          <w:szCs w:val="20"/>
          <w:lang w:val="es-MX"/>
        </w:rPr>
        <w:t>.</w:t>
      </w:r>
      <w:r w:rsidR="003C176D">
        <w:rPr>
          <w:rFonts w:ascii="Cambria" w:eastAsia="Cambria" w:hAnsi="Cambria" w:cs="Cambria"/>
          <w:sz w:val="20"/>
          <w:szCs w:val="20"/>
          <w:lang w:val="es-MX"/>
        </w:rPr>
        <w:t xml:space="preserve"> Esto, </w:t>
      </w:r>
      <w:r w:rsidR="002269C2" w:rsidRPr="003C176D">
        <w:rPr>
          <w:rFonts w:ascii="Cambria" w:eastAsia="Cambria" w:hAnsi="Cambria" w:cs="Cambria"/>
          <w:sz w:val="20"/>
          <w:szCs w:val="20"/>
          <w:lang w:val="es-MX"/>
        </w:rPr>
        <w:t>refleja la continua necesidad de que el Estado tome medidas urgentes para actuar bajo el deber de la debida diligencia en la investigación, sanción y reparación de actos de violencia contra las personas LGBTI de una manera libre de estereotipos, así como acciones para la prevención a la luz de la siguiente recomendación contenida en esta sección.</w:t>
      </w:r>
    </w:p>
    <w:p w14:paraId="46D17D29" w14:textId="77777777" w:rsidR="003C176D" w:rsidRPr="003C176D" w:rsidRDefault="003C176D" w:rsidP="003C176D">
      <w:pPr>
        <w:shd w:val="clear" w:color="auto" w:fill="FFFFFF"/>
        <w:spacing w:after="0" w:line="240" w:lineRule="auto"/>
        <w:jc w:val="both"/>
        <w:rPr>
          <w:rFonts w:ascii="Cambria" w:eastAsia="Cambria" w:hAnsi="Cambria" w:cs="Cambria"/>
          <w:sz w:val="20"/>
          <w:szCs w:val="20"/>
          <w:lang w:val="es-MX"/>
        </w:rPr>
      </w:pPr>
    </w:p>
    <w:p w14:paraId="3D6E22B7" w14:textId="10890A2C" w:rsidR="002269C2" w:rsidRDefault="002C1860" w:rsidP="005841CF">
      <w:pPr>
        <w:numPr>
          <w:ilvl w:val="0"/>
          <w:numId w:val="5"/>
        </w:numPr>
        <w:shd w:val="clear" w:color="auto" w:fill="FFFFFF"/>
        <w:spacing w:after="0" w:line="240" w:lineRule="auto"/>
        <w:ind w:left="0" w:firstLine="720"/>
        <w:jc w:val="both"/>
        <w:rPr>
          <w:rFonts w:ascii="Cambria" w:eastAsia="Cambria" w:hAnsi="Cambria" w:cs="Cambria"/>
          <w:sz w:val="20"/>
          <w:szCs w:val="20"/>
          <w:lang w:val="es-MX"/>
        </w:rPr>
      </w:pPr>
      <w:r>
        <w:rPr>
          <w:rFonts w:ascii="Cambria" w:eastAsia="Cambria" w:hAnsi="Cambria" w:cs="Cambria"/>
          <w:sz w:val="20"/>
          <w:szCs w:val="20"/>
          <w:lang w:val="es-MX"/>
        </w:rPr>
        <w:t>La CIDH</w:t>
      </w:r>
      <w:r w:rsidR="00E47712">
        <w:rPr>
          <w:rFonts w:ascii="Cambria" w:eastAsia="Cambria" w:hAnsi="Cambria" w:cs="Cambria"/>
          <w:sz w:val="20"/>
          <w:szCs w:val="20"/>
          <w:lang w:val="es-MX"/>
        </w:rPr>
        <w:t xml:space="preserve"> recibió reportes de la ocurrencia de homicidios</w:t>
      </w:r>
      <w:r w:rsidR="008F28FE">
        <w:rPr>
          <w:rFonts w:ascii="Cambria" w:eastAsia="Cambria" w:hAnsi="Cambria" w:cs="Cambria"/>
          <w:sz w:val="20"/>
          <w:szCs w:val="20"/>
          <w:lang w:val="es-MX"/>
        </w:rPr>
        <w:t xml:space="preserve"> y </w:t>
      </w:r>
      <w:r w:rsidR="00E47712">
        <w:rPr>
          <w:rFonts w:ascii="Cambria" w:eastAsia="Cambria" w:hAnsi="Cambria" w:cs="Cambria"/>
          <w:sz w:val="20"/>
          <w:szCs w:val="20"/>
          <w:lang w:val="es-MX"/>
        </w:rPr>
        <w:t>transfeminicidios</w:t>
      </w:r>
      <w:r w:rsidR="005D3A37">
        <w:rPr>
          <w:rFonts w:ascii="Cambria" w:eastAsia="Cambria" w:hAnsi="Cambria" w:cs="Cambria"/>
          <w:sz w:val="20"/>
          <w:szCs w:val="20"/>
          <w:lang w:val="es-MX"/>
        </w:rPr>
        <w:t xml:space="preserve"> en Baja California</w:t>
      </w:r>
      <w:r w:rsidR="00AE66F9">
        <w:rPr>
          <w:rStyle w:val="FootnoteReference"/>
          <w:rFonts w:ascii="Cambria" w:eastAsia="Cambria" w:hAnsi="Cambria" w:cs="Cambria"/>
          <w:sz w:val="20"/>
          <w:szCs w:val="20"/>
          <w:lang w:val="es-MX"/>
        </w:rPr>
        <w:footnoteReference w:id="212"/>
      </w:r>
      <w:r w:rsidR="00151EFF">
        <w:rPr>
          <w:rFonts w:ascii="Cambria" w:eastAsia="Cambria" w:hAnsi="Cambria" w:cs="Cambria"/>
          <w:sz w:val="20"/>
          <w:szCs w:val="20"/>
          <w:lang w:val="es-MX"/>
        </w:rPr>
        <w:t xml:space="preserve">, </w:t>
      </w:r>
      <w:r w:rsidR="00822331">
        <w:rPr>
          <w:rFonts w:ascii="Cambria" w:eastAsia="Cambria" w:hAnsi="Cambria" w:cs="Cambria"/>
          <w:sz w:val="20"/>
          <w:szCs w:val="20"/>
          <w:lang w:val="es-MX"/>
        </w:rPr>
        <w:t>Colima</w:t>
      </w:r>
      <w:r w:rsidR="00822331">
        <w:rPr>
          <w:rStyle w:val="FootnoteReference"/>
          <w:rFonts w:ascii="Cambria" w:eastAsia="Cambria" w:hAnsi="Cambria" w:cs="Cambria"/>
          <w:sz w:val="20"/>
          <w:szCs w:val="20"/>
          <w:lang w:val="es-MX"/>
        </w:rPr>
        <w:footnoteReference w:id="213"/>
      </w:r>
      <w:r w:rsidR="00822331">
        <w:rPr>
          <w:rFonts w:ascii="Cambria" w:eastAsia="Cambria" w:hAnsi="Cambria" w:cs="Cambria"/>
          <w:sz w:val="20"/>
          <w:szCs w:val="20"/>
          <w:lang w:val="es-MX"/>
        </w:rPr>
        <w:t xml:space="preserve">, </w:t>
      </w:r>
      <w:r w:rsidR="003C176D">
        <w:rPr>
          <w:rFonts w:ascii="Cambria" w:eastAsia="Cambria" w:hAnsi="Cambria" w:cs="Cambria"/>
          <w:sz w:val="20"/>
          <w:szCs w:val="20"/>
          <w:lang w:val="es-MX"/>
        </w:rPr>
        <w:t>Ciudad de México</w:t>
      </w:r>
      <w:r w:rsidR="003C176D" w:rsidRPr="004E3E07">
        <w:rPr>
          <w:rStyle w:val="FootnoteReference"/>
          <w:rFonts w:ascii="Cambria" w:eastAsia="Cambria" w:hAnsi="Cambria" w:cs="Cambria"/>
          <w:sz w:val="20"/>
          <w:szCs w:val="20"/>
          <w:lang w:val="es-MX"/>
        </w:rPr>
        <w:footnoteReference w:id="214"/>
      </w:r>
      <w:r w:rsidR="003C176D">
        <w:rPr>
          <w:rFonts w:ascii="Cambria" w:eastAsia="Cambria" w:hAnsi="Cambria" w:cs="Cambria"/>
          <w:sz w:val="20"/>
          <w:szCs w:val="20"/>
          <w:lang w:val="es-MX"/>
        </w:rPr>
        <w:t xml:space="preserve">, </w:t>
      </w:r>
      <w:r w:rsidR="00151EFF">
        <w:rPr>
          <w:rFonts w:ascii="Cambria" w:eastAsia="Cambria" w:hAnsi="Cambria" w:cs="Cambria"/>
          <w:sz w:val="20"/>
          <w:szCs w:val="20"/>
          <w:lang w:val="es-MX"/>
        </w:rPr>
        <w:t>Estado de México</w:t>
      </w:r>
      <w:r w:rsidR="00151EFF">
        <w:rPr>
          <w:rStyle w:val="FootnoteReference"/>
          <w:rFonts w:ascii="Cambria" w:eastAsia="Cambria" w:hAnsi="Cambria" w:cs="Cambria"/>
          <w:sz w:val="20"/>
          <w:szCs w:val="20"/>
          <w:lang w:val="es-MX"/>
        </w:rPr>
        <w:footnoteReference w:id="215"/>
      </w:r>
      <w:r w:rsidR="002C55BC">
        <w:rPr>
          <w:rFonts w:ascii="Cambria" w:eastAsia="Cambria" w:hAnsi="Cambria" w:cs="Cambria"/>
          <w:sz w:val="20"/>
          <w:szCs w:val="20"/>
          <w:lang w:val="es-MX"/>
        </w:rPr>
        <w:t>, Guanaju</w:t>
      </w:r>
      <w:r w:rsidR="00A43D43">
        <w:rPr>
          <w:rFonts w:ascii="Cambria" w:eastAsia="Cambria" w:hAnsi="Cambria" w:cs="Cambria"/>
          <w:sz w:val="20"/>
          <w:szCs w:val="20"/>
          <w:lang w:val="es-MX"/>
        </w:rPr>
        <w:t>a</w:t>
      </w:r>
      <w:r w:rsidR="002C55BC">
        <w:rPr>
          <w:rFonts w:ascii="Cambria" w:eastAsia="Cambria" w:hAnsi="Cambria" w:cs="Cambria"/>
          <w:sz w:val="20"/>
          <w:szCs w:val="20"/>
          <w:lang w:val="es-MX"/>
        </w:rPr>
        <w:t>to</w:t>
      </w:r>
      <w:r w:rsidR="00A43D43">
        <w:rPr>
          <w:rStyle w:val="FootnoteReference"/>
          <w:rFonts w:ascii="Cambria" w:eastAsia="Cambria" w:hAnsi="Cambria" w:cs="Cambria"/>
          <w:sz w:val="20"/>
          <w:szCs w:val="20"/>
          <w:lang w:val="es-MX"/>
        </w:rPr>
        <w:footnoteReference w:id="216"/>
      </w:r>
      <w:r w:rsidR="00A43D43">
        <w:rPr>
          <w:rFonts w:ascii="Cambria" w:eastAsia="Cambria" w:hAnsi="Cambria" w:cs="Cambria"/>
          <w:sz w:val="20"/>
          <w:szCs w:val="20"/>
          <w:lang w:val="es-MX"/>
        </w:rPr>
        <w:t xml:space="preserve">, </w:t>
      </w:r>
      <w:r w:rsidR="00556319">
        <w:rPr>
          <w:rFonts w:ascii="Cambria" w:eastAsia="Cambria" w:hAnsi="Cambria" w:cs="Cambria"/>
          <w:sz w:val="20"/>
          <w:szCs w:val="20"/>
          <w:lang w:val="es-MX"/>
        </w:rPr>
        <w:t>Jalisco</w:t>
      </w:r>
      <w:r w:rsidR="00556319" w:rsidRPr="004E3E07">
        <w:rPr>
          <w:rStyle w:val="FootnoteReference"/>
          <w:rFonts w:ascii="Cambria" w:eastAsia="Cambria" w:hAnsi="Cambria" w:cs="Cambria"/>
          <w:sz w:val="20"/>
          <w:szCs w:val="20"/>
          <w:lang w:val="es-MX"/>
        </w:rPr>
        <w:footnoteReference w:id="217"/>
      </w:r>
      <w:r w:rsidR="00556319">
        <w:rPr>
          <w:rFonts w:ascii="Cambria" w:eastAsia="Cambria" w:hAnsi="Cambria" w:cs="Cambria"/>
          <w:sz w:val="20"/>
          <w:szCs w:val="20"/>
          <w:lang w:val="es-MX"/>
        </w:rPr>
        <w:t xml:space="preserve">, </w:t>
      </w:r>
      <w:r w:rsidR="005B7074">
        <w:rPr>
          <w:rFonts w:ascii="Cambria" w:eastAsia="Cambria" w:hAnsi="Cambria" w:cs="Cambria"/>
          <w:sz w:val="20"/>
          <w:szCs w:val="20"/>
          <w:lang w:val="es-MX"/>
        </w:rPr>
        <w:t>Puebla</w:t>
      </w:r>
      <w:r w:rsidR="005B7074" w:rsidRPr="004E3E07">
        <w:rPr>
          <w:rStyle w:val="FootnoteReference"/>
          <w:rFonts w:ascii="Cambria" w:eastAsia="Cambria" w:hAnsi="Cambria" w:cs="Cambria"/>
          <w:sz w:val="20"/>
          <w:szCs w:val="20"/>
          <w:lang w:val="es-MX"/>
        </w:rPr>
        <w:footnoteReference w:id="218"/>
      </w:r>
      <w:r w:rsidR="005B7074">
        <w:rPr>
          <w:rFonts w:ascii="Cambria" w:eastAsia="Cambria" w:hAnsi="Cambria" w:cs="Cambria"/>
          <w:sz w:val="20"/>
          <w:szCs w:val="20"/>
          <w:lang w:val="es-MX"/>
        </w:rPr>
        <w:t xml:space="preserve">, </w:t>
      </w:r>
      <w:r w:rsidR="003C176D">
        <w:rPr>
          <w:rFonts w:ascii="Cambria" w:eastAsia="Cambria" w:hAnsi="Cambria" w:cs="Cambria"/>
          <w:sz w:val="20"/>
          <w:szCs w:val="20"/>
          <w:lang w:val="es-MX"/>
        </w:rPr>
        <w:t>Quintana Roo</w:t>
      </w:r>
      <w:r w:rsidR="003C176D" w:rsidRPr="004E3E07">
        <w:rPr>
          <w:rStyle w:val="FootnoteReference"/>
          <w:rFonts w:ascii="Cambria" w:eastAsia="Cambria" w:hAnsi="Cambria" w:cs="Cambria"/>
          <w:sz w:val="20"/>
          <w:szCs w:val="20"/>
          <w:lang w:val="es-MX"/>
        </w:rPr>
        <w:footnoteReference w:id="219"/>
      </w:r>
      <w:r w:rsidR="003C176D">
        <w:rPr>
          <w:rFonts w:ascii="Cambria" w:eastAsia="Cambria" w:hAnsi="Cambria" w:cs="Cambria"/>
          <w:sz w:val="20"/>
          <w:szCs w:val="20"/>
          <w:lang w:val="es-MX"/>
        </w:rPr>
        <w:t>,</w:t>
      </w:r>
      <w:r w:rsidR="005B7074">
        <w:rPr>
          <w:rFonts w:ascii="Cambria" w:eastAsia="Cambria" w:hAnsi="Cambria" w:cs="Cambria"/>
          <w:sz w:val="20"/>
          <w:szCs w:val="20"/>
          <w:lang w:val="es-MX"/>
        </w:rPr>
        <w:t xml:space="preserve"> Veracruz</w:t>
      </w:r>
      <w:r w:rsidR="005B7074">
        <w:rPr>
          <w:rStyle w:val="FootnoteReference"/>
          <w:rFonts w:ascii="Cambria" w:eastAsia="Cambria" w:hAnsi="Cambria" w:cs="Cambria"/>
          <w:sz w:val="20"/>
          <w:szCs w:val="20"/>
          <w:lang w:val="es-MX"/>
        </w:rPr>
        <w:footnoteReference w:id="220"/>
      </w:r>
      <w:r w:rsidR="005B7074">
        <w:rPr>
          <w:rFonts w:ascii="Cambria" w:eastAsia="Cambria" w:hAnsi="Cambria" w:cs="Cambria"/>
          <w:sz w:val="20"/>
          <w:szCs w:val="20"/>
          <w:lang w:val="es-MX"/>
        </w:rPr>
        <w:t xml:space="preserve"> </w:t>
      </w:r>
      <w:r w:rsidR="003C176D">
        <w:rPr>
          <w:rFonts w:ascii="Cambria" w:eastAsia="Cambria" w:hAnsi="Cambria" w:cs="Cambria"/>
          <w:sz w:val="20"/>
          <w:szCs w:val="20"/>
          <w:lang w:val="es-MX"/>
        </w:rPr>
        <w:t>y Yucatán</w:t>
      </w:r>
      <w:r w:rsidR="003C176D" w:rsidRPr="004E3E07">
        <w:rPr>
          <w:rStyle w:val="FootnoteReference"/>
          <w:rFonts w:ascii="Cambria" w:eastAsia="Cambria" w:hAnsi="Cambria" w:cs="Cambria"/>
          <w:sz w:val="20"/>
          <w:szCs w:val="20"/>
          <w:lang w:val="es-MX"/>
        </w:rPr>
        <w:footnoteReference w:id="221"/>
      </w:r>
      <w:r w:rsidR="003C176D">
        <w:rPr>
          <w:rFonts w:ascii="Cambria" w:eastAsia="Cambria" w:hAnsi="Cambria" w:cs="Cambria"/>
          <w:sz w:val="20"/>
          <w:szCs w:val="20"/>
          <w:lang w:val="es-MX"/>
        </w:rPr>
        <w:t xml:space="preserve">. </w:t>
      </w:r>
      <w:r w:rsidR="000C1A71">
        <w:rPr>
          <w:rFonts w:ascii="Cambria" w:eastAsia="Cambria" w:hAnsi="Cambria" w:cs="Cambria"/>
          <w:sz w:val="20"/>
          <w:szCs w:val="20"/>
          <w:lang w:val="es-MX"/>
        </w:rPr>
        <w:t>Además, l</w:t>
      </w:r>
      <w:r w:rsidR="002269C2" w:rsidRPr="000C1A71">
        <w:rPr>
          <w:rFonts w:ascii="Cambria" w:eastAsia="Cambria" w:hAnsi="Cambria" w:cs="Cambria"/>
          <w:sz w:val="20"/>
          <w:szCs w:val="20"/>
          <w:lang w:val="es-MX"/>
        </w:rPr>
        <w:t>a</w:t>
      </w:r>
      <w:r w:rsidR="002269C2" w:rsidRPr="004E3E07">
        <w:rPr>
          <w:rFonts w:ascii="Cambria" w:eastAsia="Cambria" w:hAnsi="Cambria" w:cs="Cambria"/>
          <w:sz w:val="20"/>
          <w:szCs w:val="20"/>
          <w:lang w:val="es-MX"/>
        </w:rPr>
        <w:t xml:space="preserve"> Comisión tuvo conocimiento de agresiones físicas sufridas </w:t>
      </w:r>
      <w:r w:rsidR="003C176D">
        <w:rPr>
          <w:rFonts w:ascii="Cambria" w:eastAsia="Cambria" w:hAnsi="Cambria" w:cs="Cambria"/>
          <w:sz w:val="20"/>
          <w:szCs w:val="20"/>
          <w:lang w:val="es-MX"/>
        </w:rPr>
        <w:t>en el marco de protestas sociales</w:t>
      </w:r>
      <w:r w:rsidR="003C176D" w:rsidRPr="004E3E07">
        <w:rPr>
          <w:rStyle w:val="FootnoteReference"/>
          <w:rFonts w:ascii="Cambria" w:eastAsia="Cambria" w:hAnsi="Cambria" w:cs="Cambria"/>
          <w:sz w:val="20"/>
          <w:szCs w:val="20"/>
          <w:lang w:val="es-MX"/>
        </w:rPr>
        <w:footnoteReference w:id="222"/>
      </w:r>
      <w:r w:rsidR="003C176D">
        <w:rPr>
          <w:rFonts w:ascii="Cambria" w:eastAsia="Cambria" w:hAnsi="Cambria" w:cs="Cambria"/>
          <w:sz w:val="20"/>
          <w:szCs w:val="20"/>
          <w:lang w:val="es-MX"/>
        </w:rPr>
        <w:t xml:space="preserve"> en Ciudad de México y de </w:t>
      </w:r>
      <w:r w:rsidR="002269C2" w:rsidRPr="003C176D">
        <w:rPr>
          <w:rFonts w:ascii="Cambria" w:eastAsia="Cambria" w:hAnsi="Cambria" w:cs="Cambria"/>
          <w:sz w:val="20"/>
          <w:szCs w:val="20"/>
          <w:lang w:val="es-MX"/>
        </w:rPr>
        <w:t>agresiones sufridas por personas muxes en Oaxaca</w:t>
      </w:r>
      <w:r w:rsidR="002269C2" w:rsidRPr="004E3E07">
        <w:rPr>
          <w:rStyle w:val="FootnoteReference"/>
          <w:rFonts w:ascii="Cambria" w:eastAsia="Cambria" w:hAnsi="Cambria" w:cs="Cambria"/>
          <w:sz w:val="20"/>
          <w:szCs w:val="20"/>
          <w:lang w:val="es-MX"/>
        </w:rPr>
        <w:footnoteReference w:id="223"/>
      </w:r>
      <w:r w:rsidR="002269C2" w:rsidRPr="003C176D">
        <w:rPr>
          <w:rFonts w:ascii="Cambria" w:eastAsia="Cambria" w:hAnsi="Cambria" w:cs="Cambria"/>
          <w:sz w:val="20"/>
          <w:szCs w:val="20"/>
          <w:lang w:val="es-MX"/>
        </w:rPr>
        <w:t>.</w:t>
      </w:r>
    </w:p>
    <w:p w14:paraId="6E43F9A0" w14:textId="77777777" w:rsidR="005841CF" w:rsidRPr="005841CF" w:rsidRDefault="005841CF" w:rsidP="005841CF">
      <w:pPr>
        <w:shd w:val="clear" w:color="auto" w:fill="FFFFFF"/>
        <w:spacing w:after="0" w:line="240" w:lineRule="auto"/>
        <w:jc w:val="both"/>
        <w:rPr>
          <w:rFonts w:ascii="Cambria" w:eastAsia="Cambria" w:hAnsi="Cambria" w:cs="Cambria"/>
          <w:sz w:val="20"/>
          <w:szCs w:val="20"/>
          <w:lang w:val="es-MX"/>
        </w:rPr>
      </w:pPr>
    </w:p>
    <w:p w14:paraId="42A9DA8C" w14:textId="4BBB7C23" w:rsidR="002269C2" w:rsidRPr="00602712" w:rsidRDefault="002269C2" w:rsidP="002F1A6A">
      <w:pPr>
        <w:numPr>
          <w:ilvl w:val="0"/>
          <w:numId w:val="5"/>
        </w:numPr>
        <w:shd w:val="clear" w:color="auto" w:fill="FFFFFF"/>
        <w:spacing w:after="0" w:line="240" w:lineRule="auto"/>
        <w:ind w:left="0" w:firstLine="720"/>
        <w:jc w:val="both"/>
        <w:rPr>
          <w:rFonts w:ascii="Cambria" w:eastAsia="Cambria" w:hAnsi="Cambria" w:cs="Cambria"/>
          <w:sz w:val="20"/>
          <w:szCs w:val="20"/>
          <w:lang w:val="es-MX"/>
        </w:rPr>
      </w:pPr>
      <w:r w:rsidRPr="004E3E07">
        <w:rPr>
          <w:rFonts w:ascii="Cambria" w:eastAsia="Cambria" w:hAnsi="Cambria" w:cs="Cambria"/>
          <w:sz w:val="20"/>
          <w:szCs w:val="20"/>
          <w:lang w:val="es-MX"/>
        </w:rPr>
        <w:t xml:space="preserve">Si bien la información remitida evidencia prácticas positivas tales como el juzgamiento de algunos de los casos con perspectiva de género, la CIDH no cuenta con información completa que permita evaluar tendencias sobre la adopción de medidas para la investigación, sanción y reparación de la violencia con </w:t>
      </w:r>
      <w:r w:rsidRPr="00602712">
        <w:rPr>
          <w:rFonts w:ascii="Cambria" w:eastAsia="Cambria" w:hAnsi="Cambria" w:cs="Cambria"/>
          <w:sz w:val="20"/>
          <w:szCs w:val="20"/>
          <w:lang w:val="es-MX"/>
        </w:rPr>
        <w:t xml:space="preserve">la debida diligencia. Aunado a lo anterior, la CIDH </w:t>
      </w:r>
      <w:r w:rsidR="000F4D0E" w:rsidRPr="00602712">
        <w:rPr>
          <w:rFonts w:ascii="Cambria" w:eastAsia="Cambria" w:hAnsi="Cambria" w:cs="Cambria"/>
          <w:sz w:val="20"/>
          <w:szCs w:val="20"/>
          <w:lang w:val="es-MX"/>
        </w:rPr>
        <w:t>observa</w:t>
      </w:r>
      <w:r w:rsidRPr="00602712">
        <w:rPr>
          <w:rFonts w:ascii="Cambria" w:eastAsia="Cambria" w:hAnsi="Cambria" w:cs="Cambria"/>
          <w:sz w:val="20"/>
          <w:szCs w:val="20"/>
          <w:lang w:val="es-MX"/>
        </w:rPr>
        <w:t xml:space="preserve"> elementos desafiantes en esta materia</w:t>
      </w:r>
      <w:r w:rsidR="000F4D0E" w:rsidRPr="00602712">
        <w:rPr>
          <w:rFonts w:ascii="Cambria" w:eastAsia="Cambria" w:hAnsi="Cambria" w:cs="Cambria"/>
          <w:sz w:val="20"/>
          <w:szCs w:val="20"/>
          <w:lang w:val="es-MX"/>
        </w:rPr>
        <w:t xml:space="preserve"> siendo el 2021 un año particularmente violento para las personas LGBTI</w:t>
      </w:r>
      <w:r w:rsidRPr="00602712">
        <w:rPr>
          <w:rFonts w:ascii="Cambria" w:eastAsia="Cambria" w:hAnsi="Cambria" w:cs="Cambria"/>
          <w:sz w:val="20"/>
          <w:szCs w:val="20"/>
          <w:lang w:val="es-MX"/>
        </w:rPr>
        <w:t xml:space="preserve">. </w:t>
      </w:r>
      <w:r w:rsidR="002F1A6A" w:rsidRPr="00602712">
        <w:rPr>
          <w:rFonts w:ascii="Cambria" w:eastAsia="Cambria" w:hAnsi="Cambria" w:cs="Cambria"/>
          <w:sz w:val="20"/>
          <w:szCs w:val="20"/>
          <w:lang w:val="es-MX"/>
        </w:rPr>
        <w:t>En sus observaciones al proyecto del presente informe, el Estado indicó que la FGR actualmente está desarrollando el Protocolo Nacional de Investigación de Delitos cometidos contra personas LGBTI+, que se espera sea emitido por la Conferencia Nacional de Procuración de Justicia, para aplicación en todas las instancias de procuración de justicia en el país. Asiismo, informó que el Protocolo de actuación para quienes imparten justicia en casos que involucren la orientación sexual o la identidad de género de la SCJN, publicado en 2015, se  encuentra sujeto a un cuidadoso proceso de actualización</w:t>
      </w:r>
      <w:r w:rsidR="002F1A6A" w:rsidRPr="00602712">
        <w:rPr>
          <w:rStyle w:val="FootnoteReference"/>
          <w:rFonts w:ascii="Cambria" w:eastAsia="Cambria" w:hAnsi="Cambria" w:cs="Cambria"/>
          <w:sz w:val="20"/>
          <w:szCs w:val="20"/>
          <w:lang w:val="es-MX"/>
        </w:rPr>
        <w:footnoteReference w:id="224"/>
      </w:r>
      <w:r w:rsidR="002F1A6A" w:rsidRPr="00602712">
        <w:rPr>
          <w:rFonts w:ascii="Cambria" w:eastAsia="Cambria" w:hAnsi="Cambria" w:cs="Cambria"/>
          <w:sz w:val="20"/>
          <w:szCs w:val="20"/>
          <w:lang w:val="es-MX"/>
        </w:rPr>
        <w:t xml:space="preserve">. </w:t>
      </w:r>
      <w:r w:rsidRPr="00602712">
        <w:rPr>
          <w:rFonts w:ascii="Cambria" w:eastAsia="Cambria" w:hAnsi="Cambria" w:cs="Cambria"/>
          <w:sz w:val="20"/>
          <w:szCs w:val="20"/>
          <w:lang w:val="es-MX"/>
        </w:rPr>
        <w:t>Tomando en cuenta lo anterior y considerando que la Comisión no cuenta con información estatal que permita concluir avances en el cumplimiento de la recomendación, la misma continúa en cumplimiento parcial.</w:t>
      </w:r>
    </w:p>
    <w:p w14:paraId="5263A8E0" w14:textId="77777777" w:rsidR="002269C2" w:rsidRPr="004E3E07" w:rsidRDefault="002269C2" w:rsidP="002269C2">
      <w:pPr>
        <w:pStyle w:val="ListParagraph"/>
        <w:rPr>
          <w:rFonts w:ascii="Cambria" w:eastAsia="Times New Roman" w:hAnsi="Cambria"/>
          <w:sz w:val="20"/>
          <w:szCs w:val="20"/>
          <w:lang w:val="es-MX"/>
        </w:rPr>
      </w:pPr>
    </w:p>
    <w:p w14:paraId="76741AF6" w14:textId="4456399D" w:rsidR="002269C2" w:rsidRPr="004E3E07" w:rsidRDefault="002269C2" w:rsidP="002269C2">
      <w:pPr>
        <w:numPr>
          <w:ilvl w:val="0"/>
          <w:numId w:val="5"/>
        </w:numPr>
        <w:shd w:val="clear" w:color="auto" w:fill="FFFFFF"/>
        <w:spacing w:after="0" w:line="240" w:lineRule="auto"/>
        <w:ind w:left="0" w:firstLine="720"/>
        <w:jc w:val="both"/>
        <w:rPr>
          <w:rFonts w:ascii="Cambria" w:eastAsia="Cambria" w:hAnsi="Cambria" w:cs="Cambria"/>
          <w:sz w:val="20"/>
          <w:szCs w:val="20"/>
          <w:lang w:val="es-MX"/>
        </w:rPr>
      </w:pPr>
      <w:r w:rsidRPr="004E3E07">
        <w:rPr>
          <w:rFonts w:ascii="Cambria" w:eastAsia="Times New Roman" w:hAnsi="Cambria"/>
          <w:sz w:val="20"/>
          <w:szCs w:val="20"/>
          <w:lang w:val="es-MX"/>
        </w:rPr>
        <w:t xml:space="preserve">En cuanto a la recomendación de </w:t>
      </w:r>
      <w:r w:rsidRPr="008B3808">
        <w:rPr>
          <w:rFonts w:ascii="Cambria" w:eastAsia="Times New Roman" w:hAnsi="Cambria"/>
          <w:b/>
          <w:sz w:val="20"/>
          <w:szCs w:val="20"/>
          <w:lang w:val="es-MX"/>
        </w:rPr>
        <w:t>prevención de la violencia</w:t>
      </w:r>
      <w:r w:rsidRPr="004E3E07">
        <w:rPr>
          <w:rFonts w:ascii="Cambria" w:eastAsia="Times New Roman" w:hAnsi="Cambria"/>
          <w:sz w:val="20"/>
          <w:szCs w:val="20"/>
          <w:lang w:val="es-MX"/>
        </w:rPr>
        <w:t>, el Estado resaltó el Programa Nacional para la Igualdad y No Discriminación 2021- 2024 (PRONAIND), que, en línea con el Programa Nacional de Desarrollo (PND) 2019-2024, tendrá el propósito de contrarrestar las prácticas discriminatorias y favorecer el ejercicio de los derechos humanos en la educación, la salud, el trabajo, la seguridad social, la seguridad y justicia, entre otras áreas. El Estado resaltó la realización de un foro para la elaboración de dicho Programa, el cual incluyó a personas LGBTI. Según informó el Estado, dicho Programa se encuentra en proceso de publicación</w:t>
      </w:r>
      <w:r w:rsidR="00C55A08">
        <w:rPr>
          <w:rStyle w:val="FootnoteReference"/>
          <w:rFonts w:ascii="Cambria" w:eastAsia="Times New Roman" w:hAnsi="Cambria"/>
          <w:sz w:val="20"/>
          <w:szCs w:val="20"/>
          <w:lang w:val="es-MX"/>
        </w:rPr>
        <w:footnoteReference w:id="225"/>
      </w:r>
      <w:r w:rsidRPr="004E3E07">
        <w:rPr>
          <w:rFonts w:ascii="Cambria" w:eastAsia="Times New Roman" w:hAnsi="Cambria"/>
          <w:sz w:val="20"/>
          <w:szCs w:val="20"/>
          <w:lang w:val="es-MX"/>
        </w:rPr>
        <w:t>. </w:t>
      </w:r>
      <w:r w:rsidR="00223FEC">
        <w:rPr>
          <w:rFonts w:ascii="Cambria" w:eastAsia="Times New Roman" w:hAnsi="Cambria"/>
          <w:sz w:val="20"/>
          <w:szCs w:val="20"/>
          <w:lang w:val="es-MX"/>
        </w:rPr>
        <w:t>La CNDH indicó que sostuvó 61 reuniones</w:t>
      </w:r>
      <w:r w:rsidR="0050703C">
        <w:rPr>
          <w:rFonts w:ascii="Cambria" w:eastAsia="Times New Roman" w:hAnsi="Cambria"/>
          <w:sz w:val="20"/>
          <w:szCs w:val="20"/>
          <w:lang w:val="es-MX"/>
        </w:rPr>
        <w:t xml:space="preserve"> </w:t>
      </w:r>
      <w:r w:rsidR="0050703C" w:rsidRPr="0050703C">
        <w:rPr>
          <w:rFonts w:ascii="Cambria" w:eastAsia="Times New Roman" w:hAnsi="Cambria"/>
          <w:sz w:val="20"/>
          <w:szCs w:val="20"/>
          <w:lang w:val="es-MX"/>
        </w:rPr>
        <w:t>de vinculación relacionadas con los derechos de las poblaciones LGBTTTIQ+ con instituciones públicas y sociedad civil organizada</w:t>
      </w:r>
      <w:r w:rsidR="0050703C">
        <w:rPr>
          <w:rStyle w:val="FootnoteReference"/>
          <w:rFonts w:ascii="Cambria" w:eastAsia="Times New Roman" w:hAnsi="Cambria"/>
          <w:sz w:val="20"/>
          <w:szCs w:val="20"/>
          <w:lang w:val="es-MX"/>
        </w:rPr>
        <w:footnoteReference w:id="226"/>
      </w:r>
      <w:r w:rsidR="0050703C" w:rsidRPr="0050703C">
        <w:rPr>
          <w:rFonts w:ascii="Cambria" w:eastAsia="Times New Roman" w:hAnsi="Cambria"/>
          <w:sz w:val="20"/>
          <w:szCs w:val="20"/>
          <w:lang w:val="es-MX"/>
        </w:rPr>
        <w:t>.</w:t>
      </w:r>
    </w:p>
    <w:p w14:paraId="0FEB6C88" w14:textId="77777777" w:rsidR="002269C2" w:rsidRPr="00BA6325" w:rsidRDefault="002269C2" w:rsidP="002269C2">
      <w:pPr>
        <w:pStyle w:val="ListParagraph"/>
        <w:rPr>
          <w:rFonts w:ascii="Cambria" w:hAnsi="Cambria"/>
          <w:sz w:val="20"/>
          <w:szCs w:val="20"/>
          <w:lang w:val="es-MX"/>
        </w:rPr>
      </w:pPr>
    </w:p>
    <w:p w14:paraId="79E4DAE9" w14:textId="5A7BFDCB" w:rsidR="002269C2" w:rsidRPr="004E3E07" w:rsidRDefault="002269C2" w:rsidP="002269C2">
      <w:pPr>
        <w:numPr>
          <w:ilvl w:val="0"/>
          <w:numId w:val="5"/>
        </w:numPr>
        <w:shd w:val="clear" w:color="auto" w:fill="FFFFFF"/>
        <w:spacing w:after="0" w:line="240" w:lineRule="auto"/>
        <w:ind w:left="0" w:firstLine="720"/>
        <w:jc w:val="both"/>
        <w:rPr>
          <w:rFonts w:ascii="Cambria" w:eastAsia="Cambria" w:hAnsi="Cambria" w:cs="Cambria"/>
          <w:sz w:val="20"/>
          <w:szCs w:val="20"/>
          <w:lang w:val="es-MX"/>
        </w:rPr>
      </w:pPr>
      <w:r w:rsidRPr="004E3E07">
        <w:rPr>
          <w:rFonts w:ascii="Cambria" w:hAnsi="Cambria"/>
          <w:sz w:val="20"/>
          <w:szCs w:val="20"/>
          <w:lang w:val="es-MX"/>
        </w:rPr>
        <w:t>La Comisión saluda avances en el reconocimiento de derechos de las personas LGBTI en México, incluyendo el derecho al matrimonio igualitario y a la identidad de género. La CIDH destaca que estas medidas permiten la construcción de una sociedad más igualitaria y progresivamente libre de violencia basada en el prejuicio, tomando en cuenta que la vulnerabilidad agudizada de las personas LGBTI ante la violencia y la discriminación se produce en un contexto de discriminación social y falta de reconocimiento de sus derechos humanos</w:t>
      </w:r>
      <w:r w:rsidR="008B6A96">
        <w:rPr>
          <w:rStyle w:val="FootnoteReference"/>
          <w:rFonts w:ascii="Cambria" w:hAnsi="Cambria"/>
          <w:sz w:val="20"/>
          <w:szCs w:val="20"/>
          <w:lang w:val="es-MX"/>
        </w:rPr>
        <w:footnoteReference w:id="227"/>
      </w:r>
      <w:r w:rsidRPr="004E3E07">
        <w:rPr>
          <w:rFonts w:ascii="Cambria" w:eastAsia="Times New Roman" w:hAnsi="Cambria"/>
          <w:sz w:val="20"/>
          <w:szCs w:val="20"/>
          <w:lang w:val="es-MX"/>
        </w:rPr>
        <w:t>.</w:t>
      </w:r>
    </w:p>
    <w:p w14:paraId="6DB3A17F" w14:textId="77777777" w:rsidR="002269C2" w:rsidRPr="004E3E07" w:rsidRDefault="002269C2" w:rsidP="002269C2">
      <w:pPr>
        <w:pStyle w:val="ListParagraph"/>
        <w:rPr>
          <w:rFonts w:ascii="Cambria" w:eastAsia="Times New Roman" w:hAnsi="Cambria"/>
          <w:sz w:val="20"/>
          <w:szCs w:val="20"/>
          <w:lang w:val="es-MX"/>
        </w:rPr>
      </w:pPr>
    </w:p>
    <w:p w14:paraId="5B96DAAC" w14:textId="464A3AA3" w:rsidR="002269C2" w:rsidRPr="004E3E07" w:rsidRDefault="002269C2" w:rsidP="002269C2">
      <w:pPr>
        <w:numPr>
          <w:ilvl w:val="0"/>
          <w:numId w:val="5"/>
        </w:numPr>
        <w:shd w:val="clear" w:color="auto" w:fill="FFFFFF"/>
        <w:spacing w:after="0" w:line="240" w:lineRule="auto"/>
        <w:ind w:left="0" w:firstLine="720"/>
        <w:jc w:val="both"/>
        <w:rPr>
          <w:rFonts w:ascii="Cambria" w:eastAsia="Cambria" w:hAnsi="Cambria" w:cs="Cambria"/>
          <w:sz w:val="20"/>
          <w:szCs w:val="20"/>
          <w:lang w:val="es-MX"/>
        </w:rPr>
      </w:pPr>
      <w:r w:rsidRPr="004E3E07">
        <w:rPr>
          <w:rFonts w:ascii="Cambria" w:eastAsia="Times New Roman" w:hAnsi="Cambria"/>
          <w:sz w:val="20"/>
          <w:szCs w:val="20"/>
          <w:lang w:val="es-MX"/>
        </w:rPr>
        <w:t>En ese orden, la Comisión celebra la aprobación de una ley en Quintana Roo que obligaría a los cabildos a crear divisiones de la diversidad sexual con el fin de generar políticas públicas para la inclusión social de las personas LGBTI</w:t>
      </w:r>
      <w:r w:rsidRPr="004E3E07">
        <w:rPr>
          <w:rFonts w:ascii="Cambria" w:eastAsia="Times New Roman" w:hAnsi="Cambria"/>
          <w:sz w:val="20"/>
          <w:szCs w:val="20"/>
          <w:vertAlign w:val="superscript"/>
          <w:lang w:val="es-MX"/>
        </w:rPr>
        <w:t>32</w:t>
      </w:r>
      <w:r w:rsidRPr="004E3E07">
        <w:rPr>
          <w:rFonts w:ascii="Cambria" w:eastAsia="Times New Roman" w:hAnsi="Cambria"/>
          <w:sz w:val="20"/>
          <w:szCs w:val="20"/>
          <w:lang w:val="es-MX"/>
        </w:rPr>
        <w:t>. Además, la CIDH saluda </w:t>
      </w:r>
      <w:r w:rsidRPr="004E3E07">
        <w:rPr>
          <w:rFonts w:ascii="Cambria" w:eastAsia="Times New Roman" w:hAnsi="Cambria"/>
          <w:sz w:val="20"/>
          <w:szCs w:val="20"/>
          <w:shd w:val="clear" w:color="auto" w:fill="FFFFFF"/>
          <w:lang w:val="es-MX"/>
        </w:rPr>
        <w:t>el reconocimiento del matrimonio igualitario en Baja California, Querétaro, Sinaloa, Sonora</w:t>
      </w:r>
      <w:r w:rsidR="00A15E5D">
        <w:rPr>
          <w:rFonts w:ascii="Cambria" w:eastAsia="Times New Roman" w:hAnsi="Cambria"/>
          <w:sz w:val="20"/>
          <w:szCs w:val="20"/>
          <w:shd w:val="clear" w:color="auto" w:fill="FFFFFF"/>
          <w:lang w:val="es-MX"/>
        </w:rPr>
        <w:t xml:space="preserve">, </w:t>
      </w:r>
      <w:r w:rsidRPr="004E3E07">
        <w:rPr>
          <w:rFonts w:ascii="Cambria" w:eastAsia="Times New Roman" w:hAnsi="Cambria"/>
          <w:sz w:val="20"/>
          <w:szCs w:val="20"/>
          <w:shd w:val="clear" w:color="auto" w:fill="FFFFFF"/>
          <w:lang w:val="es-MX"/>
        </w:rPr>
        <w:t>Yucatán</w:t>
      </w:r>
      <w:r w:rsidR="00A15E5D">
        <w:rPr>
          <w:rFonts w:ascii="Cambria" w:eastAsia="Times New Roman" w:hAnsi="Cambria"/>
          <w:sz w:val="20"/>
          <w:szCs w:val="20"/>
          <w:shd w:val="clear" w:color="auto" w:fill="FFFFFF"/>
          <w:lang w:val="es-MX"/>
        </w:rPr>
        <w:t xml:space="preserve"> y Zacatecas</w:t>
      </w:r>
      <w:r w:rsidR="00DD2C79">
        <w:rPr>
          <w:rStyle w:val="FootnoteReference"/>
          <w:rFonts w:ascii="Cambria" w:eastAsia="Times New Roman" w:hAnsi="Cambria"/>
          <w:sz w:val="20"/>
          <w:szCs w:val="20"/>
          <w:shd w:val="clear" w:color="auto" w:fill="FFFFFF"/>
          <w:lang w:val="es-MX"/>
        </w:rPr>
        <w:footnoteReference w:id="228"/>
      </w:r>
      <w:r w:rsidRPr="004E3E07">
        <w:rPr>
          <w:rFonts w:ascii="Cambria" w:eastAsia="Times New Roman" w:hAnsi="Cambria"/>
          <w:sz w:val="20"/>
          <w:szCs w:val="20"/>
          <w:shd w:val="clear" w:color="auto" w:fill="FFFFFF"/>
          <w:lang w:val="es-MX"/>
        </w:rPr>
        <w:t>. Asimismo, la Comisión saluda avances en el reconocimiento del derecho a la identidad de género en Baja California Sur, Puebla, Estado de México y Morelos</w:t>
      </w:r>
      <w:r w:rsidR="0050495F">
        <w:rPr>
          <w:rStyle w:val="FootnoteReference"/>
          <w:rFonts w:ascii="Cambria" w:eastAsia="Times New Roman" w:hAnsi="Cambria"/>
          <w:sz w:val="20"/>
          <w:szCs w:val="20"/>
          <w:shd w:val="clear" w:color="auto" w:fill="FFFFFF"/>
          <w:lang w:val="es-MX"/>
        </w:rPr>
        <w:footnoteReference w:id="229"/>
      </w:r>
      <w:r w:rsidRPr="004E3E07">
        <w:rPr>
          <w:rFonts w:ascii="Cambria" w:eastAsia="Times New Roman" w:hAnsi="Cambria"/>
          <w:sz w:val="20"/>
          <w:szCs w:val="20"/>
          <w:shd w:val="clear" w:color="auto" w:fill="FFFFFF"/>
          <w:lang w:val="es-MX"/>
        </w:rPr>
        <w:t>, incluyendo el reconocimiento identidad de género de infancias trans en Oaxaca</w:t>
      </w:r>
      <w:r w:rsidR="003B596B">
        <w:rPr>
          <w:rStyle w:val="FootnoteReference"/>
          <w:rFonts w:ascii="Cambria" w:eastAsia="Times New Roman" w:hAnsi="Cambria"/>
          <w:sz w:val="20"/>
          <w:szCs w:val="20"/>
          <w:shd w:val="clear" w:color="auto" w:fill="FFFFFF"/>
          <w:lang w:val="es-MX"/>
        </w:rPr>
        <w:footnoteReference w:id="230"/>
      </w:r>
      <w:r w:rsidRPr="004E3E07">
        <w:rPr>
          <w:rFonts w:ascii="Cambria" w:eastAsia="Times New Roman" w:hAnsi="Cambria"/>
          <w:sz w:val="20"/>
          <w:szCs w:val="20"/>
          <w:shd w:val="clear" w:color="auto" w:fill="FFFFFF"/>
          <w:lang w:val="es-MX"/>
        </w:rPr>
        <w:t>. La CIDH también la prohibición de procedimientos que intentan modificar, desviar o suprimir la identidad/expresión de género y orientación sexual de las personas (también conocidas como “terapias de conversión”) y su tipificación como delito en Baja California Sur, Colima, Tlaxcala, Yucatán y Zacatecas</w:t>
      </w:r>
      <w:r w:rsidR="00650B13">
        <w:rPr>
          <w:rStyle w:val="FootnoteReference"/>
          <w:rFonts w:ascii="Cambria" w:eastAsia="Times New Roman" w:hAnsi="Cambria"/>
          <w:sz w:val="20"/>
          <w:szCs w:val="20"/>
          <w:shd w:val="clear" w:color="auto" w:fill="FFFFFF"/>
          <w:lang w:val="es-MX"/>
        </w:rPr>
        <w:footnoteReference w:id="231"/>
      </w:r>
      <w:r w:rsidRPr="004E3E07">
        <w:rPr>
          <w:rFonts w:ascii="Cambria" w:eastAsia="Times New Roman" w:hAnsi="Cambria"/>
          <w:sz w:val="20"/>
          <w:szCs w:val="20"/>
          <w:shd w:val="clear" w:color="auto" w:fill="FFFFFF"/>
          <w:lang w:val="es-MX"/>
        </w:rPr>
        <w:t>.</w:t>
      </w:r>
      <w:r w:rsidRPr="004E3E07">
        <w:rPr>
          <w:rFonts w:ascii="Cambria" w:eastAsia="Times New Roman" w:hAnsi="Cambria"/>
          <w:sz w:val="20"/>
          <w:szCs w:val="20"/>
          <w:lang w:val="es-MX"/>
        </w:rPr>
        <w:t> Asimismo, la Comisión toma nota de la presentación de una iniciativa para garantizar la inclusión laboral de las personas trans y travestis en el sector público de la Ciudad de México</w:t>
      </w:r>
      <w:r w:rsidR="00F11F2D">
        <w:rPr>
          <w:rStyle w:val="FootnoteReference"/>
          <w:rFonts w:ascii="Cambria" w:eastAsia="Times New Roman" w:hAnsi="Cambria"/>
          <w:sz w:val="20"/>
          <w:szCs w:val="20"/>
          <w:lang w:val="es-MX"/>
        </w:rPr>
        <w:footnoteReference w:id="232"/>
      </w:r>
    </w:p>
    <w:p w14:paraId="07EF045C" w14:textId="77777777" w:rsidR="002269C2" w:rsidRPr="004E3E07" w:rsidRDefault="002269C2" w:rsidP="002269C2">
      <w:pPr>
        <w:pStyle w:val="ListParagraph"/>
        <w:rPr>
          <w:rFonts w:ascii="Cambria" w:eastAsia="Times New Roman" w:hAnsi="Cambria" w:cs="Times New Roman"/>
          <w:sz w:val="20"/>
          <w:szCs w:val="20"/>
          <w:lang w:val="es-MX"/>
        </w:rPr>
      </w:pPr>
    </w:p>
    <w:p w14:paraId="2254D699" w14:textId="6336E2BE" w:rsidR="002269C2" w:rsidRPr="004E3E07" w:rsidRDefault="002269C2" w:rsidP="002269C2">
      <w:pPr>
        <w:numPr>
          <w:ilvl w:val="0"/>
          <w:numId w:val="5"/>
        </w:numPr>
        <w:shd w:val="clear" w:color="auto" w:fill="FFFFFF"/>
        <w:spacing w:after="0" w:line="240" w:lineRule="auto"/>
        <w:ind w:left="0" w:firstLine="720"/>
        <w:jc w:val="both"/>
        <w:rPr>
          <w:rFonts w:ascii="Cambria" w:eastAsia="Cambria" w:hAnsi="Cambria" w:cs="Cambria"/>
          <w:sz w:val="20"/>
          <w:szCs w:val="20"/>
          <w:lang w:val="es-MX"/>
        </w:rPr>
      </w:pPr>
      <w:r w:rsidRPr="004E3E07">
        <w:rPr>
          <w:rFonts w:ascii="Cambria" w:eastAsia="Times New Roman" w:hAnsi="Cambria" w:cs="Times New Roman"/>
          <w:sz w:val="20"/>
          <w:szCs w:val="20"/>
          <w:lang w:val="es-MX"/>
        </w:rPr>
        <w:t>Con base en lo anterior, la CIDH concluye que la recomendación continúa en estado de </w:t>
      </w:r>
      <w:r w:rsidRPr="00D74070">
        <w:rPr>
          <w:rFonts w:ascii="Cambria" w:eastAsia="Times New Roman" w:hAnsi="Cambria" w:cs="Times New Roman"/>
          <w:sz w:val="20"/>
          <w:szCs w:val="20"/>
          <w:lang w:val="es-MX"/>
        </w:rPr>
        <w:t>cumplimiento parcial.</w:t>
      </w:r>
      <w:r w:rsidRPr="004E3E07">
        <w:rPr>
          <w:rFonts w:ascii="Cambria" w:eastAsia="Times New Roman" w:hAnsi="Cambria" w:cs="Times New Roman"/>
          <w:sz w:val="20"/>
          <w:szCs w:val="20"/>
          <w:lang w:val="es-MX"/>
        </w:rPr>
        <w:t> En este sentido, la CIDH recuerda la importancia de que los avances en materia de derechos humanos se produzcan desde el nivel federal, garantizando su alcance nacional</w:t>
      </w:r>
      <w:r w:rsidR="00E03ECC">
        <w:rPr>
          <w:rFonts w:ascii="Cambria" w:eastAsia="Times New Roman" w:hAnsi="Cambria" w:cs="Times New Roman"/>
          <w:sz w:val="20"/>
          <w:szCs w:val="20"/>
          <w:lang w:val="es-MX"/>
        </w:rPr>
        <w:t>. A</w:t>
      </w:r>
      <w:r w:rsidRPr="00BA6325">
        <w:rPr>
          <w:rFonts w:ascii="Cambria" w:eastAsia="Times New Roman" w:hAnsi="Cambria" w:cs="Times New Roman"/>
          <w:sz w:val="20"/>
          <w:szCs w:val="20"/>
          <w:lang w:val="es-MX"/>
        </w:rPr>
        <w:t>l</w:t>
      </w:r>
      <w:r w:rsidRPr="004E3E07">
        <w:rPr>
          <w:rFonts w:ascii="Cambria" w:eastAsia="Times New Roman" w:hAnsi="Cambria" w:cs="Times New Roman"/>
          <w:sz w:val="20"/>
          <w:szCs w:val="20"/>
          <w:lang w:val="es-MX"/>
        </w:rPr>
        <w:t xml:space="preserve"> respecto, la Comisión saluda la próxima publicación del PRONAIND como una medida positiva para la erradicación de la discriminación contra las personas LGBTI.</w:t>
      </w:r>
    </w:p>
    <w:p w14:paraId="14606A13" w14:textId="7DBF8B1E" w:rsidR="002277F5" w:rsidRPr="004E3E07" w:rsidRDefault="002277F5" w:rsidP="002269C2">
      <w:pPr>
        <w:shd w:val="clear" w:color="auto" w:fill="FFFFFF"/>
        <w:spacing w:after="0" w:line="240" w:lineRule="auto"/>
        <w:jc w:val="both"/>
        <w:rPr>
          <w:rFonts w:ascii="Cambria" w:eastAsia="Cambria" w:hAnsi="Cambria" w:cs="Cambria"/>
          <w:sz w:val="20"/>
          <w:szCs w:val="20"/>
          <w:lang w:val="es-MX"/>
        </w:rPr>
      </w:pPr>
    </w:p>
    <w:p w14:paraId="14606A2A" w14:textId="77777777" w:rsidR="002277F5" w:rsidRPr="004E3E07" w:rsidRDefault="007E25FF">
      <w:pPr>
        <w:pStyle w:val="Heading3"/>
        <w:numPr>
          <w:ilvl w:val="2"/>
          <w:numId w:val="11"/>
        </w:numPr>
        <w:shd w:val="clear" w:color="auto" w:fill="auto"/>
        <w:spacing w:before="0"/>
        <w:ind w:left="1440" w:hanging="720"/>
        <w:rPr>
          <w:sz w:val="20"/>
          <w:szCs w:val="20"/>
        </w:rPr>
      </w:pPr>
      <w:r w:rsidRPr="004E3E07">
        <w:rPr>
          <w:sz w:val="20"/>
          <w:szCs w:val="20"/>
        </w:rPr>
        <w:t>Mujeres</w:t>
      </w:r>
    </w:p>
    <w:p w14:paraId="14606A2B" w14:textId="77777777" w:rsidR="002277F5" w:rsidRPr="004E3E07" w:rsidRDefault="007E25FF">
      <w:pPr>
        <w:numPr>
          <w:ilvl w:val="0"/>
          <w:numId w:val="21"/>
        </w:numPr>
        <w:pBdr>
          <w:top w:val="nil"/>
          <w:left w:val="nil"/>
          <w:bottom w:val="nil"/>
          <w:right w:val="nil"/>
          <w:between w:val="nil"/>
        </w:pBdr>
        <w:shd w:val="clear" w:color="auto" w:fill="D9D9D9"/>
        <w:spacing w:after="0" w:line="240" w:lineRule="auto"/>
        <w:ind w:hanging="720"/>
        <w:jc w:val="both"/>
        <w:rPr>
          <w:rFonts w:ascii="Cambria" w:eastAsia="Cambria" w:hAnsi="Cambria" w:cs="Cambria"/>
          <w:sz w:val="20"/>
          <w:szCs w:val="20"/>
          <w:lang w:val="es-MX"/>
        </w:rPr>
      </w:pPr>
      <w:r w:rsidRPr="004E3E07">
        <w:rPr>
          <w:rFonts w:ascii="Cambria" w:eastAsia="Cambria" w:hAnsi="Cambria" w:cs="Cambria"/>
          <w:sz w:val="20"/>
          <w:szCs w:val="20"/>
          <w:lang w:val="es-MX"/>
        </w:rPr>
        <w:t>Implementar y fortalecer medidas, incorporando la perspectiva de género, para cumplir con el deber de actuar con debida diligencia para prevenir, sancionar y erradicar la violencia y discriminación contra las mujeres, incluyendo esfuerzos concretos para cumplir con las obligaciones de prevención, investigación, sanción y reparación de violaciones de los derechos humanos de las mujeres; ello comprende la capacitación y monitoreo de las autoridades encargadas desde la investigación, incluyendo los servicios de salud y en el ámbito de la justicia.</w:t>
      </w:r>
    </w:p>
    <w:p w14:paraId="14606A2C" w14:textId="77777777" w:rsidR="002277F5" w:rsidRPr="004E3E07" w:rsidRDefault="007E25FF">
      <w:pPr>
        <w:numPr>
          <w:ilvl w:val="0"/>
          <w:numId w:val="21"/>
        </w:numPr>
        <w:pBdr>
          <w:top w:val="nil"/>
          <w:left w:val="nil"/>
          <w:bottom w:val="nil"/>
          <w:right w:val="nil"/>
          <w:between w:val="nil"/>
        </w:pBdr>
        <w:shd w:val="clear" w:color="auto" w:fill="D9D9D9"/>
        <w:spacing w:after="0" w:line="240" w:lineRule="auto"/>
        <w:ind w:hanging="720"/>
        <w:jc w:val="both"/>
        <w:rPr>
          <w:rFonts w:ascii="Cambria" w:eastAsia="Cambria" w:hAnsi="Cambria" w:cs="Cambria"/>
          <w:sz w:val="20"/>
          <w:szCs w:val="20"/>
          <w:lang w:val="es-MX"/>
        </w:rPr>
      </w:pPr>
      <w:r w:rsidRPr="004E3E07">
        <w:rPr>
          <w:rFonts w:ascii="Cambria" w:eastAsia="Cambria" w:hAnsi="Cambria" w:cs="Cambria"/>
          <w:sz w:val="20"/>
          <w:szCs w:val="20"/>
          <w:lang w:val="es-MX"/>
        </w:rPr>
        <w:t>Adoptar las medidas necesarias para prevenir, castigar y erradicar hechos de violencia sexual y otras formas de violencia, tortura y tratos crueles, inhumanos o degradantes por parte de las fuerzas de seguridad en contra de las mujeres, especialmente aquellas privadas de libertad.</w:t>
      </w:r>
    </w:p>
    <w:p w14:paraId="14606A2D" w14:textId="77777777" w:rsidR="002277F5" w:rsidRPr="004E3E07" w:rsidRDefault="007E25FF">
      <w:pPr>
        <w:numPr>
          <w:ilvl w:val="0"/>
          <w:numId w:val="21"/>
        </w:numPr>
        <w:pBdr>
          <w:top w:val="nil"/>
          <w:left w:val="nil"/>
          <w:bottom w:val="nil"/>
          <w:right w:val="nil"/>
          <w:between w:val="nil"/>
        </w:pBdr>
        <w:shd w:val="clear" w:color="auto" w:fill="D9D9D9"/>
        <w:spacing w:after="0" w:line="240" w:lineRule="auto"/>
        <w:ind w:hanging="720"/>
        <w:jc w:val="both"/>
        <w:rPr>
          <w:rFonts w:ascii="Cambria" w:eastAsia="Cambria" w:hAnsi="Cambria" w:cs="Cambria"/>
          <w:sz w:val="20"/>
          <w:szCs w:val="20"/>
          <w:lang w:val="es-MX"/>
        </w:rPr>
      </w:pPr>
      <w:r w:rsidRPr="004E3E07">
        <w:rPr>
          <w:rFonts w:ascii="Cambria" w:eastAsia="Cambria" w:hAnsi="Cambria" w:cs="Cambria"/>
          <w:sz w:val="20"/>
          <w:szCs w:val="20"/>
          <w:lang w:val="es-MX"/>
        </w:rPr>
        <w:t xml:space="preserve">Implementar protocolos homologados por parte de las autoridades de procuración de justicia para los delitos relacionados con violencia contra las mujeres, así como una debida supervisión sobre su implementación. </w:t>
      </w:r>
    </w:p>
    <w:p w14:paraId="14606A2E" w14:textId="77777777" w:rsidR="002277F5" w:rsidRPr="004E3E07" w:rsidRDefault="007E25FF">
      <w:pPr>
        <w:numPr>
          <w:ilvl w:val="0"/>
          <w:numId w:val="21"/>
        </w:numPr>
        <w:pBdr>
          <w:top w:val="nil"/>
          <w:left w:val="nil"/>
          <w:bottom w:val="nil"/>
          <w:right w:val="nil"/>
          <w:between w:val="nil"/>
        </w:pBdr>
        <w:shd w:val="clear" w:color="auto" w:fill="D9D9D9"/>
        <w:spacing w:after="0" w:line="240" w:lineRule="auto"/>
        <w:ind w:hanging="720"/>
        <w:jc w:val="both"/>
        <w:rPr>
          <w:rFonts w:ascii="Cambria" w:eastAsia="Cambria" w:hAnsi="Cambria" w:cs="Cambria"/>
          <w:sz w:val="20"/>
          <w:szCs w:val="20"/>
          <w:lang w:val="es-MX"/>
        </w:rPr>
      </w:pPr>
      <w:r w:rsidRPr="004E3E07">
        <w:rPr>
          <w:rFonts w:ascii="Cambria" w:eastAsia="Cambria" w:hAnsi="Cambria" w:cs="Cambria"/>
          <w:sz w:val="20"/>
          <w:szCs w:val="20"/>
          <w:lang w:val="es-MX"/>
        </w:rPr>
        <w:t>Adoptar políticas públicas destinadas a reestructurar los estereotipos sobre el rol de las mujeres en la sociedad y promover la erradicación de patrones socioculturales discriminatorios que impiden su acceso a la justicia, incluyendo programas de capacitación y políticas integrales de prevención de la violencia contra las mujeres.</w:t>
      </w:r>
    </w:p>
    <w:p w14:paraId="14606A2F" w14:textId="77777777" w:rsidR="002277F5" w:rsidRPr="004E3E07" w:rsidRDefault="007E25FF">
      <w:pPr>
        <w:numPr>
          <w:ilvl w:val="0"/>
          <w:numId w:val="21"/>
        </w:numPr>
        <w:pBdr>
          <w:top w:val="nil"/>
          <w:left w:val="nil"/>
          <w:bottom w:val="nil"/>
          <w:right w:val="nil"/>
          <w:between w:val="nil"/>
        </w:pBdr>
        <w:shd w:val="clear" w:color="auto" w:fill="D9D9D9"/>
        <w:spacing w:after="0" w:line="240" w:lineRule="auto"/>
        <w:ind w:hanging="720"/>
        <w:jc w:val="both"/>
        <w:rPr>
          <w:rFonts w:ascii="Cambria" w:eastAsia="Cambria" w:hAnsi="Cambria" w:cs="Cambria"/>
          <w:sz w:val="20"/>
          <w:szCs w:val="20"/>
          <w:lang w:val="es-MX"/>
        </w:rPr>
      </w:pPr>
      <w:r w:rsidRPr="004E3E07">
        <w:rPr>
          <w:rFonts w:ascii="Cambria" w:eastAsia="Cambria" w:hAnsi="Cambria" w:cs="Cambria"/>
          <w:sz w:val="20"/>
          <w:szCs w:val="20"/>
          <w:lang w:val="es-MX"/>
        </w:rPr>
        <w:t xml:space="preserve">Diseñar e implementar políticas culturalmente adecuadas con la participación de mujeres indígenas, aplicando un enfoque comprehensivo y holístico, cuyo objetivo sea la prevención, investigación, sanción y reparación de actos de violencia y discriminación cometidos en su contra. </w:t>
      </w:r>
    </w:p>
    <w:p w14:paraId="398EDE95" w14:textId="3197B840" w:rsidR="00663183" w:rsidRPr="004E3E07" w:rsidRDefault="007E25FF" w:rsidP="00663183">
      <w:pPr>
        <w:spacing w:after="0" w:line="240" w:lineRule="auto"/>
        <w:jc w:val="both"/>
        <w:rPr>
          <w:rFonts w:ascii="Cambria" w:eastAsia="Cambria" w:hAnsi="Cambria" w:cs="Cambria"/>
          <w:sz w:val="20"/>
          <w:szCs w:val="20"/>
          <w:lang w:val="es-MX"/>
        </w:rPr>
      </w:pPr>
      <w:r w:rsidRPr="004E3E07">
        <w:rPr>
          <w:rFonts w:ascii="Cambria" w:eastAsia="Cambria" w:hAnsi="Cambria" w:cs="Cambria"/>
          <w:sz w:val="20"/>
          <w:szCs w:val="20"/>
          <w:lang w:val="es-MX"/>
        </w:rPr>
        <w:t xml:space="preserve"> </w:t>
      </w:r>
    </w:p>
    <w:p w14:paraId="1044B5EA" w14:textId="2AF1918B" w:rsidR="00663183" w:rsidRPr="004E3E07" w:rsidRDefault="00663183" w:rsidP="00663183">
      <w:pPr>
        <w:numPr>
          <w:ilvl w:val="0"/>
          <w:numId w:val="5"/>
        </w:numPr>
        <w:spacing w:after="240" w:line="240" w:lineRule="auto"/>
        <w:ind w:left="0" w:firstLine="709"/>
        <w:jc w:val="both"/>
        <w:rPr>
          <w:rFonts w:ascii="Cambria" w:eastAsia="Cambria" w:hAnsi="Cambria" w:cs="Cambria"/>
          <w:sz w:val="20"/>
          <w:szCs w:val="20"/>
          <w:lang w:val="es-MX"/>
        </w:rPr>
      </w:pPr>
      <w:r w:rsidRPr="004E3E07">
        <w:rPr>
          <w:rFonts w:ascii="Cambria" w:eastAsia="Cambria" w:hAnsi="Cambria" w:cs="Cambria"/>
          <w:bCs/>
          <w:sz w:val="20"/>
          <w:szCs w:val="20"/>
          <w:lang w:val="es-MX"/>
        </w:rPr>
        <w:t>En lo relativo a</w:t>
      </w:r>
      <w:r w:rsidRPr="004E3E07">
        <w:rPr>
          <w:rFonts w:ascii="Cambria" w:eastAsia="Cambria" w:hAnsi="Cambria" w:cs="Cambria"/>
          <w:b/>
          <w:sz w:val="20"/>
          <w:szCs w:val="20"/>
          <w:lang w:val="es-MX"/>
        </w:rPr>
        <w:t xml:space="preserve"> implementar y fortalecer medidas, incorporando la perspectiva de género, para cumplir con el deber de actuar con debida diligencia para prevenir, sancionar y erradicar la violencia y discriminación contra las mujeres</w:t>
      </w:r>
      <w:r w:rsidRPr="004E3E07">
        <w:rPr>
          <w:rFonts w:ascii="Cambria" w:eastAsia="Cambria" w:hAnsi="Cambria" w:cs="Cambria"/>
          <w:sz w:val="20"/>
          <w:szCs w:val="20"/>
          <w:lang w:val="es-MX"/>
        </w:rPr>
        <w:t xml:space="preserve">, </w:t>
      </w:r>
      <w:r w:rsidRPr="004E3E07">
        <w:rPr>
          <w:rFonts w:ascii="Cambria" w:eastAsia="Cambria" w:hAnsi="Cambria" w:cs="Cambria"/>
          <w:b/>
          <w:bCs/>
          <w:sz w:val="20"/>
          <w:szCs w:val="20"/>
          <w:lang w:val="es-MX"/>
        </w:rPr>
        <w:t>incluyendo esfuerzos concretos para tal fin</w:t>
      </w:r>
      <w:r w:rsidRPr="004E3E07">
        <w:rPr>
          <w:rFonts w:ascii="Cambria" w:eastAsia="Cambria" w:hAnsi="Cambria" w:cs="Cambria"/>
          <w:sz w:val="20"/>
          <w:szCs w:val="20"/>
          <w:lang w:val="es-MX"/>
        </w:rPr>
        <w:t>, el Estado reportó que durante el transcurso de 2021 la Comisión Nacional para Prevenir y Erradicar la Violencia contra las Mujeres (en adelante la “CONAVIM”) emitió la convocatoria del Sistema de Integridad Institucional (en adelante “SII”) para seleccionar las postulaciones de los Centros de Justicia para las Mujeres (en adelante “CJM”), a fin de obtener la certificación 2021</w:t>
      </w:r>
      <w:r w:rsidRPr="004E3E07">
        <w:rPr>
          <w:rStyle w:val="FootnoteReference"/>
          <w:rFonts w:ascii="Cambria" w:eastAsia="Cambria" w:hAnsi="Cambria" w:cs="Cambria"/>
          <w:sz w:val="20"/>
          <w:szCs w:val="20"/>
          <w:lang w:val="es-MX"/>
        </w:rPr>
        <w:footnoteReference w:id="233"/>
      </w:r>
      <w:r w:rsidRPr="004E3E07">
        <w:rPr>
          <w:rFonts w:ascii="Cambria" w:eastAsia="Cambria" w:hAnsi="Cambria" w:cs="Cambria"/>
          <w:sz w:val="20"/>
          <w:szCs w:val="20"/>
          <w:lang w:val="es-MX"/>
        </w:rPr>
        <w:t>; indicando que de enero a julio de 2021 se certificaron ocho y se recertificaron once CJM en el SII</w:t>
      </w:r>
      <w:r w:rsidRPr="004E3E07">
        <w:rPr>
          <w:rFonts w:ascii="Cambria" w:eastAsia="Cambria" w:hAnsi="Cambria" w:cs="Cambria"/>
          <w:sz w:val="20"/>
          <w:szCs w:val="20"/>
          <w:vertAlign w:val="superscript"/>
          <w:lang w:val="es-MX"/>
        </w:rPr>
        <w:footnoteReference w:id="234"/>
      </w:r>
      <w:r w:rsidRPr="004E3E07">
        <w:rPr>
          <w:rFonts w:ascii="Cambria" w:eastAsia="Cambria" w:hAnsi="Cambria" w:cs="Cambria"/>
          <w:sz w:val="20"/>
          <w:szCs w:val="20"/>
          <w:lang w:val="es-MX"/>
        </w:rPr>
        <w:t xml:space="preserve">. Asimismo, el Estado informó que de enero a julio de 2021 se crearon seis CJM, ubicados en Escárcega, Campeche; San Luis Río Colorado, Sonora; Gómez Palacio, Durango; Ciudad Cuauhtémoc, Chihuahua; Tlaxcala; y la Magdalena Contreras, Ciudad de México; además, se fortalecieron cinco más en Torreón, Saltillo, Piedras Negras y Ciudad Acuña, en Coahuila, y en Culiacán, Sinaloa </w:t>
      </w:r>
      <w:r w:rsidRPr="004E3E07">
        <w:rPr>
          <w:rFonts w:ascii="Cambria" w:eastAsia="Cambria" w:hAnsi="Cambria" w:cs="Cambria"/>
          <w:sz w:val="20"/>
          <w:szCs w:val="20"/>
          <w:vertAlign w:val="superscript"/>
          <w:lang w:val="es-MX"/>
        </w:rPr>
        <w:footnoteReference w:id="235"/>
      </w:r>
      <w:r w:rsidRPr="004E3E07">
        <w:rPr>
          <w:rFonts w:ascii="Cambria" w:eastAsia="Cambria" w:hAnsi="Cambria" w:cs="Cambria"/>
          <w:sz w:val="20"/>
          <w:szCs w:val="20"/>
          <w:lang w:val="es-MX"/>
        </w:rPr>
        <w:t>. Adicionalmente, se toma nota de la inauguración de dos CJM más en San Luis Potosí, SLP</w:t>
      </w:r>
      <w:r w:rsidRPr="004E3E07">
        <w:rPr>
          <w:rStyle w:val="FootnoteReference"/>
          <w:rFonts w:ascii="Cambria" w:eastAsia="Cambria" w:hAnsi="Cambria" w:cs="Cambria"/>
          <w:sz w:val="20"/>
          <w:szCs w:val="20"/>
          <w:lang w:val="es-MX"/>
        </w:rPr>
        <w:footnoteReference w:id="236"/>
      </w:r>
      <w:r w:rsidRPr="004E3E07">
        <w:rPr>
          <w:rFonts w:ascii="Cambria" w:eastAsia="Cambria" w:hAnsi="Cambria" w:cs="Cambria"/>
          <w:sz w:val="20"/>
          <w:szCs w:val="20"/>
          <w:lang w:val="es-MX"/>
        </w:rPr>
        <w:t xml:space="preserve"> y en Uruapan, Michoacán</w:t>
      </w:r>
      <w:r w:rsidRPr="004E3E07">
        <w:rPr>
          <w:rStyle w:val="FootnoteReference"/>
          <w:rFonts w:ascii="Cambria" w:eastAsia="Cambria" w:hAnsi="Cambria" w:cs="Cambria"/>
          <w:sz w:val="20"/>
          <w:szCs w:val="20"/>
          <w:lang w:val="es-MX"/>
        </w:rPr>
        <w:footnoteReference w:id="237"/>
      </w:r>
      <w:r w:rsidRPr="004E3E07">
        <w:rPr>
          <w:rFonts w:ascii="Cambria" w:eastAsia="Cambria" w:hAnsi="Cambria" w:cs="Cambria"/>
          <w:sz w:val="20"/>
          <w:szCs w:val="20"/>
          <w:lang w:val="es-MX"/>
        </w:rPr>
        <w:t>. La CIDH observa que los CJM son espacios donde se concentrar servicios especializados, integrales e interinstitucionales para atender a víctimas de violencia de género</w:t>
      </w:r>
      <w:r w:rsidRPr="004E3E07">
        <w:rPr>
          <w:rFonts w:ascii="Cambria" w:eastAsia="Cambria" w:hAnsi="Cambria" w:cs="Cambria"/>
          <w:sz w:val="20"/>
          <w:szCs w:val="20"/>
          <w:vertAlign w:val="superscript"/>
          <w:lang w:val="es-MX"/>
        </w:rPr>
        <w:footnoteReference w:id="238"/>
      </w:r>
      <w:r w:rsidRPr="004E3E07">
        <w:rPr>
          <w:rFonts w:ascii="Cambria" w:eastAsia="Cambria" w:hAnsi="Cambria" w:cs="Cambria"/>
          <w:sz w:val="20"/>
          <w:szCs w:val="20"/>
          <w:lang w:val="es-MX"/>
        </w:rPr>
        <w:t>, y toma nota de la información presentada por el Estado indicando que los procesos de certificación permiten monitorear la operatividad, calidad y eficiencia de los servicios que ofrecen los CJM, además de favorecer la coordinación con las autoridades estatales para los programas de prevención y atención</w:t>
      </w:r>
      <w:r w:rsidRPr="004E3E07">
        <w:rPr>
          <w:rStyle w:val="FootnoteReference"/>
          <w:rFonts w:ascii="Cambria" w:eastAsia="Cambria" w:hAnsi="Cambria" w:cs="Cambria"/>
          <w:sz w:val="20"/>
          <w:szCs w:val="20"/>
          <w:lang w:val="es-MX"/>
        </w:rPr>
        <w:footnoteReference w:id="239"/>
      </w:r>
      <w:r w:rsidRPr="004E3E07">
        <w:rPr>
          <w:rFonts w:ascii="Cambria" w:eastAsia="Cambria" w:hAnsi="Cambria" w:cs="Cambria"/>
          <w:sz w:val="20"/>
          <w:szCs w:val="20"/>
          <w:lang w:val="es-MX"/>
        </w:rPr>
        <w:t xml:space="preserve">. </w:t>
      </w:r>
    </w:p>
    <w:p w14:paraId="77F6B127" w14:textId="48FA0582" w:rsidR="00663183" w:rsidRPr="004E3E07" w:rsidRDefault="00663183" w:rsidP="00663183">
      <w:pPr>
        <w:numPr>
          <w:ilvl w:val="0"/>
          <w:numId w:val="5"/>
        </w:numPr>
        <w:spacing w:after="240" w:line="240" w:lineRule="auto"/>
        <w:ind w:left="0" w:firstLine="709"/>
        <w:jc w:val="both"/>
        <w:rPr>
          <w:rFonts w:ascii="Cambria" w:eastAsia="Cambria" w:hAnsi="Cambria" w:cs="Cambria"/>
          <w:sz w:val="20"/>
          <w:szCs w:val="20"/>
          <w:lang w:val="es-MX"/>
        </w:rPr>
      </w:pPr>
      <w:r w:rsidRPr="004E3E07">
        <w:rPr>
          <w:rFonts w:ascii="Cambria" w:eastAsia="Cambria" w:hAnsi="Cambria" w:cs="Cambria"/>
          <w:sz w:val="20"/>
          <w:szCs w:val="20"/>
          <w:lang w:val="es-MX"/>
        </w:rPr>
        <w:t xml:space="preserve">Por otra parte, el Estado informó que durante el primer semestre de 2021 se asignaron recursos vía subsidio a las </w:t>
      </w:r>
      <w:r w:rsidR="00623CF6">
        <w:rPr>
          <w:rFonts w:ascii="Cambria" w:eastAsia="Cambria" w:hAnsi="Cambria" w:cs="Cambria"/>
          <w:sz w:val="20"/>
          <w:szCs w:val="20"/>
          <w:lang w:val="es-MX"/>
        </w:rPr>
        <w:t>entidades f</w:t>
      </w:r>
      <w:r w:rsidRPr="00BA6325">
        <w:rPr>
          <w:rFonts w:ascii="Cambria" w:eastAsia="Cambria" w:hAnsi="Cambria" w:cs="Cambria"/>
          <w:sz w:val="20"/>
          <w:szCs w:val="20"/>
          <w:lang w:val="es-MX"/>
        </w:rPr>
        <w:t>ederativas</w:t>
      </w:r>
      <w:r w:rsidRPr="004E3E07">
        <w:rPr>
          <w:rFonts w:ascii="Cambria" w:eastAsia="Cambria" w:hAnsi="Cambria" w:cs="Cambria"/>
          <w:sz w:val="20"/>
          <w:szCs w:val="20"/>
          <w:lang w:val="es-MX"/>
        </w:rPr>
        <w:t xml:space="preserve"> para la debida implementación del Mecanismo de Alertas de Violencia de Género contra las Mujeres</w:t>
      </w:r>
      <w:r w:rsidRPr="004E3E07">
        <w:rPr>
          <w:rStyle w:val="FootnoteReference"/>
          <w:rFonts w:ascii="Cambria" w:eastAsia="Cambria" w:hAnsi="Cambria" w:cs="Cambria"/>
          <w:sz w:val="20"/>
          <w:szCs w:val="20"/>
          <w:lang w:val="es-MX"/>
        </w:rPr>
        <w:footnoteReference w:id="240"/>
      </w:r>
      <w:r w:rsidRPr="004E3E07">
        <w:rPr>
          <w:rFonts w:ascii="Cambria" w:eastAsia="Cambria" w:hAnsi="Cambria" w:cs="Cambria"/>
          <w:sz w:val="20"/>
          <w:szCs w:val="20"/>
          <w:lang w:val="es-MX"/>
        </w:rPr>
        <w:t xml:space="preserve"> (en adelante “AVGM”), los cuales fueron destinados al Diseño de Planes Emergentes en sus cuatro modalidades: </w:t>
      </w:r>
      <w:r w:rsidR="00623CF6">
        <w:rPr>
          <w:rFonts w:ascii="Cambria" w:eastAsia="Cambria" w:hAnsi="Cambria" w:cs="Cambria"/>
          <w:sz w:val="20"/>
          <w:szCs w:val="20"/>
          <w:lang w:val="es-MX"/>
        </w:rPr>
        <w:t>m</w:t>
      </w:r>
      <w:r w:rsidRPr="00BA6325">
        <w:rPr>
          <w:rFonts w:ascii="Cambria" w:eastAsia="Cambria" w:hAnsi="Cambria" w:cs="Cambria"/>
          <w:sz w:val="20"/>
          <w:szCs w:val="20"/>
          <w:lang w:val="es-MX"/>
        </w:rPr>
        <w:t>odalidad</w:t>
      </w:r>
      <w:r w:rsidRPr="004E3E07">
        <w:rPr>
          <w:rFonts w:ascii="Cambria" w:eastAsia="Cambria" w:hAnsi="Cambria" w:cs="Cambria"/>
          <w:sz w:val="20"/>
          <w:szCs w:val="20"/>
          <w:lang w:val="es-MX"/>
        </w:rPr>
        <w:t xml:space="preserve"> 1, para la prevención de los feminicidios con la identificación, atención y canalización a las mujeres víctimas de lesiones dolosas y tentativa de feminicidio (28 proyectos); </w:t>
      </w:r>
      <w:r w:rsidR="00623CF6">
        <w:rPr>
          <w:rFonts w:ascii="Cambria" w:eastAsia="Cambria" w:hAnsi="Cambria" w:cs="Cambria"/>
          <w:sz w:val="20"/>
          <w:szCs w:val="20"/>
          <w:lang w:val="es-MX"/>
        </w:rPr>
        <w:t>m</w:t>
      </w:r>
      <w:r w:rsidRPr="00BA6325">
        <w:rPr>
          <w:rFonts w:ascii="Cambria" w:eastAsia="Cambria" w:hAnsi="Cambria" w:cs="Cambria"/>
          <w:sz w:val="20"/>
          <w:szCs w:val="20"/>
          <w:lang w:val="es-MX"/>
        </w:rPr>
        <w:t>odalidad</w:t>
      </w:r>
      <w:r w:rsidRPr="004E3E07">
        <w:rPr>
          <w:rFonts w:ascii="Cambria" w:eastAsia="Cambria" w:hAnsi="Cambria" w:cs="Cambria"/>
          <w:sz w:val="20"/>
          <w:szCs w:val="20"/>
          <w:lang w:val="es-MX"/>
        </w:rPr>
        <w:t xml:space="preserve"> 2, para el acceso a la justicia con acciones para abatir el rezago de las carpetas de investigación en los delitos de violación simple y equiparada, lesiones dolosas, abuso sexual, violencia contra la mujer, tentativa de feminicidio, feminicidio y homicidio doloso de mujeres y niñas (13 proyectos); </w:t>
      </w:r>
      <w:r w:rsidR="00623CF6">
        <w:rPr>
          <w:rFonts w:ascii="Cambria" w:eastAsia="Cambria" w:hAnsi="Cambria" w:cs="Cambria"/>
          <w:sz w:val="20"/>
          <w:szCs w:val="20"/>
          <w:lang w:val="es-MX"/>
        </w:rPr>
        <w:t>m</w:t>
      </w:r>
      <w:r w:rsidRPr="00BA6325">
        <w:rPr>
          <w:rFonts w:ascii="Cambria" w:eastAsia="Cambria" w:hAnsi="Cambria" w:cs="Cambria"/>
          <w:sz w:val="20"/>
          <w:szCs w:val="20"/>
          <w:lang w:val="es-MX"/>
        </w:rPr>
        <w:t>odalidad</w:t>
      </w:r>
      <w:r w:rsidRPr="004E3E07">
        <w:rPr>
          <w:rFonts w:ascii="Cambria" w:eastAsia="Cambria" w:hAnsi="Cambria" w:cs="Cambria"/>
          <w:sz w:val="20"/>
          <w:szCs w:val="20"/>
          <w:lang w:val="es-MX"/>
        </w:rPr>
        <w:t xml:space="preserve"> 3, para la atención, monitoreo y seguimiento a las mujeres y niñas indígenas y afro mexicanas que viven violencia (7 proyectos) y; </w:t>
      </w:r>
      <w:r w:rsidR="00623CF6">
        <w:rPr>
          <w:rFonts w:ascii="Cambria" w:eastAsia="Cambria" w:hAnsi="Cambria" w:cs="Cambria"/>
          <w:sz w:val="20"/>
          <w:szCs w:val="20"/>
          <w:lang w:val="es-MX"/>
        </w:rPr>
        <w:t>m</w:t>
      </w:r>
      <w:r w:rsidRPr="00BA6325">
        <w:rPr>
          <w:rFonts w:ascii="Cambria" w:eastAsia="Cambria" w:hAnsi="Cambria" w:cs="Cambria"/>
          <w:sz w:val="20"/>
          <w:szCs w:val="20"/>
          <w:lang w:val="es-MX"/>
        </w:rPr>
        <w:t>odalidad</w:t>
      </w:r>
      <w:r w:rsidRPr="004E3E07">
        <w:rPr>
          <w:rFonts w:ascii="Cambria" w:eastAsia="Cambria" w:hAnsi="Cambria" w:cs="Cambria"/>
          <w:sz w:val="20"/>
          <w:szCs w:val="20"/>
          <w:lang w:val="es-MX"/>
        </w:rPr>
        <w:t xml:space="preserve"> 4, para el diseño e implementación de una metodología de seguimiento y monitoreo a las modalidades 1, 2 y 3 (6 proyectos)</w:t>
      </w:r>
      <w:r w:rsidRPr="004E3E07">
        <w:rPr>
          <w:rFonts w:ascii="Cambria" w:eastAsia="Cambria" w:hAnsi="Cambria" w:cs="Cambria"/>
          <w:sz w:val="20"/>
          <w:szCs w:val="20"/>
          <w:vertAlign w:val="superscript"/>
          <w:lang w:val="es-MX"/>
        </w:rPr>
        <w:footnoteReference w:id="241"/>
      </w:r>
      <w:r w:rsidRPr="004E3E07">
        <w:rPr>
          <w:rFonts w:ascii="Cambria" w:eastAsia="Cambria" w:hAnsi="Cambria" w:cs="Cambria"/>
          <w:sz w:val="20"/>
          <w:szCs w:val="20"/>
          <w:lang w:val="es-MX"/>
        </w:rPr>
        <w:t xml:space="preserve">. </w:t>
      </w:r>
    </w:p>
    <w:p w14:paraId="455A54AA" w14:textId="77777777" w:rsidR="00663183" w:rsidRPr="004E3E07" w:rsidRDefault="00663183" w:rsidP="00663183">
      <w:pPr>
        <w:numPr>
          <w:ilvl w:val="0"/>
          <w:numId w:val="5"/>
        </w:numPr>
        <w:spacing w:after="240" w:line="240" w:lineRule="auto"/>
        <w:ind w:left="0" w:firstLine="709"/>
        <w:jc w:val="both"/>
        <w:rPr>
          <w:rFonts w:ascii="Cambria" w:eastAsia="Cambria" w:hAnsi="Cambria" w:cs="Cambria"/>
          <w:sz w:val="20"/>
          <w:szCs w:val="20"/>
          <w:lang w:val="es-MX"/>
        </w:rPr>
      </w:pPr>
      <w:r w:rsidRPr="004E3E07">
        <w:rPr>
          <w:rFonts w:ascii="Cambria" w:eastAsia="Cambria" w:hAnsi="Cambria" w:cs="Cambria"/>
          <w:sz w:val="20"/>
          <w:szCs w:val="20"/>
          <w:lang w:val="es-MX"/>
        </w:rPr>
        <w:t>Asimismo, el Estado indicó que al mes de agosto de 2021 se mantienen activas 25 AVGM en 22 entidades federativas</w:t>
      </w:r>
      <w:r w:rsidRPr="004E3E07">
        <w:rPr>
          <w:rFonts w:ascii="Cambria" w:eastAsia="Cambria" w:hAnsi="Cambria" w:cs="Cambria"/>
          <w:sz w:val="20"/>
          <w:szCs w:val="20"/>
          <w:vertAlign w:val="superscript"/>
          <w:lang w:val="es-MX"/>
        </w:rPr>
        <w:footnoteReference w:id="242"/>
      </w:r>
      <w:r w:rsidRPr="004E3E07">
        <w:rPr>
          <w:rFonts w:ascii="Cambria" w:eastAsia="Cambria" w:hAnsi="Cambria" w:cs="Cambria"/>
          <w:sz w:val="20"/>
          <w:szCs w:val="20"/>
          <w:lang w:val="es-MX"/>
        </w:rPr>
        <w:t>. En particular, informó que el 25 de junio de 2021 se emitió nueva declaratoria de AVGM para el Estado de Baja California por violencia feminicida, y en el mes de agosto de 2021 se emitieron nuevas declaratorias para los Estados de Chihuahua, Tlaxcala y Sonora por violencia feminicida, y una nueva resolución por alerta ya declarada para el Estado de Oaxaca, también por violencia feminicida</w:t>
      </w:r>
      <w:r w:rsidRPr="004E3E07">
        <w:rPr>
          <w:rFonts w:ascii="Cambria" w:eastAsia="Cambria" w:hAnsi="Cambria" w:cs="Cambria"/>
          <w:sz w:val="20"/>
          <w:szCs w:val="20"/>
          <w:vertAlign w:val="superscript"/>
          <w:lang w:val="es-MX"/>
        </w:rPr>
        <w:footnoteReference w:id="243"/>
      </w:r>
      <w:r w:rsidRPr="004E3E07">
        <w:rPr>
          <w:rFonts w:ascii="Cambria" w:eastAsia="Cambria" w:hAnsi="Cambria" w:cs="Cambria"/>
          <w:sz w:val="20"/>
          <w:szCs w:val="20"/>
          <w:lang w:val="es-MX"/>
        </w:rPr>
        <w:t>. Por su parte, la Comisión Nacional de Derechos Humanos (en adelante la “CNDH”) informó que durante el 2021 ha dado seguimiento a 27 procedimientos de AVGM, de los cuales 22 corresponden a declaratorias de AVGM y 5 a solicitudes que están por resolverse</w:t>
      </w:r>
      <w:r w:rsidRPr="004E3E07">
        <w:rPr>
          <w:rFonts w:ascii="Cambria" w:eastAsia="Cambria" w:hAnsi="Cambria" w:cs="Cambria"/>
          <w:sz w:val="20"/>
          <w:szCs w:val="20"/>
          <w:vertAlign w:val="superscript"/>
          <w:lang w:val="es-MX"/>
        </w:rPr>
        <w:footnoteReference w:id="244"/>
      </w:r>
      <w:r w:rsidRPr="004E3E07">
        <w:rPr>
          <w:rFonts w:ascii="Cambria" w:eastAsia="Cambria" w:hAnsi="Cambria" w:cs="Cambria"/>
          <w:sz w:val="20"/>
          <w:szCs w:val="20"/>
          <w:lang w:val="es-MX"/>
        </w:rPr>
        <w:t xml:space="preserve">. </w:t>
      </w:r>
    </w:p>
    <w:p w14:paraId="35907919" w14:textId="2C6B3699" w:rsidR="00663183" w:rsidRPr="004E3E07" w:rsidRDefault="00663183" w:rsidP="00663183">
      <w:pPr>
        <w:numPr>
          <w:ilvl w:val="0"/>
          <w:numId w:val="5"/>
        </w:numPr>
        <w:spacing w:after="240" w:line="240" w:lineRule="auto"/>
        <w:ind w:left="0" w:firstLine="709"/>
        <w:jc w:val="both"/>
        <w:rPr>
          <w:rFonts w:ascii="Cambria" w:eastAsia="Cambria" w:hAnsi="Cambria" w:cs="Cambria"/>
          <w:sz w:val="20"/>
          <w:szCs w:val="20"/>
          <w:lang w:val="es-MX"/>
        </w:rPr>
      </w:pPr>
      <w:r w:rsidRPr="004E3E07">
        <w:rPr>
          <w:rFonts w:ascii="Cambria" w:eastAsia="Cambria" w:hAnsi="Cambria" w:cs="Cambria"/>
          <w:sz w:val="20"/>
          <w:szCs w:val="20"/>
          <w:lang w:val="es-MX"/>
        </w:rPr>
        <w:t xml:space="preserve">El Estado también informó acerca de la continuación en la implementación de </w:t>
      </w:r>
      <w:r w:rsidRPr="00220665">
        <w:rPr>
          <w:rFonts w:ascii="Cambria" w:eastAsia="Cambria" w:hAnsi="Cambria" w:cs="Cambria"/>
          <w:sz w:val="20"/>
          <w:szCs w:val="20"/>
          <w:lang w:val="es-MX"/>
        </w:rPr>
        <w:t xml:space="preserve">la </w:t>
      </w:r>
      <w:r w:rsidR="00220665">
        <w:rPr>
          <w:rFonts w:ascii="Cambria" w:eastAsia="Cambria" w:hAnsi="Cambria" w:cs="Cambria"/>
          <w:sz w:val="20"/>
          <w:szCs w:val="20"/>
          <w:lang w:val="es-MX"/>
        </w:rPr>
        <w:t>“</w:t>
      </w:r>
      <w:r w:rsidRPr="00220665">
        <w:rPr>
          <w:rFonts w:ascii="Cambria" w:eastAsia="Cambria" w:hAnsi="Cambria" w:cs="Cambria"/>
          <w:sz w:val="20"/>
          <w:szCs w:val="20"/>
          <w:lang w:val="es-MX"/>
        </w:rPr>
        <w:t>Estrategia para la transversalización e institucionalización de género</w:t>
      </w:r>
      <w:r w:rsidR="00220665">
        <w:rPr>
          <w:rFonts w:ascii="Cambria" w:eastAsia="Cambria" w:hAnsi="Cambria" w:cs="Cambria"/>
          <w:sz w:val="20"/>
          <w:szCs w:val="20"/>
          <w:lang w:val="es-MX"/>
        </w:rPr>
        <w:t>”</w:t>
      </w:r>
      <w:r w:rsidRPr="004E3E07">
        <w:rPr>
          <w:rFonts w:ascii="Cambria" w:eastAsia="Cambria" w:hAnsi="Cambria" w:cs="Cambria"/>
          <w:sz w:val="20"/>
          <w:szCs w:val="20"/>
          <w:lang w:val="es-MX"/>
        </w:rPr>
        <w:t xml:space="preserve"> al interior del Consejo de la Judicatura Federal (CJF), iniciada en el año 2019, a partir de una política integral que comprende tres líneas de acción: 1) juzgar y defender con perspectiva de género; 2) conciliación personal, familiar y laboral, y 3) consolidar una cultura de igualdad de género. En el marco de dicha estrategia, el Estado reporta haber realizado acciones institucionales para alcanzar la paridad de género; prevenir y atender casos de acoso sexual y cualquier otra forma de violencia de género en el CJF; capacitar y formar en materia de género para el desarrollo de habilidad y competencias del personal del CJF; fortalecer la incorporación de la perspectiva de género en el Instituto de la Defensoría Pública; y, fortalecer la estrategia de comunicación de la igualdad de género del CJF</w:t>
      </w:r>
      <w:r w:rsidRPr="004E3E07">
        <w:rPr>
          <w:rStyle w:val="FootnoteReference"/>
          <w:rFonts w:ascii="Cambria" w:eastAsia="Cambria" w:hAnsi="Cambria" w:cs="Cambria"/>
          <w:sz w:val="20"/>
          <w:szCs w:val="20"/>
          <w:lang w:val="es-MX"/>
        </w:rPr>
        <w:footnoteReference w:id="245"/>
      </w:r>
      <w:r w:rsidRPr="004E3E07">
        <w:rPr>
          <w:rFonts w:ascii="Cambria" w:eastAsia="Cambria" w:hAnsi="Cambria" w:cs="Cambria"/>
          <w:sz w:val="20"/>
          <w:szCs w:val="20"/>
          <w:lang w:val="es-MX"/>
        </w:rPr>
        <w:t xml:space="preserve">. </w:t>
      </w:r>
    </w:p>
    <w:p w14:paraId="27A0CFD8" w14:textId="2C26D00B" w:rsidR="00663183" w:rsidRPr="004E3E07" w:rsidRDefault="00663183" w:rsidP="00663183">
      <w:pPr>
        <w:numPr>
          <w:ilvl w:val="0"/>
          <w:numId w:val="5"/>
        </w:numPr>
        <w:spacing w:after="240" w:line="240" w:lineRule="auto"/>
        <w:ind w:left="0" w:firstLine="709"/>
        <w:jc w:val="both"/>
        <w:rPr>
          <w:rFonts w:ascii="Cambria" w:eastAsia="Cambria" w:hAnsi="Cambria" w:cs="Cambria"/>
          <w:sz w:val="20"/>
          <w:szCs w:val="20"/>
          <w:lang w:val="es-MX"/>
        </w:rPr>
      </w:pPr>
      <w:r w:rsidRPr="004E3E07">
        <w:rPr>
          <w:rFonts w:ascii="Cambria" w:eastAsia="Cambria" w:hAnsi="Cambria" w:cs="Cambria"/>
          <w:sz w:val="20"/>
          <w:szCs w:val="20"/>
          <w:lang w:val="es-MX"/>
        </w:rPr>
        <w:t>Asimismo, el Estado informó que, con el objetivo de fortalecer la integración de la perspectiva de género en las investigaciones de delitos federales, la FGR</w:t>
      </w:r>
      <w:r w:rsidR="00623CF6">
        <w:rPr>
          <w:rFonts w:ascii="Cambria" w:eastAsia="Cambria" w:hAnsi="Cambria" w:cs="Cambria"/>
          <w:sz w:val="20"/>
          <w:szCs w:val="20"/>
          <w:lang w:val="es-MX"/>
        </w:rPr>
        <w:t xml:space="preserve"> </w:t>
      </w:r>
      <w:r w:rsidRPr="00BA6325">
        <w:rPr>
          <w:rFonts w:ascii="Cambria" w:eastAsia="Cambria" w:hAnsi="Cambria" w:cs="Cambria"/>
          <w:sz w:val="20"/>
          <w:szCs w:val="20"/>
          <w:lang w:val="es-MX"/>
        </w:rPr>
        <w:t>colaboró</w:t>
      </w:r>
      <w:r w:rsidRPr="004E3E07">
        <w:rPr>
          <w:rFonts w:ascii="Cambria" w:eastAsia="Cambria" w:hAnsi="Cambria" w:cs="Cambria"/>
          <w:sz w:val="20"/>
          <w:szCs w:val="20"/>
          <w:lang w:val="es-MX"/>
        </w:rPr>
        <w:t xml:space="preserve"> durante el 2021 con distintas áreas ministeriales para emitir opiniones técnicas expertas respecto a tres carpetas de investigación, utilizando la metodología para la aplicación de la perspectiva de género establecida en el Protocolo de la </w:t>
      </w:r>
      <w:r w:rsidR="00BC7E6E">
        <w:rPr>
          <w:rFonts w:ascii="Cambria" w:eastAsia="Cambria" w:hAnsi="Cambria" w:cs="Cambria"/>
          <w:sz w:val="20"/>
          <w:szCs w:val="20"/>
          <w:lang w:val="es-MX"/>
        </w:rPr>
        <w:t>SCJN</w:t>
      </w:r>
      <w:r w:rsidRPr="004E3E07">
        <w:rPr>
          <w:rFonts w:ascii="Cambria" w:eastAsia="Cambria" w:hAnsi="Cambria" w:cs="Cambria"/>
          <w:sz w:val="20"/>
          <w:szCs w:val="20"/>
          <w:lang w:val="es-MX"/>
        </w:rPr>
        <w:t xml:space="preserve"> en la materia</w:t>
      </w:r>
      <w:r w:rsidRPr="004E3E07">
        <w:rPr>
          <w:rFonts w:ascii="Cambria" w:eastAsia="Cambria" w:hAnsi="Cambria" w:cs="Cambria"/>
          <w:sz w:val="20"/>
          <w:szCs w:val="20"/>
          <w:vertAlign w:val="superscript"/>
          <w:lang w:val="es-MX"/>
        </w:rPr>
        <w:footnoteReference w:id="246"/>
      </w:r>
      <w:r w:rsidRPr="004E3E07">
        <w:rPr>
          <w:rFonts w:ascii="Cambria" w:eastAsia="Cambria" w:hAnsi="Cambria" w:cs="Cambria"/>
          <w:sz w:val="20"/>
          <w:szCs w:val="20"/>
          <w:lang w:val="es-MX"/>
        </w:rPr>
        <w:t>.</w:t>
      </w:r>
    </w:p>
    <w:p w14:paraId="12A85294" w14:textId="3A519771" w:rsidR="00663183" w:rsidRPr="004E3E07" w:rsidRDefault="00DA060E" w:rsidP="00663183">
      <w:pPr>
        <w:numPr>
          <w:ilvl w:val="0"/>
          <w:numId w:val="5"/>
        </w:numPr>
        <w:spacing w:after="240" w:line="240" w:lineRule="auto"/>
        <w:ind w:left="0" w:firstLine="709"/>
        <w:jc w:val="both"/>
        <w:rPr>
          <w:rFonts w:ascii="Cambria" w:eastAsia="Cambria" w:hAnsi="Cambria" w:cs="Cambria"/>
          <w:sz w:val="20"/>
          <w:szCs w:val="20"/>
          <w:lang w:val="es-MX"/>
        </w:rPr>
      </w:pPr>
      <w:r>
        <w:rPr>
          <w:rFonts w:ascii="Cambria" w:eastAsia="Cambria" w:hAnsi="Cambria" w:cs="Cambria"/>
          <w:sz w:val="20"/>
          <w:szCs w:val="20"/>
          <w:lang w:val="es-MX"/>
        </w:rPr>
        <w:t>El Estado reportó</w:t>
      </w:r>
      <w:r w:rsidR="001C7D32" w:rsidRPr="004E3E07">
        <w:rPr>
          <w:rFonts w:ascii="Cambria" w:eastAsia="Cambria" w:hAnsi="Cambria" w:cs="Cambria"/>
          <w:sz w:val="20"/>
          <w:szCs w:val="20"/>
          <w:vertAlign w:val="superscript"/>
          <w:lang w:val="es-MX"/>
        </w:rPr>
        <w:footnoteReference w:id="247"/>
      </w:r>
      <w:r>
        <w:rPr>
          <w:rFonts w:ascii="Cambria" w:eastAsia="Cambria" w:hAnsi="Cambria" w:cs="Cambria"/>
          <w:sz w:val="20"/>
          <w:szCs w:val="20"/>
          <w:lang w:val="es-MX"/>
        </w:rPr>
        <w:t xml:space="preserve"> también una serie de actividades específicas </w:t>
      </w:r>
      <w:r w:rsidR="00AA4F42" w:rsidRPr="004E3E07">
        <w:rPr>
          <w:rFonts w:ascii="Cambria" w:eastAsia="Cambria" w:hAnsi="Cambria" w:cs="Cambria"/>
          <w:sz w:val="20"/>
          <w:szCs w:val="20"/>
          <w:lang w:val="es-MX"/>
        </w:rPr>
        <w:t>para prevenir y eliminar el feminicidio en</w:t>
      </w:r>
      <w:r w:rsidR="00B67E35">
        <w:rPr>
          <w:rFonts w:ascii="Cambria" w:eastAsia="Cambria" w:hAnsi="Cambria" w:cs="Cambria"/>
          <w:sz w:val="20"/>
          <w:szCs w:val="20"/>
          <w:lang w:val="es-MX"/>
        </w:rPr>
        <w:t xml:space="preserve"> México</w:t>
      </w:r>
      <w:r w:rsidR="00AA4F42" w:rsidRPr="004E3E07">
        <w:rPr>
          <w:rFonts w:ascii="Cambria" w:eastAsia="Cambria" w:hAnsi="Cambria" w:cs="Cambria"/>
          <w:sz w:val="20"/>
          <w:szCs w:val="20"/>
          <w:lang w:val="es-MX"/>
        </w:rPr>
        <w:t>, así como otras formas de violencia contra mujeres, niñas y adolescentes</w:t>
      </w:r>
      <w:r w:rsidR="00AA4F42">
        <w:rPr>
          <w:rFonts w:ascii="Cambria" w:eastAsia="Cambria" w:hAnsi="Cambria" w:cs="Cambria"/>
          <w:sz w:val="20"/>
          <w:szCs w:val="20"/>
          <w:lang w:val="es-MX"/>
        </w:rPr>
        <w:t xml:space="preserve"> </w:t>
      </w:r>
      <w:r w:rsidR="00B67E35">
        <w:rPr>
          <w:rFonts w:ascii="Cambria" w:eastAsia="Cambria" w:hAnsi="Cambria" w:cs="Cambria"/>
          <w:sz w:val="20"/>
          <w:szCs w:val="20"/>
          <w:lang w:val="es-MX"/>
        </w:rPr>
        <w:t>en materia de derechos de las mujeres y violencia de género</w:t>
      </w:r>
      <w:r w:rsidR="00DF647F">
        <w:rPr>
          <w:rStyle w:val="FootnoteReference"/>
          <w:rFonts w:ascii="Cambria" w:eastAsia="Cambria" w:hAnsi="Cambria" w:cs="Cambria"/>
          <w:sz w:val="20"/>
          <w:szCs w:val="20"/>
          <w:lang w:val="es-MX"/>
        </w:rPr>
        <w:footnoteReference w:id="248"/>
      </w:r>
      <w:r w:rsidR="00B67E35">
        <w:rPr>
          <w:rFonts w:ascii="Cambria" w:eastAsia="Cambria" w:hAnsi="Cambria" w:cs="Cambria"/>
          <w:sz w:val="20"/>
          <w:szCs w:val="20"/>
          <w:lang w:val="es-MX"/>
        </w:rPr>
        <w:t>.</w:t>
      </w:r>
    </w:p>
    <w:p w14:paraId="11E278AA" w14:textId="67CC0B10" w:rsidR="00663183" w:rsidRPr="004E3E07" w:rsidRDefault="00663183" w:rsidP="00663183">
      <w:pPr>
        <w:numPr>
          <w:ilvl w:val="0"/>
          <w:numId w:val="5"/>
        </w:numPr>
        <w:spacing w:after="240" w:line="240" w:lineRule="auto"/>
        <w:ind w:left="0" w:firstLine="709"/>
        <w:jc w:val="both"/>
        <w:rPr>
          <w:rFonts w:ascii="Cambria" w:eastAsia="Cambria" w:hAnsi="Cambria" w:cs="Cambria"/>
          <w:sz w:val="20"/>
          <w:szCs w:val="20"/>
          <w:lang w:val="es-MX"/>
        </w:rPr>
      </w:pPr>
      <w:r w:rsidRPr="004E3E07">
        <w:rPr>
          <w:rFonts w:ascii="Cambria" w:eastAsia="Cambria" w:hAnsi="Cambria" w:cs="Cambria"/>
          <w:sz w:val="20"/>
          <w:szCs w:val="20"/>
          <w:lang w:val="es-MX"/>
        </w:rPr>
        <w:t>La Comisión toma nota de la adopción de medidas legislativas relacionadas con la prevención y sanción de la violencia contra las mujeres. En particular, observa que en marzo de 2021 se reformó la Ley General de Acceso de las Mujeres a una Vida Libre de Violencia para fortalecer las órdenes de protección a víctimas de violencia e integrar la violencia digital y mediática como una modalidad de la violencia contra las mujeres</w:t>
      </w:r>
      <w:r w:rsidRPr="004E3E07">
        <w:rPr>
          <w:rFonts w:ascii="Cambria" w:eastAsia="Cambria" w:hAnsi="Cambria" w:cs="Cambria"/>
          <w:sz w:val="20"/>
          <w:szCs w:val="20"/>
          <w:vertAlign w:val="superscript"/>
          <w:lang w:val="es-MX"/>
        </w:rPr>
        <w:footnoteReference w:id="249"/>
      </w:r>
      <w:r w:rsidRPr="004E3E07">
        <w:rPr>
          <w:rFonts w:ascii="Cambria" w:eastAsia="Cambria" w:hAnsi="Cambria" w:cs="Cambria"/>
          <w:sz w:val="20"/>
          <w:szCs w:val="20"/>
          <w:lang w:val="es-MX"/>
        </w:rPr>
        <w:t>; y el Código Penal Federal en junio de 2021 para integrar el tipo penal de violación a la intimidad sexual</w:t>
      </w:r>
      <w:r w:rsidRPr="004E3E07">
        <w:rPr>
          <w:rFonts w:ascii="Cambria" w:eastAsia="Cambria" w:hAnsi="Cambria" w:cs="Cambria"/>
          <w:sz w:val="20"/>
          <w:szCs w:val="20"/>
          <w:vertAlign w:val="superscript"/>
          <w:lang w:val="es-MX"/>
        </w:rPr>
        <w:footnoteReference w:id="250"/>
      </w:r>
      <w:r w:rsidR="00487A74" w:rsidRPr="00BA6325">
        <w:rPr>
          <w:rFonts w:ascii="Cambria" w:eastAsia="Cambria" w:hAnsi="Cambria" w:cs="Cambria"/>
          <w:sz w:val="20"/>
          <w:szCs w:val="20"/>
          <w:lang w:val="es-MX"/>
        </w:rPr>
        <w:t>.</w:t>
      </w:r>
      <w:r w:rsidRPr="004E3E07">
        <w:rPr>
          <w:rFonts w:ascii="Cambria" w:eastAsia="Cambria" w:hAnsi="Cambria" w:cs="Cambria"/>
          <w:sz w:val="20"/>
          <w:szCs w:val="20"/>
          <w:lang w:val="es-MX"/>
        </w:rPr>
        <w:t xml:space="preserve"> Asimismo, la CIDH tuvo conocimiento de la modificación del Código Penal de Chihuahua en mayo de 2021 para declarar el delito de feminicidio como imprescriptible</w:t>
      </w:r>
      <w:r w:rsidRPr="004E3E07">
        <w:rPr>
          <w:rFonts w:ascii="Cambria" w:eastAsia="Cambria" w:hAnsi="Cambria" w:cs="Cambria"/>
          <w:sz w:val="20"/>
          <w:szCs w:val="20"/>
          <w:vertAlign w:val="superscript"/>
          <w:lang w:val="es-MX"/>
        </w:rPr>
        <w:footnoteReference w:id="251"/>
      </w:r>
      <w:r w:rsidRPr="004E3E07">
        <w:rPr>
          <w:rFonts w:ascii="Cambria" w:eastAsia="Cambria" w:hAnsi="Cambria" w:cs="Cambria"/>
          <w:sz w:val="20"/>
          <w:szCs w:val="20"/>
          <w:lang w:val="es-MX"/>
        </w:rPr>
        <w:t xml:space="preserve">. </w:t>
      </w:r>
    </w:p>
    <w:p w14:paraId="72FF4F05" w14:textId="4076479D" w:rsidR="00663183" w:rsidRPr="004E3E07" w:rsidRDefault="00663183" w:rsidP="00663183">
      <w:pPr>
        <w:numPr>
          <w:ilvl w:val="0"/>
          <w:numId w:val="5"/>
        </w:numPr>
        <w:spacing w:after="240" w:line="240" w:lineRule="auto"/>
        <w:ind w:left="0" w:firstLine="709"/>
        <w:jc w:val="both"/>
        <w:rPr>
          <w:rFonts w:ascii="Cambria" w:eastAsia="Cambria" w:hAnsi="Cambria" w:cs="Cambria"/>
          <w:sz w:val="20"/>
          <w:szCs w:val="20"/>
          <w:lang w:val="es-MX"/>
        </w:rPr>
      </w:pPr>
      <w:r w:rsidRPr="004E3E07">
        <w:rPr>
          <w:rFonts w:ascii="Cambria" w:eastAsia="Cambria" w:hAnsi="Cambria" w:cs="Cambria"/>
          <w:sz w:val="20"/>
          <w:szCs w:val="20"/>
          <w:lang w:val="es-MX"/>
        </w:rPr>
        <w:t>Sin embargo, la CIDH advierte con extrema preocupación la persistencia de altas tasas de violencia de género contra las mujeres en México, particularmente violencia feminicida, sexual y doméstica. Según información del Secretariado Ejecutivo del Sistema Nacional de Seguridad Pública, de enero a octubre de 2021 se registraron a nivel nacional en el fuero común 809 casos de feminicidio; 58,489 agresiones contra la libertad y seguridad sexual, incluyendo abuso, acoso, hostigamiento, violación simple y equiparada, incesto y otros delitos sexuales; y 214,277 casos de violencia familiar</w:t>
      </w:r>
      <w:r w:rsidRPr="004E3E07">
        <w:rPr>
          <w:rFonts w:ascii="Cambria" w:eastAsia="Cambria" w:hAnsi="Cambria" w:cs="Cambria"/>
          <w:sz w:val="20"/>
          <w:szCs w:val="20"/>
          <w:vertAlign w:val="superscript"/>
          <w:lang w:val="es-MX"/>
        </w:rPr>
        <w:footnoteReference w:id="252"/>
      </w:r>
      <w:r w:rsidRPr="004E3E07">
        <w:rPr>
          <w:rFonts w:ascii="Cambria" w:eastAsia="Cambria" w:hAnsi="Cambria" w:cs="Cambria"/>
          <w:sz w:val="20"/>
          <w:szCs w:val="20"/>
          <w:lang w:val="es-MX"/>
        </w:rPr>
        <w:t xml:space="preserve">. En la misma temporalidad se registraron </w:t>
      </w:r>
      <w:sdt>
        <w:sdtPr>
          <w:rPr>
            <w:rFonts w:ascii="Cambria" w:hAnsi="Cambria"/>
            <w:sz w:val="20"/>
            <w:szCs w:val="20"/>
            <w:lang w:val="es-MX"/>
          </w:rPr>
          <w:tag w:val="goog_rdk_3"/>
          <w:id w:val="957760173"/>
        </w:sdtPr>
        <w:sdtEndPr/>
        <w:sdtContent/>
      </w:sdt>
      <w:r w:rsidRPr="004E3E07">
        <w:rPr>
          <w:rFonts w:ascii="Cambria" w:eastAsia="Cambria" w:hAnsi="Cambria" w:cs="Cambria"/>
          <w:sz w:val="20"/>
          <w:szCs w:val="20"/>
          <w:lang w:val="es-MX"/>
        </w:rPr>
        <w:t>581, 849 llamadas de emergencia relacionadas con incidentes de violencia familiar</w:t>
      </w:r>
      <w:r w:rsidRPr="004E3E07">
        <w:rPr>
          <w:rFonts w:ascii="Cambria" w:eastAsia="Cambria" w:hAnsi="Cambria" w:cs="Cambria"/>
          <w:sz w:val="20"/>
          <w:szCs w:val="20"/>
          <w:vertAlign w:val="superscript"/>
          <w:lang w:val="es-MX"/>
        </w:rPr>
        <w:footnoteReference w:id="253"/>
      </w:r>
      <w:r w:rsidRPr="004E3E07">
        <w:rPr>
          <w:rFonts w:ascii="Cambria" w:eastAsia="Cambria" w:hAnsi="Cambria" w:cs="Cambria"/>
          <w:sz w:val="20"/>
          <w:szCs w:val="20"/>
          <w:lang w:val="es-MX"/>
        </w:rPr>
        <w:t>. La Comisión reitera la importancia de garantizar que la investigación, sanción y reparación de actos de violencia basada en género contra las mujeres sean llevadas a cabo con la debida diligencia estricta, integrando la perspectiva de género y enfoque interseccional, con el objetivo de disminuir los niveles de impunidad y prevenir la repetición de la violencia</w:t>
      </w:r>
      <w:r w:rsidR="002F1A6A">
        <w:rPr>
          <w:rStyle w:val="FootnoteReference"/>
          <w:rFonts w:ascii="Cambria" w:eastAsia="Cambria" w:hAnsi="Cambria" w:cs="Cambria"/>
          <w:sz w:val="20"/>
          <w:szCs w:val="20"/>
          <w:lang w:val="es-MX"/>
        </w:rPr>
        <w:footnoteReference w:id="254"/>
      </w:r>
      <w:r w:rsidRPr="004E3E07">
        <w:rPr>
          <w:rFonts w:ascii="Cambria" w:eastAsia="Cambria" w:hAnsi="Cambria" w:cs="Cambria"/>
          <w:sz w:val="20"/>
          <w:szCs w:val="20"/>
          <w:lang w:val="es-MX"/>
        </w:rPr>
        <w:t>.</w:t>
      </w:r>
    </w:p>
    <w:p w14:paraId="70EC02A6" w14:textId="2CC711AB" w:rsidR="00663183" w:rsidRPr="00435CB0" w:rsidRDefault="00663183" w:rsidP="002F1A6A">
      <w:pPr>
        <w:numPr>
          <w:ilvl w:val="0"/>
          <w:numId w:val="5"/>
        </w:numPr>
        <w:spacing w:after="240" w:line="240" w:lineRule="auto"/>
        <w:ind w:left="0" w:firstLine="709"/>
        <w:jc w:val="both"/>
        <w:rPr>
          <w:rFonts w:ascii="Cambria" w:eastAsia="Cambria" w:hAnsi="Cambria" w:cs="Cambria"/>
          <w:sz w:val="20"/>
          <w:szCs w:val="20"/>
          <w:lang w:val="es-MX"/>
        </w:rPr>
      </w:pPr>
      <w:r w:rsidRPr="00435CB0">
        <w:rPr>
          <w:rFonts w:ascii="Cambria" w:eastAsia="Cambria" w:hAnsi="Cambria" w:cs="Cambria"/>
          <w:sz w:val="20"/>
          <w:szCs w:val="20"/>
          <w:lang w:val="es-MX"/>
        </w:rPr>
        <w:t>Asimismo, la CIDH fue informada acerca de hechos de violencia de género y uso excesivo de la fuerza contra mujeres en el marco de las protestas feministas y en contra de la violencia de género, destacando que dichas protestas han sido estigmatizadas como violentas a través de discursos oficiales</w:t>
      </w:r>
      <w:r w:rsidRPr="00435CB0">
        <w:rPr>
          <w:rStyle w:val="FootnoteReference"/>
          <w:rFonts w:ascii="Cambria" w:eastAsia="Cambria" w:hAnsi="Cambria" w:cs="Cambria"/>
          <w:sz w:val="20"/>
          <w:szCs w:val="20"/>
          <w:lang w:val="es-MX"/>
        </w:rPr>
        <w:footnoteReference w:id="255"/>
      </w:r>
      <w:r w:rsidRPr="00435CB0">
        <w:rPr>
          <w:rFonts w:ascii="Cambria" w:eastAsia="Cambria" w:hAnsi="Cambria" w:cs="Cambria"/>
          <w:sz w:val="20"/>
          <w:szCs w:val="20"/>
          <w:lang w:val="es-MX"/>
        </w:rPr>
        <w:t xml:space="preserve">. </w:t>
      </w:r>
      <w:r w:rsidR="002F1A6A" w:rsidRPr="00435CB0">
        <w:rPr>
          <w:rFonts w:ascii="Cambria" w:eastAsia="Cambria" w:hAnsi="Cambria" w:cs="Cambria"/>
          <w:sz w:val="20"/>
          <w:szCs w:val="20"/>
          <w:lang w:val="es-MX"/>
        </w:rPr>
        <w:t>En sus observaciones al proyecto del presente informe, el Estado informó que se realizó acompañamiento a víctimas de represión policial en el marco de las manifestaciones del 9 de noviembre. Así  mismo, se envió un pronunciamiento a todas y todos los gobernadores de las 32 entidades federativas, a las y los secretarios de Seguridad Pública, con el firme propósito de coadyuvar con las autoridades en la capacitación de sus elementos para prevenir la violencia contra las mujeres en las manifestaciones</w:t>
      </w:r>
      <w:r w:rsidR="002F1A6A" w:rsidRPr="00435CB0">
        <w:rPr>
          <w:rStyle w:val="FootnoteReference"/>
          <w:rFonts w:ascii="Cambria" w:eastAsia="Cambria" w:hAnsi="Cambria" w:cs="Cambria"/>
          <w:sz w:val="20"/>
          <w:szCs w:val="20"/>
          <w:lang w:val="es-MX"/>
        </w:rPr>
        <w:footnoteReference w:id="256"/>
      </w:r>
      <w:r w:rsidR="002F1A6A" w:rsidRPr="00435CB0">
        <w:rPr>
          <w:rFonts w:ascii="Cambria" w:eastAsia="Cambria" w:hAnsi="Cambria" w:cs="Cambria"/>
          <w:sz w:val="20"/>
          <w:szCs w:val="20"/>
          <w:lang w:val="es-MX"/>
        </w:rPr>
        <w:t xml:space="preserve">. </w:t>
      </w:r>
      <w:r w:rsidR="00220665" w:rsidRPr="00435CB0">
        <w:rPr>
          <w:rFonts w:ascii="Cambria" w:eastAsia="Cambria" w:hAnsi="Cambria" w:cs="Cambria"/>
          <w:sz w:val="20"/>
          <w:szCs w:val="20"/>
          <w:lang w:val="es-MX"/>
        </w:rPr>
        <w:t>En virtud de lo anterior la CIDH considera que la recomen</w:t>
      </w:r>
      <w:r w:rsidR="000F1630" w:rsidRPr="00435CB0">
        <w:rPr>
          <w:rFonts w:ascii="Cambria" w:eastAsia="Cambria" w:hAnsi="Cambria" w:cs="Cambria"/>
          <w:sz w:val="20"/>
          <w:szCs w:val="20"/>
          <w:lang w:val="es-MX"/>
        </w:rPr>
        <w:t>d</w:t>
      </w:r>
      <w:r w:rsidR="00220665" w:rsidRPr="00435CB0">
        <w:rPr>
          <w:rFonts w:ascii="Cambria" w:eastAsia="Cambria" w:hAnsi="Cambria" w:cs="Cambria"/>
          <w:sz w:val="20"/>
          <w:szCs w:val="20"/>
          <w:lang w:val="es-MX"/>
        </w:rPr>
        <w:t>ación se encuentra cumplimiento parcial.</w:t>
      </w:r>
    </w:p>
    <w:p w14:paraId="2A7469FD" w14:textId="3B5573FA" w:rsidR="00663183" w:rsidRPr="004E3E07" w:rsidRDefault="00663183" w:rsidP="00663183">
      <w:pPr>
        <w:numPr>
          <w:ilvl w:val="0"/>
          <w:numId w:val="5"/>
        </w:numPr>
        <w:spacing w:after="240" w:line="240" w:lineRule="auto"/>
        <w:ind w:left="0" w:firstLine="709"/>
        <w:jc w:val="both"/>
        <w:rPr>
          <w:rFonts w:ascii="Cambria" w:eastAsia="Cambria" w:hAnsi="Cambria" w:cs="Cambria"/>
          <w:sz w:val="20"/>
          <w:szCs w:val="20"/>
          <w:lang w:val="es-MX"/>
        </w:rPr>
      </w:pPr>
      <w:r w:rsidRPr="004E3E07">
        <w:rPr>
          <w:rFonts w:ascii="Cambria" w:eastAsia="Cambria" w:hAnsi="Cambria" w:cs="Cambria"/>
          <w:sz w:val="20"/>
          <w:szCs w:val="20"/>
          <w:lang w:val="es-MX"/>
        </w:rPr>
        <w:t xml:space="preserve">En cuanto a los esfuerzos de </w:t>
      </w:r>
      <w:r w:rsidRPr="004E3E07">
        <w:rPr>
          <w:rFonts w:ascii="Cambria" w:eastAsia="Cambria" w:hAnsi="Cambria" w:cs="Cambria"/>
          <w:b/>
          <w:bCs/>
          <w:sz w:val="20"/>
          <w:szCs w:val="20"/>
          <w:lang w:val="es-MX"/>
        </w:rPr>
        <w:t>capacitación y monitoreo de las autoridades encargadas de la investigación, incluyendo los servicios de salud y en el ámbito de la justicia</w:t>
      </w:r>
      <w:r w:rsidRPr="004E3E07">
        <w:rPr>
          <w:rFonts w:ascii="Cambria" w:eastAsia="Cambria" w:hAnsi="Cambria" w:cs="Cambria"/>
          <w:sz w:val="20"/>
          <w:szCs w:val="20"/>
          <w:lang w:val="es-MX"/>
        </w:rPr>
        <w:t>, el Estado informó que se ha desarrollado el Programa Anual de Capacitación Jurisdiccional para el desarrollo de habilidades y competencias para juzgar y defender con perspectiva de género, así como diversas acciones de sensibilización y fortalecimiento de capacidades técnicas del personal para incorporar sistemática y transversalmente la perspectiva de género en el Consejo de la Judicatura Federal</w:t>
      </w:r>
      <w:r w:rsidRPr="004E3E07">
        <w:rPr>
          <w:rStyle w:val="FootnoteReference"/>
          <w:rFonts w:ascii="Cambria" w:eastAsia="Cambria" w:hAnsi="Cambria" w:cs="Cambria"/>
          <w:sz w:val="20"/>
          <w:szCs w:val="20"/>
          <w:lang w:val="es-MX"/>
        </w:rPr>
        <w:footnoteReference w:id="257"/>
      </w:r>
      <w:r w:rsidR="00BC7E6E">
        <w:rPr>
          <w:rFonts w:ascii="Cambria" w:eastAsia="Cambria" w:hAnsi="Cambria" w:cs="Cambria"/>
          <w:sz w:val="20"/>
          <w:szCs w:val="20"/>
          <w:lang w:val="es-MX"/>
        </w:rPr>
        <w:t>.</w:t>
      </w:r>
      <w:r w:rsidRPr="004E3E07">
        <w:rPr>
          <w:rFonts w:ascii="Cambria" w:eastAsia="Cambria" w:hAnsi="Cambria" w:cs="Cambria"/>
          <w:sz w:val="20"/>
          <w:szCs w:val="20"/>
          <w:lang w:val="es-MX"/>
        </w:rPr>
        <w:t xml:space="preserve"> Asimismo, informó que el CJF, a través de distintos organismos que lo integran, y la </w:t>
      </w:r>
      <w:r w:rsidR="00BC7E6E">
        <w:rPr>
          <w:rFonts w:ascii="Cambria" w:eastAsia="Cambria" w:hAnsi="Cambria" w:cs="Cambria"/>
          <w:sz w:val="20"/>
          <w:szCs w:val="20"/>
          <w:lang w:val="es-MX"/>
        </w:rPr>
        <w:t>SCJN</w:t>
      </w:r>
      <w:r w:rsidRPr="004E3E07">
        <w:rPr>
          <w:rFonts w:ascii="Cambria" w:eastAsia="Cambria" w:hAnsi="Cambria" w:cs="Cambria"/>
          <w:sz w:val="20"/>
          <w:szCs w:val="20"/>
          <w:lang w:val="es-MX"/>
        </w:rPr>
        <w:t xml:space="preserve"> capacitaron y sensibilizaron al funcionariado público del Poder Judicial de la Federación y de los Poderes Judiciales Locales en materia de igualdad de género y derechos humanos a través de distintas actividades de formación, incluyendo conversatorios, congresos, seminarios, mesas de discusión, difusión de efemérides y boletines jurisprudenciales</w:t>
      </w:r>
      <w:r w:rsidRPr="004E3E07">
        <w:rPr>
          <w:rFonts w:ascii="Cambria" w:eastAsia="Cambria" w:hAnsi="Cambria" w:cs="Cambria"/>
          <w:sz w:val="20"/>
          <w:szCs w:val="20"/>
          <w:vertAlign w:val="superscript"/>
          <w:lang w:val="es-MX"/>
        </w:rPr>
        <w:footnoteReference w:id="258"/>
      </w:r>
      <w:r w:rsidRPr="004E3E07">
        <w:rPr>
          <w:rFonts w:ascii="Cambria" w:eastAsia="Cambria" w:hAnsi="Cambria" w:cs="Cambria"/>
          <w:sz w:val="20"/>
          <w:szCs w:val="20"/>
          <w:lang w:val="es-MX"/>
        </w:rPr>
        <w:t>. También informó de la aprobación en marzo de 2021, por parte del Pleno del CJF, de los “Lineamientos para el registro de sentencias en el Buscador de Sentencias Especializado en el Sistema de Justicia Penal Adversarial”, el cual permitirá contar con una base de datos en materia de víctimas, incluyendo casos en que se hubiera juzgado con perspectiva de género y de grupos prioritarios</w:t>
      </w:r>
      <w:r w:rsidRPr="004E3E07">
        <w:rPr>
          <w:rStyle w:val="FootnoteReference"/>
          <w:rFonts w:ascii="Cambria" w:eastAsia="Cambria" w:hAnsi="Cambria" w:cs="Cambria"/>
          <w:sz w:val="20"/>
          <w:szCs w:val="20"/>
          <w:lang w:val="es-MX"/>
        </w:rPr>
        <w:footnoteReference w:id="259"/>
      </w:r>
      <w:r w:rsidRPr="004E3E07">
        <w:rPr>
          <w:rFonts w:ascii="Cambria" w:eastAsia="Cambria" w:hAnsi="Cambria" w:cs="Cambria"/>
          <w:sz w:val="20"/>
          <w:szCs w:val="20"/>
          <w:lang w:val="es-MX"/>
        </w:rPr>
        <w:t>.</w:t>
      </w:r>
    </w:p>
    <w:p w14:paraId="2B486E72" w14:textId="5DBACF0D" w:rsidR="00663183" w:rsidRPr="004E3E07" w:rsidRDefault="00663183" w:rsidP="00663183">
      <w:pPr>
        <w:numPr>
          <w:ilvl w:val="0"/>
          <w:numId w:val="5"/>
        </w:numPr>
        <w:spacing w:after="240" w:line="240" w:lineRule="auto"/>
        <w:ind w:left="0" w:firstLine="709"/>
        <w:jc w:val="both"/>
        <w:rPr>
          <w:rFonts w:ascii="Cambria" w:eastAsia="Cambria" w:hAnsi="Cambria" w:cs="Cambria"/>
          <w:sz w:val="20"/>
          <w:szCs w:val="20"/>
          <w:lang w:val="es-MX"/>
        </w:rPr>
      </w:pPr>
      <w:r w:rsidRPr="004E3E07">
        <w:rPr>
          <w:rFonts w:ascii="Cambria" w:eastAsia="Cambria" w:hAnsi="Cambria" w:cs="Cambria"/>
          <w:sz w:val="20"/>
          <w:szCs w:val="20"/>
          <w:lang w:val="es-MX"/>
        </w:rPr>
        <w:t xml:space="preserve">El Estado reportó que se impartieron tres cursos coordinados por la CONAVIM y el Instituto Nacional de Ciencias Penales en materia de Género, Feminicidios y Derechos Humanos, dirigidos al personal de fiscalías, personal pericial, agentes del Ministerio Público, policía de investigación, responsables de atención y protección a mujeres víctimas de violencia y sus hijos e hijas; logrando capacitar a 1,935 personas servidoras públicas (1,496 mujeres y 439 hombres) provenientes de 27 </w:t>
      </w:r>
      <w:r w:rsidR="00220665">
        <w:rPr>
          <w:rFonts w:ascii="Cambria" w:eastAsia="Cambria" w:hAnsi="Cambria" w:cs="Cambria"/>
          <w:sz w:val="20"/>
          <w:szCs w:val="20"/>
          <w:lang w:val="es-MX"/>
        </w:rPr>
        <w:t>e</w:t>
      </w:r>
      <w:r w:rsidRPr="004E3E07">
        <w:rPr>
          <w:rFonts w:ascii="Cambria" w:eastAsia="Cambria" w:hAnsi="Cambria" w:cs="Cambria"/>
          <w:sz w:val="20"/>
          <w:szCs w:val="20"/>
          <w:lang w:val="es-MX"/>
        </w:rPr>
        <w:t>stados</w:t>
      </w:r>
      <w:r w:rsidRPr="004E3E07">
        <w:rPr>
          <w:rFonts w:ascii="Cambria" w:eastAsia="Cambria" w:hAnsi="Cambria" w:cs="Cambria"/>
          <w:sz w:val="20"/>
          <w:szCs w:val="20"/>
          <w:vertAlign w:val="superscript"/>
          <w:lang w:val="es-MX"/>
        </w:rPr>
        <w:footnoteReference w:id="260"/>
      </w:r>
      <w:r w:rsidRPr="004E3E07">
        <w:rPr>
          <w:rFonts w:ascii="Cambria" w:eastAsia="Cambria" w:hAnsi="Cambria" w:cs="Cambria"/>
          <w:sz w:val="20"/>
          <w:szCs w:val="20"/>
          <w:lang w:val="es-MX"/>
        </w:rPr>
        <w:t>. También, con la finalidad de generar ambientes laborales igualitarios y libres de violencia, se impartieron talleres y videoconferencias sobre prevención y atención del hostigamiento y acoso sexual, violencias de género, violencias en el contexto migratorio, y perspectiva de género, dirigidas al personal de la Administración Pública Federal, logrando una participación de 2,094 personas en las videoconferencias, y 562 en los talleres</w:t>
      </w:r>
      <w:r w:rsidRPr="004E3E07">
        <w:rPr>
          <w:rFonts w:ascii="Cambria" w:eastAsia="Cambria" w:hAnsi="Cambria" w:cs="Cambria"/>
          <w:sz w:val="20"/>
          <w:szCs w:val="20"/>
          <w:vertAlign w:val="superscript"/>
          <w:lang w:val="es-MX"/>
        </w:rPr>
        <w:footnoteReference w:id="261"/>
      </w:r>
      <w:r w:rsidRPr="004E3E07">
        <w:rPr>
          <w:rFonts w:ascii="Cambria" w:eastAsia="Cambria" w:hAnsi="Cambria" w:cs="Cambria"/>
          <w:sz w:val="20"/>
          <w:szCs w:val="20"/>
          <w:lang w:val="es-MX"/>
        </w:rPr>
        <w:t>. Para la profesionalización del personal de la FGR, se capacitó a 41 servidoras y servidores públicos en materia de argumentación jurídica con perspectiva de género; se impartieron cursos de verano dirigidos a adolescentes familiares del personal de la FGR en materia de sexualidad para prevenir la violencia sexual</w:t>
      </w:r>
      <w:r w:rsidR="00220665">
        <w:rPr>
          <w:rFonts w:ascii="Cambria" w:eastAsia="Cambria" w:hAnsi="Cambria" w:cs="Cambria"/>
          <w:sz w:val="20"/>
          <w:szCs w:val="20"/>
          <w:lang w:val="es-MX"/>
        </w:rPr>
        <w:t xml:space="preserve"> con la participación de</w:t>
      </w:r>
      <w:r w:rsidRPr="004E3E07">
        <w:rPr>
          <w:rFonts w:ascii="Cambria" w:eastAsia="Cambria" w:hAnsi="Cambria" w:cs="Cambria"/>
          <w:sz w:val="20"/>
          <w:szCs w:val="20"/>
          <w:lang w:val="es-MX"/>
        </w:rPr>
        <w:t xml:space="preserve"> 36 adolescentes; y se encuentra en desarrollo un curso en línea sobre la perspectiva de género en la práctica pericial</w:t>
      </w:r>
      <w:r w:rsidRPr="004E3E07">
        <w:rPr>
          <w:rFonts w:ascii="Cambria" w:eastAsia="Cambria" w:hAnsi="Cambria" w:cs="Cambria"/>
          <w:sz w:val="20"/>
          <w:szCs w:val="20"/>
          <w:vertAlign w:val="superscript"/>
          <w:lang w:val="es-MX"/>
        </w:rPr>
        <w:footnoteReference w:id="262"/>
      </w:r>
      <w:r w:rsidRPr="004E3E07">
        <w:rPr>
          <w:rFonts w:ascii="Cambria" w:eastAsia="Cambria" w:hAnsi="Cambria" w:cs="Cambria"/>
          <w:sz w:val="20"/>
          <w:szCs w:val="20"/>
          <w:lang w:val="es-MX"/>
        </w:rPr>
        <w:t>. Asimismo, indicó que se capacitó a 403 elementos de seguridad pública municipal en Guerrero y Quintana Roo sobre actuación policial con perspectiva de género y derechos humanos</w:t>
      </w:r>
      <w:r w:rsidRPr="004E3E07">
        <w:rPr>
          <w:rStyle w:val="FootnoteReference"/>
          <w:rFonts w:ascii="Cambria" w:eastAsia="Cambria" w:hAnsi="Cambria" w:cs="Cambria"/>
          <w:sz w:val="20"/>
          <w:szCs w:val="20"/>
          <w:lang w:val="es-MX"/>
        </w:rPr>
        <w:footnoteReference w:id="263"/>
      </w:r>
      <w:r w:rsidRPr="004E3E07">
        <w:rPr>
          <w:rFonts w:ascii="Cambria" w:eastAsia="Cambria" w:hAnsi="Cambria" w:cs="Cambria"/>
          <w:sz w:val="20"/>
          <w:szCs w:val="20"/>
          <w:lang w:val="es-MX"/>
        </w:rPr>
        <w:t xml:space="preserve">. </w:t>
      </w:r>
    </w:p>
    <w:p w14:paraId="3ED43472" w14:textId="4F225045" w:rsidR="00663183" w:rsidRPr="00A64559" w:rsidRDefault="00663183" w:rsidP="002F1A6A">
      <w:pPr>
        <w:numPr>
          <w:ilvl w:val="0"/>
          <w:numId w:val="5"/>
        </w:numPr>
        <w:spacing w:after="240" w:line="240" w:lineRule="auto"/>
        <w:ind w:left="0" w:firstLine="709"/>
        <w:jc w:val="both"/>
        <w:rPr>
          <w:rFonts w:ascii="Cambria" w:eastAsia="Cambria" w:hAnsi="Cambria" w:cs="Cambria"/>
          <w:sz w:val="20"/>
          <w:szCs w:val="20"/>
          <w:lang w:val="es-MX"/>
        </w:rPr>
      </w:pPr>
      <w:r w:rsidRPr="004E3E07">
        <w:rPr>
          <w:rFonts w:ascii="Cambria" w:eastAsia="Cambria" w:hAnsi="Cambria" w:cs="Cambria"/>
          <w:sz w:val="20"/>
          <w:szCs w:val="20"/>
          <w:lang w:val="es-MX"/>
        </w:rPr>
        <w:t xml:space="preserve">La Comisión reconoce y valora positivamente los esfuerzos del Estado para prevenir y proteger contra la violencia basada en género a mujeres, niñas y adolescentes; destaca los esfuerzos de transversalización de la perspectiva de género en la investigación y procesos de administración de justicia, así como el fortalecimiento de las instituciones a través de múltiples capacitaciones al funcionariado público en materia de género y derechos humanos. Sin embargo, observa con extrema preocupación la persistencia de altas cifras de violencia feminicida, sexual y doméstica, así como de la violencia en contextos de protesta social. Por otra parte, no se cuenta con información relacionada con el acceso a la justicia de mujeres, niñas y adolescentes víctimas de violencia que permita medir el nivel de cumplimiento del deber de debida diligencia </w:t>
      </w:r>
      <w:r w:rsidRPr="00A64559">
        <w:rPr>
          <w:rFonts w:ascii="Cambria" w:eastAsia="Cambria" w:hAnsi="Cambria" w:cs="Cambria"/>
          <w:sz w:val="20"/>
          <w:szCs w:val="20"/>
          <w:lang w:val="es-MX"/>
        </w:rPr>
        <w:t xml:space="preserve">en la investigación, sanción y reparación; y tampoco se recibió información sobre mecanismos y resultados de monitoreo de las autoridades encargadas de la investigación, ni sobre capacitaciones y monitoreo del personal de los servicios de salud. </w:t>
      </w:r>
      <w:r w:rsidR="002F1A6A" w:rsidRPr="00A64559">
        <w:rPr>
          <w:rFonts w:ascii="Cambria" w:eastAsia="Cambria" w:hAnsi="Cambria" w:cs="Cambria"/>
          <w:sz w:val="20"/>
          <w:szCs w:val="20"/>
          <w:lang w:val="es-MX"/>
        </w:rPr>
        <w:t>En sus observaciones al proyecto del presente informe, el Estado indicó que elaboró el Programa Integral para Prevenir, Atender, Sancionar y Erradicar la Violencia contra las Mujeres 2021-2024, publicado en el Diario Oficial de la Federación el 30 de diciembre de 2021</w:t>
      </w:r>
      <w:r w:rsidR="002F1A6A" w:rsidRPr="00A64559">
        <w:rPr>
          <w:rStyle w:val="FootnoteReference"/>
          <w:rFonts w:ascii="Cambria" w:eastAsia="Cambria" w:hAnsi="Cambria" w:cs="Cambria"/>
          <w:sz w:val="20"/>
          <w:szCs w:val="20"/>
          <w:lang w:val="es-MX"/>
        </w:rPr>
        <w:footnoteReference w:id="264"/>
      </w:r>
      <w:r w:rsidR="002F1A6A" w:rsidRPr="00A64559">
        <w:rPr>
          <w:rFonts w:ascii="Cambria" w:eastAsia="Cambria" w:hAnsi="Cambria" w:cs="Cambria"/>
          <w:sz w:val="20"/>
          <w:szCs w:val="20"/>
          <w:lang w:val="es-MX"/>
        </w:rPr>
        <w:t>.</w:t>
      </w:r>
      <w:r w:rsidRPr="00A64559">
        <w:rPr>
          <w:rFonts w:ascii="Cambria" w:eastAsia="Cambria" w:hAnsi="Cambria" w:cs="Cambria"/>
          <w:sz w:val="20"/>
          <w:szCs w:val="20"/>
          <w:lang w:val="es-MX"/>
        </w:rPr>
        <w:t xml:space="preserve">Con base en lo anterior, la Comisión considera que la presente recomendación se mantiene en cumplimiento parcial. </w:t>
      </w:r>
    </w:p>
    <w:p w14:paraId="09F40432" w14:textId="4F09DB90" w:rsidR="002F1A6A" w:rsidRPr="00357614" w:rsidRDefault="00663183" w:rsidP="002F1A6A">
      <w:pPr>
        <w:numPr>
          <w:ilvl w:val="0"/>
          <w:numId w:val="5"/>
        </w:numPr>
        <w:spacing w:after="240" w:line="240" w:lineRule="auto"/>
        <w:ind w:left="0" w:firstLine="709"/>
        <w:jc w:val="both"/>
        <w:rPr>
          <w:rFonts w:ascii="Cambria" w:eastAsia="Cambria" w:hAnsi="Cambria" w:cs="Cambria"/>
          <w:sz w:val="20"/>
          <w:szCs w:val="20"/>
          <w:lang w:val="es-MX"/>
        </w:rPr>
      </w:pPr>
      <w:r w:rsidRPr="004E3E07">
        <w:rPr>
          <w:rFonts w:ascii="Cambria" w:eastAsia="Cambria" w:hAnsi="Cambria" w:cs="Cambria"/>
          <w:sz w:val="20"/>
          <w:szCs w:val="20"/>
          <w:lang w:val="es-MX"/>
        </w:rPr>
        <w:t xml:space="preserve">En cuanto a la recomendación relativa a la </w:t>
      </w:r>
      <w:r w:rsidRPr="004E3E07">
        <w:rPr>
          <w:rFonts w:ascii="Cambria" w:eastAsia="Cambria" w:hAnsi="Cambria" w:cs="Cambria"/>
          <w:b/>
          <w:sz w:val="20"/>
          <w:szCs w:val="20"/>
          <w:lang w:val="es-MX"/>
        </w:rPr>
        <w:t>adopción de medidas necesarias para prevenir, castigar y erradicar hechos de violencia sexual y otras formas de violencia, tortura y tratos crueles, inhumanos o degradantes por parte de las fuerzas de seguridad en contra de las mujeres, especialmente aquellas privadas de libertad</w:t>
      </w:r>
      <w:r w:rsidRPr="004E3E07">
        <w:rPr>
          <w:rFonts w:ascii="Cambria" w:eastAsia="Cambria" w:hAnsi="Cambria" w:cs="Cambria"/>
          <w:sz w:val="20"/>
          <w:szCs w:val="20"/>
          <w:lang w:val="es-MX"/>
        </w:rPr>
        <w:t xml:space="preserve">, el Estado informó que se encuentra fortaleciendo el </w:t>
      </w:r>
      <w:r w:rsidRPr="00357614">
        <w:rPr>
          <w:rFonts w:ascii="Cambria" w:eastAsia="Cambria" w:hAnsi="Cambria" w:cs="Cambria"/>
          <w:sz w:val="20"/>
          <w:szCs w:val="20"/>
          <w:lang w:val="es-MX"/>
        </w:rPr>
        <w:t xml:space="preserve">Mecanismo de Seguimiento de Casos de Tortura Sexual cometida en contra de Mujeres, derivado de la sentencia de la Corte IDH por el Caso </w:t>
      </w:r>
      <w:r w:rsidRPr="00357614">
        <w:rPr>
          <w:rFonts w:ascii="Cambria" w:eastAsia="Cambria" w:hAnsi="Cambria" w:cs="Cambria"/>
          <w:i/>
          <w:iCs/>
          <w:sz w:val="20"/>
          <w:szCs w:val="20"/>
          <w:lang w:val="es-MX"/>
        </w:rPr>
        <w:t>Mujeres Víctimas de Tortura Sexual en Atenco Vs. México</w:t>
      </w:r>
      <w:r w:rsidRPr="00357614">
        <w:rPr>
          <w:rFonts w:ascii="Cambria" w:eastAsia="Cambria" w:hAnsi="Cambria" w:cs="Cambria"/>
          <w:sz w:val="20"/>
          <w:szCs w:val="20"/>
          <w:lang w:val="es-MX"/>
        </w:rPr>
        <w:t xml:space="preserve"> emitida el 28 de noviembre de 2018</w:t>
      </w:r>
      <w:r w:rsidR="00220665" w:rsidRPr="00357614">
        <w:rPr>
          <w:rStyle w:val="FootnoteReference"/>
          <w:rFonts w:ascii="Cambria" w:eastAsia="Cambria" w:hAnsi="Cambria" w:cs="Cambria"/>
          <w:sz w:val="20"/>
          <w:szCs w:val="20"/>
          <w:lang w:val="es-MX"/>
        </w:rPr>
        <w:footnoteReference w:id="265"/>
      </w:r>
      <w:r w:rsidRPr="00357614">
        <w:rPr>
          <w:rFonts w:ascii="Cambria" w:eastAsia="Cambria" w:hAnsi="Cambria" w:cs="Cambria"/>
          <w:sz w:val="20"/>
          <w:szCs w:val="20"/>
          <w:lang w:val="es-MX"/>
        </w:rPr>
        <w:t xml:space="preserve">. </w:t>
      </w:r>
      <w:r w:rsidR="002F1A6A" w:rsidRPr="00357614">
        <w:rPr>
          <w:rFonts w:ascii="Cambria" w:eastAsia="Cambria" w:hAnsi="Cambria" w:cs="Cambria"/>
          <w:sz w:val="20"/>
          <w:szCs w:val="20"/>
          <w:lang w:val="es-MX"/>
        </w:rPr>
        <w:t xml:space="preserve"> Asimismo indicó que los lineamientos del Mecanismo de Seguimiento de Casos de Tortura Sexual cometida contra las Mujeres, están en proceso de revisión, toda vez que se tenga el dictamen correspondiente se procederá a su publicación. No obstante, dentro de los objetivos del Gobierno Federal se encuentra el generar un diagnóstico nacional sobre tortura sexual contra mujeres, principalmente, sobre aquellas que se encuentran privadas de la libertad</w:t>
      </w:r>
      <w:r w:rsidR="002F1A6A" w:rsidRPr="00357614">
        <w:rPr>
          <w:rStyle w:val="FootnoteReference"/>
          <w:rFonts w:ascii="Cambria" w:eastAsia="Cambria" w:hAnsi="Cambria" w:cs="Cambria"/>
          <w:sz w:val="20"/>
          <w:szCs w:val="20"/>
          <w:lang w:val="es-MX"/>
        </w:rPr>
        <w:footnoteReference w:id="266"/>
      </w:r>
      <w:r w:rsidR="002F1A6A" w:rsidRPr="00357614">
        <w:rPr>
          <w:rFonts w:ascii="Cambria" w:eastAsia="Cambria" w:hAnsi="Cambria" w:cs="Cambria"/>
          <w:sz w:val="20"/>
          <w:szCs w:val="20"/>
          <w:lang w:val="es-MX"/>
        </w:rPr>
        <w:t>.</w:t>
      </w:r>
    </w:p>
    <w:p w14:paraId="71F6747E" w14:textId="4041581B" w:rsidR="00663183" w:rsidRPr="004E3E07" w:rsidRDefault="00663183" w:rsidP="00663183">
      <w:pPr>
        <w:numPr>
          <w:ilvl w:val="0"/>
          <w:numId w:val="5"/>
        </w:numPr>
        <w:spacing w:after="240" w:line="240" w:lineRule="auto"/>
        <w:ind w:left="0" w:firstLine="709"/>
        <w:jc w:val="both"/>
        <w:rPr>
          <w:rFonts w:ascii="Cambria" w:eastAsia="Cambria" w:hAnsi="Cambria" w:cs="Cambria"/>
          <w:sz w:val="20"/>
          <w:szCs w:val="20"/>
          <w:lang w:val="es-MX"/>
        </w:rPr>
      </w:pPr>
      <w:r w:rsidRPr="004E3E07">
        <w:rPr>
          <w:rFonts w:ascii="Cambria" w:eastAsia="Cambria" w:hAnsi="Cambria" w:cs="Cambria"/>
          <w:sz w:val="20"/>
          <w:szCs w:val="20"/>
          <w:lang w:val="es-MX"/>
        </w:rPr>
        <w:t xml:space="preserve">En particular, indicó que el 5 de noviembre de 2021, en XLI Sesión Ordinaria del Sistema Nacional de Prevención, Atención, Sanción y Erradicación de la Violencia contra las Mujeres, se aprobó la creación del Grupo de Apoyo Técnico del Mecanismo de Seguimiento de Casos de Tortura Sexual cometida contra Mujeres, con el propósito de fortalecer y </w:t>
      </w:r>
      <w:sdt>
        <w:sdtPr>
          <w:rPr>
            <w:rFonts w:ascii="Cambria" w:hAnsi="Cambria"/>
            <w:sz w:val="20"/>
            <w:szCs w:val="20"/>
            <w:lang w:val="es-MX"/>
          </w:rPr>
          <w:tag w:val="goog_rdk_6"/>
          <w:id w:val="-1176961331"/>
        </w:sdtPr>
        <w:sdtEndPr/>
        <w:sdtContent/>
      </w:sdt>
      <w:r w:rsidRPr="004E3E07">
        <w:rPr>
          <w:rFonts w:ascii="Cambria" w:eastAsia="Cambria" w:hAnsi="Cambria" w:cs="Cambria"/>
          <w:sz w:val="20"/>
          <w:szCs w:val="20"/>
          <w:lang w:val="es-MX"/>
        </w:rPr>
        <w:t xml:space="preserve">dotar de recursos al mecanismo, presentar informes anualmente, así como para realizar un diagnóstico sobre tortura sexual y la formulación de propuestas de políticas públicas en la materia; puntualizando que el citado Grupo de Apoyo sesionó por primera vez el 25 de junio de 2021. Asimismo, informó que en dicha sesión se presentaron ante las instituciones integrantes los </w:t>
      </w:r>
      <w:r w:rsidR="00220665">
        <w:rPr>
          <w:rFonts w:ascii="Cambria" w:eastAsia="Cambria" w:hAnsi="Cambria" w:cs="Cambria"/>
          <w:sz w:val="20"/>
          <w:szCs w:val="20"/>
          <w:lang w:val="es-MX"/>
        </w:rPr>
        <w:t>“</w:t>
      </w:r>
      <w:r w:rsidRPr="004E3E07">
        <w:rPr>
          <w:rFonts w:ascii="Cambria" w:eastAsia="Cambria" w:hAnsi="Cambria" w:cs="Cambria"/>
          <w:sz w:val="20"/>
          <w:szCs w:val="20"/>
          <w:lang w:val="es-MX"/>
        </w:rPr>
        <w:t>Lineamientos para la organización y funcionamiento del Grupo de Apoyo Técnico del Mecanismo</w:t>
      </w:r>
      <w:r w:rsidR="00220665">
        <w:rPr>
          <w:rFonts w:ascii="Cambria" w:eastAsia="Cambria" w:hAnsi="Cambria" w:cs="Cambria"/>
          <w:sz w:val="20"/>
          <w:szCs w:val="20"/>
          <w:lang w:val="es-MX"/>
        </w:rPr>
        <w:t>”</w:t>
      </w:r>
      <w:r w:rsidRPr="004E3E07">
        <w:rPr>
          <w:rFonts w:ascii="Cambria" w:eastAsia="Cambria" w:hAnsi="Cambria" w:cs="Cambria"/>
          <w:sz w:val="20"/>
          <w:szCs w:val="20"/>
          <w:lang w:val="es-MX"/>
        </w:rPr>
        <w:t xml:space="preserve">, los cuales fueron presentados y dialogados previamente, el 14 de mayo de 2021, con las </w:t>
      </w:r>
      <w:r w:rsidR="00D87439">
        <w:rPr>
          <w:rFonts w:ascii="Cambria" w:eastAsia="Cambria" w:hAnsi="Cambria" w:cs="Cambria"/>
          <w:sz w:val="20"/>
          <w:szCs w:val="20"/>
          <w:lang w:val="es-MX"/>
        </w:rPr>
        <w:t>organizaciones</w:t>
      </w:r>
      <w:r w:rsidRPr="004E3E07">
        <w:rPr>
          <w:rFonts w:ascii="Cambria" w:eastAsia="Cambria" w:hAnsi="Cambria" w:cs="Cambria"/>
          <w:sz w:val="20"/>
          <w:szCs w:val="20"/>
          <w:lang w:val="es-MX"/>
        </w:rPr>
        <w:t xml:space="preserve"> de la </w:t>
      </w:r>
      <w:r w:rsidR="00D87439">
        <w:rPr>
          <w:rFonts w:ascii="Cambria" w:eastAsia="Cambria" w:hAnsi="Cambria" w:cs="Cambria"/>
          <w:sz w:val="20"/>
          <w:szCs w:val="20"/>
          <w:lang w:val="es-MX"/>
        </w:rPr>
        <w:t>sociedad c</w:t>
      </w:r>
      <w:r w:rsidRPr="00BA6325">
        <w:rPr>
          <w:rFonts w:ascii="Cambria" w:eastAsia="Cambria" w:hAnsi="Cambria" w:cs="Cambria"/>
          <w:sz w:val="20"/>
          <w:szCs w:val="20"/>
          <w:lang w:val="es-MX"/>
        </w:rPr>
        <w:t>ivil</w:t>
      </w:r>
      <w:r w:rsidRPr="004E3E07">
        <w:rPr>
          <w:rFonts w:ascii="Cambria" w:eastAsia="Cambria" w:hAnsi="Cambria" w:cs="Cambria"/>
          <w:sz w:val="20"/>
          <w:szCs w:val="20"/>
          <w:lang w:val="es-MX"/>
        </w:rPr>
        <w:t xml:space="preserve"> representantes de las sobrevivientes del caso Atenco, incluyendo sus observaciones. El Estado precisó que los Lineamientos contemplan la incorporación de todas las mujeres víctimas de tortura sexual que se encuentren dentro de un proceso penal, incluyendo a mujeres trans; establecen la elaboración de un diagnóstico de tortura sexual a mujeres en el país; y establecen la formulación de políticas públicas dirigidas a prevenir, atender, sancionar y erradicar la tortura sexual en México. Finalmente, informó que a octubre de 2021 los Lineamientos se encontraban en proceso de validación por parte de la Unidad General de Asuntos Jurídicos de la Secretaría de Gobernación</w:t>
      </w:r>
      <w:r w:rsidRPr="004E3E07">
        <w:rPr>
          <w:rFonts w:ascii="Cambria" w:eastAsia="Cambria" w:hAnsi="Cambria" w:cs="Cambria"/>
          <w:sz w:val="20"/>
          <w:szCs w:val="20"/>
          <w:vertAlign w:val="superscript"/>
          <w:lang w:val="es-MX"/>
        </w:rPr>
        <w:footnoteReference w:id="267"/>
      </w:r>
      <w:r w:rsidRPr="004E3E07">
        <w:rPr>
          <w:rFonts w:ascii="Cambria" w:eastAsia="Cambria" w:hAnsi="Cambria" w:cs="Cambria"/>
          <w:sz w:val="20"/>
          <w:szCs w:val="20"/>
          <w:lang w:val="es-MX"/>
        </w:rPr>
        <w:t xml:space="preserve">. </w:t>
      </w:r>
    </w:p>
    <w:p w14:paraId="72DF3F5D" w14:textId="50822193" w:rsidR="00663183" w:rsidRPr="004E3E07" w:rsidRDefault="00663183" w:rsidP="00663183">
      <w:pPr>
        <w:numPr>
          <w:ilvl w:val="0"/>
          <w:numId w:val="5"/>
        </w:numPr>
        <w:spacing w:after="240" w:line="240" w:lineRule="auto"/>
        <w:ind w:left="0" w:firstLine="709"/>
        <w:jc w:val="both"/>
        <w:rPr>
          <w:rFonts w:ascii="Cambria" w:eastAsia="Cambria" w:hAnsi="Cambria" w:cs="Cambria"/>
          <w:sz w:val="20"/>
          <w:szCs w:val="20"/>
          <w:lang w:val="es-MX"/>
        </w:rPr>
      </w:pPr>
      <w:r w:rsidRPr="004E3E07">
        <w:rPr>
          <w:rFonts w:ascii="Cambria" w:eastAsia="Cambria" w:hAnsi="Cambria" w:cs="Cambria"/>
          <w:sz w:val="20"/>
          <w:szCs w:val="20"/>
          <w:lang w:val="es-MX"/>
        </w:rPr>
        <w:t xml:space="preserve">Por su parte, la CIDH toma nota de información pública del Centro PRODH en relación con el cumplimiento de la Sentencia de la Corte IDH sobre el Caso </w:t>
      </w:r>
      <w:r w:rsidRPr="00220665">
        <w:rPr>
          <w:rFonts w:ascii="Cambria" w:eastAsia="Cambria" w:hAnsi="Cambria" w:cs="Cambria"/>
          <w:sz w:val="20"/>
          <w:szCs w:val="20"/>
          <w:lang w:val="es-MX"/>
        </w:rPr>
        <w:t>Mujeres Víctimas de Tortura Sexual en Atenco Vs. México</w:t>
      </w:r>
      <w:r w:rsidRPr="004E3E07">
        <w:rPr>
          <w:rFonts w:ascii="Cambria" w:eastAsia="Cambria" w:hAnsi="Cambria" w:cs="Cambria"/>
          <w:i/>
          <w:iCs/>
          <w:sz w:val="20"/>
          <w:szCs w:val="20"/>
          <w:lang w:val="es-MX"/>
        </w:rPr>
        <w:t xml:space="preserve">, </w:t>
      </w:r>
      <w:r w:rsidRPr="004E3E07">
        <w:rPr>
          <w:rFonts w:ascii="Cambria" w:eastAsia="Cambria" w:hAnsi="Cambria" w:cs="Cambria"/>
          <w:sz w:val="20"/>
          <w:szCs w:val="20"/>
          <w:lang w:val="es-MX"/>
        </w:rPr>
        <w:t>indicando la falta de avance respecto a las garantías de no repetición ordenadas por la Corte, especialmente en cuanto a la elaboración del diagnóstico nacional sobre tortura sexual contra mujeres, destacando la persistencia de estos casos en el país</w:t>
      </w:r>
      <w:r w:rsidRPr="004E3E07">
        <w:rPr>
          <w:rStyle w:val="FootnoteReference"/>
          <w:rFonts w:ascii="Cambria" w:eastAsia="Cambria" w:hAnsi="Cambria" w:cs="Cambria"/>
          <w:sz w:val="20"/>
          <w:szCs w:val="20"/>
          <w:lang w:val="es-MX"/>
        </w:rPr>
        <w:footnoteReference w:id="268"/>
      </w:r>
      <w:r w:rsidRPr="004E3E07">
        <w:rPr>
          <w:rFonts w:ascii="Cambria" w:eastAsia="Cambria" w:hAnsi="Cambria" w:cs="Cambria"/>
          <w:sz w:val="20"/>
          <w:szCs w:val="20"/>
          <w:lang w:val="es-MX"/>
        </w:rPr>
        <w:t xml:space="preserve">. Asimismo, reporta que la Fiscalía del </w:t>
      </w:r>
      <w:r w:rsidR="00511B0C">
        <w:rPr>
          <w:rFonts w:ascii="Cambria" w:eastAsia="Cambria" w:hAnsi="Cambria" w:cs="Cambria"/>
          <w:sz w:val="20"/>
          <w:szCs w:val="20"/>
          <w:lang w:val="es-MX"/>
        </w:rPr>
        <w:t>e</w:t>
      </w:r>
      <w:r w:rsidRPr="004E3E07">
        <w:rPr>
          <w:rFonts w:ascii="Cambria" w:eastAsia="Cambria" w:hAnsi="Cambria" w:cs="Cambria"/>
          <w:sz w:val="20"/>
          <w:szCs w:val="20"/>
          <w:lang w:val="es-MX"/>
        </w:rPr>
        <w:t>stado de México continúa obstaculizando el acceso a la justicia de las víctimas del caso, ya que se niega a entregar la carpeta de investigación a la Fiscalía Especial para los Delitos de Violencia contra Mujeres y Trata de Personas, lo cual impide la investigación integral y no fragmentada del caso, y obstaculiza la determinación de responsabilidades, incluyendo por cadena de mando</w:t>
      </w:r>
      <w:r w:rsidRPr="004E3E07">
        <w:rPr>
          <w:rStyle w:val="FootnoteReference"/>
          <w:rFonts w:ascii="Cambria" w:eastAsia="Cambria" w:hAnsi="Cambria" w:cs="Cambria"/>
          <w:sz w:val="20"/>
          <w:szCs w:val="20"/>
          <w:lang w:val="es-MX"/>
        </w:rPr>
        <w:footnoteReference w:id="269"/>
      </w:r>
      <w:r w:rsidRPr="004E3E07">
        <w:rPr>
          <w:rFonts w:ascii="Cambria" w:eastAsia="Cambria" w:hAnsi="Cambria" w:cs="Cambria"/>
          <w:sz w:val="20"/>
          <w:szCs w:val="20"/>
          <w:lang w:val="es-MX"/>
        </w:rPr>
        <w:t>.</w:t>
      </w:r>
    </w:p>
    <w:p w14:paraId="25523307" w14:textId="77777777" w:rsidR="00663183" w:rsidRPr="004E3E07" w:rsidRDefault="00663183" w:rsidP="00663183">
      <w:pPr>
        <w:numPr>
          <w:ilvl w:val="0"/>
          <w:numId w:val="5"/>
        </w:numPr>
        <w:spacing w:after="240" w:line="240" w:lineRule="auto"/>
        <w:ind w:left="0" w:firstLine="709"/>
        <w:jc w:val="both"/>
        <w:rPr>
          <w:rFonts w:ascii="Cambria" w:eastAsia="Cambria" w:hAnsi="Cambria" w:cs="Cambria"/>
          <w:sz w:val="20"/>
          <w:szCs w:val="20"/>
          <w:lang w:val="es-MX"/>
        </w:rPr>
      </w:pPr>
      <w:r w:rsidRPr="004E3E07">
        <w:rPr>
          <w:rFonts w:ascii="Cambria" w:eastAsia="Cambria" w:hAnsi="Cambria" w:cs="Cambria"/>
          <w:sz w:val="20"/>
          <w:szCs w:val="20"/>
          <w:lang w:val="es-MX"/>
        </w:rPr>
        <w:t>La Comisión recuerda el deber del Estado de garantizar el acceso a la justicia de mujeres víctimas de violencia de género, lo cual demanda la conducción de investigaciones con debida diligencia por parte de autoridades competentes e imparciales capacitadas en materia de género y derechos de las mujeres</w:t>
      </w:r>
      <w:r w:rsidRPr="004E3E07">
        <w:rPr>
          <w:rStyle w:val="FootnoteReference"/>
          <w:rFonts w:ascii="Cambria" w:eastAsia="Cambria" w:hAnsi="Cambria" w:cs="Cambria"/>
          <w:sz w:val="20"/>
          <w:szCs w:val="20"/>
          <w:lang w:val="es-MX"/>
        </w:rPr>
        <w:footnoteReference w:id="270"/>
      </w:r>
      <w:r w:rsidRPr="004E3E07">
        <w:rPr>
          <w:rFonts w:ascii="Cambria" w:eastAsia="Cambria" w:hAnsi="Cambria" w:cs="Cambria"/>
          <w:sz w:val="20"/>
          <w:szCs w:val="20"/>
          <w:lang w:val="es-MX"/>
        </w:rPr>
        <w:t xml:space="preserve">. En particular destaca que, en el marco de la sentencia de la Corte IDH en </w:t>
      </w:r>
      <w:r w:rsidRPr="00220665">
        <w:rPr>
          <w:rFonts w:ascii="Cambria" w:eastAsia="Cambria" w:hAnsi="Cambria" w:cs="Cambria"/>
          <w:sz w:val="20"/>
          <w:szCs w:val="20"/>
          <w:lang w:val="es-MX"/>
        </w:rPr>
        <w:t>el Caso Mujeres Víctimas de Tortura Sexual en Atenco</w:t>
      </w:r>
      <w:r w:rsidRPr="004E3E07">
        <w:rPr>
          <w:rFonts w:ascii="Cambria" w:eastAsia="Cambria" w:hAnsi="Cambria" w:cs="Cambria"/>
          <w:sz w:val="20"/>
          <w:szCs w:val="20"/>
          <w:lang w:val="es-MX"/>
        </w:rPr>
        <w:t>, el Estado debe conducir investigaciones amplias, sistemáticas y minuciosas para determinar, juzgar y, en su caso, sancionar a todas las personas responsables de la violencia y tortura sexual sufrida por las víctimas del caso, individualizando a los responsables en todos los niveles de decisión, sean federales, estatales o municipales</w:t>
      </w:r>
      <w:r w:rsidRPr="004E3E07">
        <w:rPr>
          <w:rStyle w:val="FootnoteReference"/>
          <w:rFonts w:ascii="Cambria" w:eastAsia="Cambria" w:hAnsi="Cambria" w:cs="Cambria"/>
          <w:sz w:val="20"/>
          <w:szCs w:val="20"/>
          <w:lang w:val="es-MX"/>
        </w:rPr>
        <w:footnoteReference w:id="271"/>
      </w:r>
      <w:r w:rsidRPr="004E3E07">
        <w:rPr>
          <w:rFonts w:ascii="Cambria" w:eastAsia="Cambria" w:hAnsi="Cambria" w:cs="Cambria"/>
          <w:sz w:val="20"/>
          <w:szCs w:val="20"/>
          <w:lang w:val="es-MX"/>
        </w:rPr>
        <w:t xml:space="preserve">. </w:t>
      </w:r>
    </w:p>
    <w:p w14:paraId="7F162B2B" w14:textId="3D04723F" w:rsidR="00663183" w:rsidRPr="002F1A6A" w:rsidRDefault="00663183" w:rsidP="002F1A6A">
      <w:pPr>
        <w:numPr>
          <w:ilvl w:val="0"/>
          <w:numId w:val="5"/>
        </w:numPr>
        <w:spacing w:after="240" w:line="240" w:lineRule="auto"/>
        <w:ind w:left="0" w:firstLine="709"/>
        <w:jc w:val="both"/>
        <w:rPr>
          <w:rFonts w:ascii="Cambria" w:eastAsia="Cambria" w:hAnsi="Cambria" w:cs="Cambria"/>
          <w:sz w:val="20"/>
          <w:szCs w:val="20"/>
          <w:lang w:val="es-MX"/>
        </w:rPr>
      </w:pPr>
      <w:r w:rsidRPr="004E3E07">
        <w:rPr>
          <w:rFonts w:ascii="Cambria" w:eastAsia="Cambria" w:hAnsi="Cambria" w:cs="Cambria"/>
          <w:sz w:val="20"/>
          <w:szCs w:val="20"/>
          <w:lang w:val="es-MX"/>
        </w:rPr>
        <w:t>La Comisión valora los avances en la instalación del Grupo de Apoyo Técnico del Mecanismo de Seguimiento de Casos de Tortura Sexual cometida contra mujeres, así como en los Lineamientos que regirán su organización y funcionamiento. No obstante, la información recibida no permite evaluar el nivel de cumplimiento de la presente recomendación, destacando que no se ha proporcionado información acerca de la situación de las mujeres privadas de libertad</w:t>
      </w:r>
      <w:r w:rsidR="002F1A6A">
        <w:rPr>
          <w:rStyle w:val="FootnoteReference"/>
          <w:rFonts w:ascii="Cambria" w:eastAsia="Cambria" w:hAnsi="Cambria" w:cs="Cambria"/>
          <w:sz w:val="20"/>
          <w:szCs w:val="20"/>
          <w:lang w:val="es-MX"/>
        </w:rPr>
        <w:footnoteReference w:id="272"/>
      </w:r>
      <w:r w:rsidRPr="004E3E07">
        <w:rPr>
          <w:rFonts w:ascii="Cambria" w:eastAsia="Cambria" w:hAnsi="Cambria" w:cs="Cambria"/>
          <w:sz w:val="20"/>
          <w:szCs w:val="20"/>
          <w:lang w:val="es-MX"/>
        </w:rPr>
        <w:t xml:space="preserve">. </w:t>
      </w:r>
      <w:r w:rsidRPr="002F1A6A">
        <w:rPr>
          <w:rFonts w:ascii="Cambria" w:eastAsia="Cambria" w:hAnsi="Cambria" w:cs="Cambria"/>
          <w:sz w:val="20"/>
          <w:szCs w:val="20"/>
          <w:lang w:val="es-MX"/>
        </w:rPr>
        <w:t xml:space="preserve">Tampoco se cuenta con información respecto al acceso a la justicia de mujeres víctimas de violencia y tortura sexual, y se advierte que persisten obstáculos al respecto en el caso de las </w:t>
      </w:r>
      <w:r w:rsidRPr="002F1A6A">
        <w:rPr>
          <w:rFonts w:ascii="Cambria" w:eastAsia="Cambria" w:hAnsi="Cambria" w:cs="Cambria"/>
          <w:i/>
          <w:iCs/>
          <w:sz w:val="20"/>
          <w:szCs w:val="20"/>
          <w:lang w:val="es-MX"/>
        </w:rPr>
        <w:t>Mujeres Víctimas de Tortura Sexual en Atenco</w:t>
      </w:r>
      <w:r w:rsidRPr="002F1A6A">
        <w:rPr>
          <w:rFonts w:ascii="Cambria" w:eastAsia="Cambria" w:hAnsi="Cambria" w:cs="Cambria"/>
          <w:sz w:val="20"/>
          <w:szCs w:val="20"/>
          <w:lang w:val="es-MX"/>
        </w:rPr>
        <w:t xml:space="preserve">. Asimismo, la Comisión observa que la ausencia de un diagnóstico nacional sobre tortura sexual contra mujeres impide adoptar políticas públicas integrales efectivas para la prevención y erradicación del problema. En atención a lo anterior, la Comisión encuentra que la presente recomendación continúa pendiente de cumplimiento. </w:t>
      </w:r>
    </w:p>
    <w:p w14:paraId="4AADF381" w14:textId="7BF6E6A1" w:rsidR="00663183" w:rsidRPr="004E3E07" w:rsidRDefault="00663183" w:rsidP="00663183">
      <w:pPr>
        <w:numPr>
          <w:ilvl w:val="0"/>
          <w:numId w:val="5"/>
        </w:numPr>
        <w:spacing w:after="240" w:line="240" w:lineRule="auto"/>
        <w:ind w:left="0" w:firstLine="709"/>
        <w:jc w:val="both"/>
        <w:rPr>
          <w:rFonts w:ascii="Cambria" w:eastAsia="Cambria" w:hAnsi="Cambria" w:cs="Cambria"/>
          <w:sz w:val="20"/>
          <w:szCs w:val="20"/>
          <w:lang w:val="es-MX"/>
        </w:rPr>
      </w:pPr>
      <w:r w:rsidRPr="004E3E07">
        <w:rPr>
          <w:rFonts w:ascii="Cambria" w:eastAsia="Cambria" w:hAnsi="Cambria" w:cs="Cambria"/>
          <w:sz w:val="20"/>
          <w:szCs w:val="20"/>
          <w:lang w:val="es-MX"/>
        </w:rPr>
        <w:t xml:space="preserve">Por otro lado, la </w:t>
      </w:r>
      <w:r w:rsidR="008016E7" w:rsidRPr="004E3E07">
        <w:rPr>
          <w:rFonts w:ascii="Cambria" w:eastAsia="Cambria" w:hAnsi="Cambria" w:cs="Cambria"/>
          <w:sz w:val="20"/>
          <w:szCs w:val="20"/>
          <w:lang w:val="es-MX"/>
        </w:rPr>
        <w:t>Comisión</w:t>
      </w:r>
      <w:r w:rsidRPr="004E3E07">
        <w:rPr>
          <w:rFonts w:ascii="Cambria" w:eastAsia="Cambria" w:hAnsi="Cambria" w:cs="Cambria"/>
          <w:sz w:val="20"/>
          <w:szCs w:val="20"/>
          <w:lang w:val="es-MX"/>
        </w:rPr>
        <w:t xml:space="preserve"> </w:t>
      </w:r>
      <w:r w:rsidR="008016E7" w:rsidRPr="004E3E07">
        <w:rPr>
          <w:rFonts w:ascii="Cambria" w:eastAsia="Cambria" w:hAnsi="Cambria" w:cs="Cambria"/>
          <w:sz w:val="20"/>
          <w:szCs w:val="20"/>
          <w:lang w:val="es-MX"/>
        </w:rPr>
        <w:t>recibió</w:t>
      </w:r>
      <w:r w:rsidRPr="004E3E07">
        <w:rPr>
          <w:rFonts w:ascii="Cambria" w:eastAsia="Cambria" w:hAnsi="Cambria" w:cs="Cambria"/>
          <w:sz w:val="20"/>
          <w:szCs w:val="20"/>
          <w:lang w:val="es-MX"/>
        </w:rPr>
        <w:t xml:space="preserve">́ </w:t>
      </w:r>
      <w:r w:rsidR="008016E7" w:rsidRPr="004E3E07">
        <w:rPr>
          <w:rFonts w:ascii="Cambria" w:eastAsia="Cambria" w:hAnsi="Cambria" w:cs="Cambria"/>
          <w:sz w:val="20"/>
          <w:szCs w:val="20"/>
          <w:lang w:val="es-MX"/>
        </w:rPr>
        <w:t>información</w:t>
      </w:r>
      <w:r w:rsidRPr="004E3E07">
        <w:rPr>
          <w:rFonts w:ascii="Cambria" w:eastAsia="Cambria" w:hAnsi="Cambria" w:cs="Cambria"/>
          <w:sz w:val="20"/>
          <w:szCs w:val="20"/>
          <w:lang w:val="es-MX"/>
        </w:rPr>
        <w:t xml:space="preserve"> del Estado en seguimiento a la </w:t>
      </w:r>
      <w:r w:rsidR="008016E7" w:rsidRPr="004E3E07">
        <w:rPr>
          <w:rFonts w:ascii="Cambria" w:eastAsia="Cambria" w:hAnsi="Cambria" w:cs="Cambria"/>
          <w:b/>
          <w:sz w:val="20"/>
          <w:szCs w:val="20"/>
          <w:lang w:val="es-MX"/>
        </w:rPr>
        <w:t>recomendación</w:t>
      </w:r>
      <w:r w:rsidRPr="004E3E07">
        <w:rPr>
          <w:rFonts w:ascii="Cambria" w:eastAsia="Cambria" w:hAnsi="Cambria" w:cs="Cambria"/>
          <w:b/>
          <w:sz w:val="20"/>
          <w:szCs w:val="20"/>
          <w:lang w:val="es-MX"/>
        </w:rPr>
        <w:t xml:space="preserve"> de implementar protocolos homologados por parte de las autoridades de </w:t>
      </w:r>
      <w:r w:rsidR="008016E7" w:rsidRPr="004E3E07">
        <w:rPr>
          <w:rFonts w:ascii="Cambria" w:eastAsia="Cambria" w:hAnsi="Cambria" w:cs="Cambria"/>
          <w:b/>
          <w:sz w:val="20"/>
          <w:szCs w:val="20"/>
          <w:lang w:val="es-MX"/>
        </w:rPr>
        <w:t>procuración</w:t>
      </w:r>
      <w:r w:rsidRPr="004E3E07">
        <w:rPr>
          <w:rFonts w:ascii="Cambria" w:eastAsia="Cambria" w:hAnsi="Cambria" w:cs="Cambria"/>
          <w:b/>
          <w:sz w:val="20"/>
          <w:szCs w:val="20"/>
          <w:lang w:val="es-MX"/>
        </w:rPr>
        <w:t xml:space="preserve"> de justicia para los delitos relacionados con violencia contra las mujeres, </w:t>
      </w:r>
      <w:r w:rsidR="008016E7" w:rsidRPr="004E3E07">
        <w:rPr>
          <w:rFonts w:ascii="Cambria" w:eastAsia="Cambria" w:hAnsi="Cambria" w:cs="Cambria"/>
          <w:b/>
          <w:sz w:val="20"/>
          <w:szCs w:val="20"/>
          <w:lang w:val="es-MX"/>
        </w:rPr>
        <w:t>así</w:t>
      </w:r>
      <w:r w:rsidRPr="004E3E07">
        <w:rPr>
          <w:rFonts w:ascii="Cambria" w:eastAsia="Cambria" w:hAnsi="Cambria" w:cs="Cambria"/>
          <w:b/>
          <w:sz w:val="20"/>
          <w:szCs w:val="20"/>
          <w:lang w:val="es-MX"/>
        </w:rPr>
        <w:t xml:space="preserve">́ como una debida </w:t>
      </w:r>
      <w:r w:rsidR="008016E7" w:rsidRPr="004E3E07">
        <w:rPr>
          <w:rFonts w:ascii="Cambria" w:eastAsia="Cambria" w:hAnsi="Cambria" w:cs="Cambria"/>
          <w:b/>
          <w:sz w:val="20"/>
          <w:szCs w:val="20"/>
          <w:lang w:val="es-MX"/>
        </w:rPr>
        <w:t>supervisión</w:t>
      </w:r>
      <w:r w:rsidRPr="004E3E07">
        <w:rPr>
          <w:rFonts w:ascii="Cambria" w:eastAsia="Cambria" w:hAnsi="Cambria" w:cs="Cambria"/>
          <w:b/>
          <w:sz w:val="20"/>
          <w:szCs w:val="20"/>
          <w:lang w:val="es-MX"/>
        </w:rPr>
        <w:t xml:space="preserve"> sobre su </w:t>
      </w:r>
      <w:r w:rsidR="008016E7" w:rsidRPr="004E3E07">
        <w:rPr>
          <w:rFonts w:ascii="Cambria" w:eastAsia="Cambria" w:hAnsi="Cambria" w:cs="Cambria"/>
          <w:b/>
          <w:sz w:val="20"/>
          <w:szCs w:val="20"/>
          <w:lang w:val="es-MX"/>
        </w:rPr>
        <w:t>implementación</w:t>
      </w:r>
      <w:r w:rsidRPr="004E3E07">
        <w:rPr>
          <w:rFonts w:ascii="Cambria" w:eastAsia="Cambria" w:hAnsi="Cambria" w:cs="Cambria"/>
          <w:sz w:val="20"/>
          <w:szCs w:val="20"/>
          <w:lang w:val="es-MX"/>
        </w:rPr>
        <w:t>. Al respecto, el Estado informó que el</w:t>
      </w:r>
      <w:sdt>
        <w:sdtPr>
          <w:rPr>
            <w:rFonts w:ascii="Cambria" w:hAnsi="Cambria"/>
            <w:sz w:val="20"/>
            <w:szCs w:val="20"/>
            <w:lang w:val="es-MX"/>
          </w:rPr>
          <w:tag w:val="goog_rdk_9"/>
          <w:id w:val="-979613854"/>
        </w:sdtPr>
        <w:sdtEndPr/>
        <w:sdtContent/>
      </w:sdt>
      <w:r w:rsidRPr="004E3E07">
        <w:rPr>
          <w:rFonts w:ascii="Cambria" w:eastAsia="Cambria" w:hAnsi="Cambria" w:cs="Cambria"/>
          <w:sz w:val="20"/>
          <w:szCs w:val="20"/>
          <w:lang w:val="es-MX"/>
        </w:rPr>
        <w:t xml:space="preserve"> 25 de noviembre de 2020 el Gobierno Federal llevó a cabo la presentación de la versión actualizada del Protocolo para Juzgar con Perspectiva de Género (en adelante “el Protocolo”)</w:t>
      </w:r>
      <w:r w:rsidRPr="004E3E07">
        <w:rPr>
          <w:rFonts w:ascii="Cambria" w:eastAsia="Cambria" w:hAnsi="Cambria" w:cs="Cambria"/>
          <w:sz w:val="20"/>
          <w:szCs w:val="20"/>
          <w:vertAlign w:val="superscript"/>
          <w:lang w:val="es-MX"/>
        </w:rPr>
        <w:footnoteReference w:id="273"/>
      </w:r>
      <w:r w:rsidRPr="004E3E07">
        <w:rPr>
          <w:rFonts w:ascii="Cambria" w:eastAsia="Cambria" w:hAnsi="Cambria" w:cs="Cambria"/>
          <w:sz w:val="20"/>
          <w:szCs w:val="20"/>
          <w:lang w:val="es-MX"/>
        </w:rPr>
        <w:t>. De acuerdo con lo informado, la actualización del Protocolo estuvo a cargo de la Dirección General de Derechos Humanos de la SCJN</w:t>
      </w:r>
      <w:r w:rsidRPr="00BA6325">
        <w:rPr>
          <w:rFonts w:ascii="Cambria" w:eastAsia="Cambria" w:hAnsi="Cambria" w:cs="Cambria"/>
          <w:sz w:val="20"/>
          <w:szCs w:val="20"/>
          <w:lang w:val="es-MX"/>
        </w:rPr>
        <w:t>,</w:t>
      </w:r>
      <w:r w:rsidRPr="004E3E07">
        <w:rPr>
          <w:rFonts w:ascii="Cambria" w:eastAsia="Cambria" w:hAnsi="Cambria" w:cs="Cambria"/>
          <w:sz w:val="20"/>
          <w:szCs w:val="20"/>
          <w:lang w:val="es-MX"/>
        </w:rPr>
        <w:t xml:space="preserve"> tomando en consideración los avances en la materia desde su primera publicación en 2013, y a través de una amplia consulta al personal jurisdiccional, organizaciones de la sociedad civil, personas defensoras de derechos humanos e integrantes de la academia. El Estado destacó que este Protocolo constituye una herramienta para proveer a las autoridades judiciales de los elementos necesarios para incorporar la perspectiva de género como método analítico en los casos en que el género se constituye como un obstáculo para el acceso a la justicia en condiciones de igualdad</w:t>
      </w:r>
      <w:r w:rsidRPr="004E3E07">
        <w:rPr>
          <w:rFonts w:ascii="Cambria" w:eastAsia="Cambria" w:hAnsi="Cambria" w:cs="Cambria"/>
          <w:sz w:val="20"/>
          <w:szCs w:val="20"/>
          <w:vertAlign w:val="superscript"/>
          <w:lang w:val="es-MX"/>
        </w:rPr>
        <w:footnoteReference w:id="274"/>
      </w:r>
      <w:r w:rsidRPr="004E3E07">
        <w:rPr>
          <w:rFonts w:ascii="Cambria" w:eastAsia="Cambria" w:hAnsi="Cambria" w:cs="Cambria"/>
          <w:sz w:val="20"/>
          <w:szCs w:val="20"/>
          <w:lang w:val="es-MX"/>
        </w:rPr>
        <w:t xml:space="preserve">. </w:t>
      </w:r>
    </w:p>
    <w:p w14:paraId="7B01AAFD" w14:textId="416AF02F" w:rsidR="00663183" w:rsidRPr="004E3E07" w:rsidRDefault="00663183" w:rsidP="00663183">
      <w:pPr>
        <w:numPr>
          <w:ilvl w:val="0"/>
          <w:numId w:val="5"/>
        </w:numPr>
        <w:spacing w:after="240" w:line="240" w:lineRule="auto"/>
        <w:ind w:left="0" w:firstLine="709"/>
        <w:jc w:val="both"/>
        <w:rPr>
          <w:rFonts w:ascii="Cambria" w:eastAsia="Cambria" w:hAnsi="Cambria" w:cs="Cambria"/>
          <w:sz w:val="20"/>
          <w:szCs w:val="20"/>
          <w:lang w:val="es-MX"/>
        </w:rPr>
      </w:pPr>
      <w:r w:rsidRPr="004E3E07">
        <w:rPr>
          <w:rFonts w:ascii="Cambria" w:eastAsia="Cambria" w:hAnsi="Cambria" w:cs="Cambria"/>
          <w:sz w:val="20"/>
          <w:szCs w:val="20"/>
          <w:lang w:val="es-MX"/>
        </w:rPr>
        <w:t xml:space="preserve">El Estado agregó que la versión actualizada del Protocolo recoge los estándares nacionales e internacionales de derechos humanos más actualizados en la materia, incluyendo criterios de la SCJN, de la Corte IDH y del Sistema Universal de Derechos Humanos, y se acompaña de la Herramienta de Apoyo para la Consulta de los Protocolos de Actuación (Hecopac), donde se pueden consultar dichos estándares y otras fuentes relevantes en la materia. Asimismo, indicó que el Protocolo actualizado presenta una novedosa </w:t>
      </w:r>
      <w:r w:rsidR="006030CF" w:rsidRPr="004E3E07">
        <w:rPr>
          <w:rFonts w:ascii="Cambria" w:eastAsia="Cambria" w:hAnsi="Cambria" w:cs="Cambria"/>
          <w:sz w:val="20"/>
          <w:szCs w:val="20"/>
          <w:lang w:val="es-MX"/>
        </w:rPr>
        <w:t>guía</w:t>
      </w:r>
      <w:r w:rsidRPr="004E3E07">
        <w:rPr>
          <w:rFonts w:ascii="Cambria" w:eastAsia="Cambria" w:hAnsi="Cambria" w:cs="Cambria"/>
          <w:sz w:val="20"/>
          <w:szCs w:val="20"/>
          <w:lang w:val="es-MX"/>
        </w:rPr>
        <w:t xml:space="preserve"> </w:t>
      </w:r>
      <w:r w:rsidR="006030CF" w:rsidRPr="004E3E07">
        <w:rPr>
          <w:rFonts w:ascii="Cambria" w:eastAsia="Cambria" w:hAnsi="Cambria" w:cs="Cambria"/>
          <w:sz w:val="20"/>
          <w:szCs w:val="20"/>
          <w:lang w:val="es-MX"/>
        </w:rPr>
        <w:t>práctica</w:t>
      </w:r>
      <w:r w:rsidRPr="004E3E07">
        <w:rPr>
          <w:rFonts w:ascii="Cambria" w:eastAsia="Cambria" w:hAnsi="Cambria" w:cs="Cambria"/>
          <w:sz w:val="20"/>
          <w:szCs w:val="20"/>
          <w:lang w:val="es-MX"/>
        </w:rPr>
        <w:t xml:space="preserve"> para juzgar con perspectiva de </w:t>
      </w:r>
      <w:r w:rsidR="006030CF" w:rsidRPr="004E3E07">
        <w:rPr>
          <w:rFonts w:ascii="Cambria" w:eastAsia="Cambria" w:hAnsi="Cambria" w:cs="Cambria"/>
          <w:sz w:val="20"/>
          <w:szCs w:val="20"/>
          <w:lang w:val="es-MX"/>
        </w:rPr>
        <w:t>género</w:t>
      </w:r>
      <w:r w:rsidRPr="004E3E07">
        <w:rPr>
          <w:rFonts w:ascii="Cambria" w:eastAsia="Cambria" w:hAnsi="Cambria" w:cs="Cambria"/>
          <w:sz w:val="20"/>
          <w:szCs w:val="20"/>
          <w:lang w:val="es-MX"/>
        </w:rPr>
        <w:t xml:space="preserve">, a partir de lo establecido en la tesis jurisprudencial 22/2016 de la Primera Sala de la SCJN, en la que se identifican 3 grandes rubros de obligaciones para juzgar con perspectiva de </w:t>
      </w:r>
      <w:r w:rsidR="006030CF" w:rsidRPr="004E3E07">
        <w:rPr>
          <w:rFonts w:ascii="Cambria" w:eastAsia="Cambria" w:hAnsi="Cambria" w:cs="Cambria"/>
          <w:sz w:val="20"/>
          <w:szCs w:val="20"/>
          <w:lang w:val="es-MX"/>
        </w:rPr>
        <w:t>género</w:t>
      </w:r>
      <w:r w:rsidRPr="004E3E07">
        <w:rPr>
          <w:rFonts w:ascii="Cambria" w:eastAsia="Cambria" w:hAnsi="Cambria" w:cs="Cambria"/>
          <w:sz w:val="20"/>
          <w:szCs w:val="20"/>
          <w:lang w:val="es-MX"/>
        </w:rPr>
        <w:t xml:space="preserve">: (i) obligaciones previas en el </w:t>
      </w:r>
      <w:r w:rsidR="006030CF" w:rsidRPr="004E3E07">
        <w:rPr>
          <w:rFonts w:ascii="Cambria" w:eastAsia="Cambria" w:hAnsi="Cambria" w:cs="Cambria"/>
          <w:sz w:val="20"/>
          <w:szCs w:val="20"/>
          <w:lang w:val="es-MX"/>
        </w:rPr>
        <w:t>análisis</w:t>
      </w:r>
      <w:r w:rsidRPr="004E3E07">
        <w:rPr>
          <w:rFonts w:ascii="Cambria" w:eastAsia="Cambria" w:hAnsi="Cambria" w:cs="Cambria"/>
          <w:sz w:val="20"/>
          <w:szCs w:val="20"/>
          <w:lang w:val="es-MX"/>
        </w:rPr>
        <w:t xml:space="preserve"> del fondo (ii) obligaciones </w:t>
      </w:r>
      <w:r w:rsidR="006030CF" w:rsidRPr="004E3E07">
        <w:rPr>
          <w:rFonts w:ascii="Cambria" w:eastAsia="Cambria" w:hAnsi="Cambria" w:cs="Cambria"/>
          <w:sz w:val="20"/>
          <w:szCs w:val="20"/>
          <w:lang w:val="es-MX"/>
        </w:rPr>
        <w:t>específicas</w:t>
      </w:r>
      <w:r w:rsidRPr="004E3E07">
        <w:rPr>
          <w:rFonts w:ascii="Cambria" w:eastAsia="Cambria" w:hAnsi="Cambria" w:cs="Cambria"/>
          <w:sz w:val="20"/>
          <w:szCs w:val="20"/>
          <w:lang w:val="es-MX"/>
        </w:rPr>
        <w:t xml:space="preserve"> al momento de resolver el fondo (iii) </w:t>
      </w:r>
      <w:r w:rsidR="006030CF" w:rsidRPr="004E3E07">
        <w:rPr>
          <w:rFonts w:ascii="Cambria" w:eastAsia="Cambria" w:hAnsi="Cambria" w:cs="Cambria"/>
          <w:sz w:val="20"/>
          <w:szCs w:val="20"/>
          <w:lang w:val="es-MX"/>
        </w:rPr>
        <w:t>obligación</w:t>
      </w:r>
      <w:r w:rsidRPr="004E3E07">
        <w:rPr>
          <w:rFonts w:ascii="Cambria" w:eastAsia="Cambria" w:hAnsi="Cambria" w:cs="Cambria"/>
          <w:sz w:val="20"/>
          <w:szCs w:val="20"/>
          <w:lang w:val="es-MX"/>
        </w:rPr>
        <w:t xml:space="preserve"> </w:t>
      </w:r>
      <w:r w:rsidR="006030CF" w:rsidRPr="004E3E07">
        <w:rPr>
          <w:rFonts w:ascii="Cambria" w:eastAsia="Cambria" w:hAnsi="Cambria" w:cs="Cambria"/>
          <w:sz w:val="20"/>
          <w:szCs w:val="20"/>
          <w:lang w:val="es-MX"/>
        </w:rPr>
        <w:t>genérica</w:t>
      </w:r>
      <w:r w:rsidRPr="004E3E07">
        <w:rPr>
          <w:rFonts w:ascii="Cambria" w:eastAsia="Cambria" w:hAnsi="Cambria" w:cs="Cambria"/>
          <w:sz w:val="20"/>
          <w:szCs w:val="20"/>
          <w:lang w:val="es-MX"/>
        </w:rPr>
        <w:t xml:space="preserve"> sobre el uso del lenguaje; y utiliza ejemplos de casos </w:t>
      </w:r>
      <w:r w:rsidR="006030CF" w:rsidRPr="004E3E07">
        <w:rPr>
          <w:rFonts w:ascii="Cambria" w:eastAsia="Cambria" w:hAnsi="Cambria" w:cs="Cambria"/>
          <w:sz w:val="20"/>
          <w:szCs w:val="20"/>
          <w:lang w:val="es-MX"/>
        </w:rPr>
        <w:t>prácticos</w:t>
      </w:r>
      <w:r w:rsidRPr="004E3E07">
        <w:rPr>
          <w:rFonts w:ascii="Cambria" w:eastAsia="Cambria" w:hAnsi="Cambria" w:cs="Cambria"/>
          <w:sz w:val="20"/>
          <w:szCs w:val="20"/>
          <w:lang w:val="es-MX"/>
        </w:rPr>
        <w:t xml:space="preserve"> sobre </w:t>
      </w:r>
      <w:r w:rsidR="006030CF" w:rsidRPr="004E3E07">
        <w:rPr>
          <w:rFonts w:ascii="Cambria" w:eastAsia="Cambria" w:hAnsi="Cambria" w:cs="Cambria"/>
          <w:sz w:val="20"/>
          <w:szCs w:val="20"/>
          <w:lang w:val="es-MX"/>
        </w:rPr>
        <w:t>cómo</w:t>
      </w:r>
      <w:r w:rsidRPr="004E3E07">
        <w:rPr>
          <w:rFonts w:ascii="Cambria" w:eastAsia="Cambria" w:hAnsi="Cambria" w:cs="Cambria"/>
          <w:sz w:val="20"/>
          <w:szCs w:val="20"/>
          <w:lang w:val="es-MX"/>
        </w:rPr>
        <w:t xml:space="preserve"> se debe realizar un </w:t>
      </w:r>
      <w:r w:rsidR="006030CF" w:rsidRPr="004E3E07">
        <w:rPr>
          <w:rFonts w:ascii="Cambria" w:eastAsia="Cambria" w:hAnsi="Cambria" w:cs="Cambria"/>
          <w:sz w:val="20"/>
          <w:szCs w:val="20"/>
          <w:lang w:val="es-MX"/>
        </w:rPr>
        <w:t>análisis</w:t>
      </w:r>
      <w:r w:rsidRPr="004E3E07">
        <w:rPr>
          <w:rFonts w:ascii="Cambria" w:eastAsia="Cambria" w:hAnsi="Cambria" w:cs="Cambria"/>
          <w:sz w:val="20"/>
          <w:szCs w:val="20"/>
          <w:lang w:val="es-MX"/>
        </w:rPr>
        <w:t xml:space="preserve"> en el que se considere de manera adecuada esa </w:t>
      </w:r>
      <w:r w:rsidR="006030CF" w:rsidRPr="004E3E07">
        <w:rPr>
          <w:rFonts w:ascii="Cambria" w:eastAsia="Cambria" w:hAnsi="Cambria" w:cs="Cambria"/>
          <w:sz w:val="20"/>
          <w:szCs w:val="20"/>
          <w:lang w:val="es-MX"/>
        </w:rPr>
        <w:t>categoría</w:t>
      </w:r>
      <w:r w:rsidRPr="004E3E07">
        <w:rPr>
          <w:rFonts w:ascii="Cambria" w:eastAsia="Cambria" w:hAnsi="Cambria" w:cs="Cambria"/>
          <w:sz w:val="20"/>
          <w:szCs w:val="20"/>
          <w:vertAlign w:val="superscript"/>
          <w:lang w:val="es-MX"/>
        </w:rPr>
        <w:footnoteReference w:id="275"/>
      </w:r>
      <w:r w:rsidRPr="004E3E07">
        <w:rPr>
          <w:rFonts w:ascii="Cambria" w:eastAsia="Cambria" w:hAnsi="Cambria" w:cs="Cambria"/>
          <w:sz w:val="20"/>
          <w:szCs w:val="20"/>
          <w:lang w:val="es-MX"/>
        </w:rPr>
        <w:t xml:space="preserve">. </w:t>
      </w:r>
    </w:p>
    <w:p w14:paraId="24132417" w14:textId="77777777" w:rsidR="00663183" w:rsidRPr="004E3E07" w:rsidRDefault="00663183" w:rsidP="00663183">
      <w:pPr>
        <w:numPr>
          <w:ilvl w:val="0"/>
          <w:numId w:val="5"/>
        </w:numPr>
        <w:spacing w:after="240" w:line="240" w:lineRule="auto"/>
        <w:ind w:left="0" w:firstLine="709"/>
        <w:jc w:val="both"/>
        <w:rPr>
          <w:rFonts w:ascii="Cambria" w:eastAsia="Cambria" w:hAnsi="Cambria" w:cs="Cambria"/>
          <w:sz w:val="20"/>
          <w:szCs w:val="20"/>
          <w:lang w:val="es-MX"/>
        </w:rPr>
      </w:pPr>
      <w:r w:rsidRPr="004E3E07">
        <w:rPr>
          <w:rFonts w:ascii="Cambria" w:eastAsia="Cambria" w:hAnsi="Cambria" w:cs="Cambria"/>
          <w:sz w:val="20"/>
          <w:szCs w:val="20"/>
          <w:lang w:val="es-MX"/>
        </w:rPr>
        <w:t>Por su parte, la Comisión observa que el 4 de agosto de 2021 se publicó el Protocolo Nacional de Atención Integral a Niñas, Niños y Adolescentes en Condición de Orfandad por Feminicidio, de observancia obligatoria para los tres niveles de gobierno, cuyo objetivo es orientar y facilitar la actuación del funcionariado público competente para la debida protección y restitución de sus derechos, mediante la prestación de los servicios correspondientes de conformidad con el marco normativo aplicable</w:t>
      </w:r>
      <w:r w:rsidRPr="004E3E07">
        <w:rPr>
          <w:rFonts w:ascii="Cambria" w:eastAsia="Cambria" w:hAnsi="Cambria" w:cs="Cambria"/>
          <w:sz w:val="20"/>
          <w:szCs w:val="20"/>
          <w:vertAlign w:val="superscript"/>
          <w:lang w:val="es-MX"/>
        </w:rPr>
        <w:footnoteReference w:id="276"/>
      </w:r>
      <w:r w:rsidRPr="004E3E07">
        <w:rPr>
          <w:rFonts w:ascii="Cambria" w:eastAsia="Cambria" w:hAnsi="Cambria" w:cs="Cambria"/>
          <w:sz w:val="20"/>
          <w:szCs w:val="20"/>
          <w:lang w:val="es-MX"/>
        </w:rPr>
        <w:t xml:space="preserve">. </w:t>
      </w:r>
    </w:p>
    <w:p w14:paraId="7FDC5FDD" w14:textId="77777777" w:rsidR="00663183" w:rsidRPr="004E3E07" w:rsidRDefault="00663183" w:rsidP="00663183">
      <w:pPr>
        <w:numPr>
          <w:ilvl w:val="0"/>
          <w:numId w:val="5"/>
        </w:numPr>
        <w:spacing w:after="240" w:line="240" w:lineRule="auto"/>
        <w:ind w:left="0" w:firstLine="709"/>
        <w:jc w:val="both"/>
        <w:rPr>
          <w:rFonts w:ascii="Cambria" w:eastAsia="Cambria" w:hAnsi="Cambria" w:cs="Cambria"/>
          <w:sz w:val="20"/>
          <w:szCs w:val="20"/>
          <w:lang w:val="es-MX"/>
        </w:rPr>
      </w:pPr>
      <w:r w:rsidRPr="004E3E07">
        <w:rPr>
          <w:rFonts w:ascii="Cambria" w:eastAsia="Cambria" w:hAnsi="Cambria" w:cs="Cambria"/>
          <w:sz w:val="20"/>
          <w:szCs w:val="20"/>
          <w:lang w:val="es-MX"/>
        </w:rPr>
        <w:t xml:space="preserve">La Comisión valora positivamente la adopción de ambos Protocolos e invita al Estado a continuar esfuerzos para asegurar su debida implementación a través de la asignación de recursos económicos, técnicos y humanos suficientes, así como su amplia difusión para promover el conocimiento de las distintas autoridades competentes. Sin embargo, la Comisión advierte que para poder evaluar el cumplimiento de la presente recomendación es necesario contar con información acerca de la efectiva implementación de los protocolos por parte de las autoridades de procuración de justicia; además, observa que no se recibió información relacionada con mecanismos de supervisión sobre la implementación de los mismos. En atención a lo anterior, la Comisión concluye que la recomendación continúa en </w:t>
      </w:r>
      <w:r w:rsidRPr="004E4A31">
        <w:rPr>
          <w:rFonts w:ascii="Cambria" w:eastAsia="Cambria" w:hAnsi="Cambria" w:cs="Cambria"/>
          <w:sz w:val="20"/>
          <w:szCs w:val="20"/>
          <w:lang w:val="es-MX"/>
        </w:rPr>
        <w:t>cumplimiento parcial</w:t>
      </w:r>
      <w:r w:rsidRPr="004E3E07">
        <w:rPr>
          <w:rFonts w:ascii="Cambria" w:eastAsia="Cambria" w:hAnsi="Cambria" w:cs="Cambria"/>
          <w:sz w:val="20"/>
          <w:szCs w:val="20"/>
          <w:lang w:val="es-MX"/>
        </w:rPr>
        <w:t xml:space="preserve">. </w:t>
      </w:r>
    </w:p>
    <w:p w14:paraId="095F6D9C" w14:textId="66B5E6C1" w:rsidR="00663183" w:rsidRPr="004E3E07" w:rsidRDefault="00663183" w:rsidP="00663183">
      <w:pPr>
        <w:numPr>
          <w:ilvl w:val="0"/>
          <w:numId w:val="5"/>
        </w:numPr>
        <w:spacing w:after="240" w:line="240" w:lineRule="auto"/>
        <w:ind w:left="0" w:firstLine="709"/>
        <w:jc w:val="both"/>
        <w:rPr>
          <w:rFonts w:ascii="Cambria" w:eastAsia="Cambria" w:hAnsi="Cambria" w:cs="Cambria"/>
          <w:sz w:val="20"/>
          <w:szCs w:val="20"/>
          <w:lang w:val="es-MX"/>
        </w:rPr>
      </w:pPr>
      <w:r w:rsidRPr="004E3E07">
        <w:rPr>
          <w:rFonts w:ascii="Cambria" w:eastAsia="Cambria" w:hAnsi="Cambria" w:cs="Cambria"/>
          <w:bCs/>
          <w:sz w:val="20"/>
          <w:szCs w:val="20"/>
          <w:lang w:val="es-MX"/>
        </w:rPr>
        <w:t>Respecto a la recomendación de</w:t>
      </w:r>
      <w:r w:rsidRPr="004E3E07">
        <w:rPr>
          <w:rFonts w:ascii="Cambria" w:eastAsia="Cambria" w:hAnsi="Cambria" w:cs="Cambria"/>
          <w:b/>
          <w:sz w:val="20"/>
          <w:szCs w:val="20"/>
          <w:lang w:val="es-MX"/>
        </w:rPr>
        <w:t xml:space="preserve"> adoptar políticas públicas destinadas a reestructurar los estereotipos sobre el rol de las mujeres en la sociedad y promover la erradicación de patrones socioculturales discriminatorios que impiden su acceso a la justicia, </w:t>
      </w:r>
      <w:r w:rsidRPr="004E3E07">
        <w:rPr>
          <w:rFonts w:ascii="Cambria" w:eastAsia="Cambria" w:hAnsi="Cambria" w:cs="Cambria"/>
          <w:sz w:val="20"/>
          <w:szCs w:val="20"/>
          <w:lang w:val="es-MX"/>
        </w:rPr>
        <w:t xml:space="preserve">el Estado reportó que </w:t>
      </w:r>
      <w:sdt>
        <w:sdtPr>
          <w:rPr>
            <w:rFonts w:ascii="Cambria" w:hAnsi="Cambria"/>
            <w:sz w:val="20"/>
            <w:szCs w:val="20"/>
            <w:lang w:val="es-MX"/>
          </w:rPr>
          <w:tag w:val="goog_rdk_15"/>
          <w:id w:val="1385144239"/>
        </w:sdtPr>
        <w:sdtEndPr/>
        <w:sdtContent/>
      </w:sdt>
      <w:sdt>
        <w:sdtPr>
          <w:rPr>
            <w:rFonts w:ascii="Cambria" w:hAnsi="Cambria"/>
            <w:sz w:val="20"/>
            <w:szCs w:val="20"/>
            <w:lang w:val="es-MX"/>
          </w:rPr>
          <w:tag w:val="goog_rdk_16"/>
          <w:id w:val="1884283259"/>
        </w:sdtPr>
        <w:sdtEndPr/>
        <w:sdtContent/>
      </w:sdt>
      <w:sdt>
        <w:sdtPr>
          <w:rPr>
            <w:rFonts w:ascii="Cambria" w:hAnsi="Cambria"/>
            <w:sz w:val="20"/>
            <w:szCs w:val="20"/>
            <w:lang w:val="es-MX"/>
          </w:rPr>
          <w:tag w:val="goog_rdk_17"/>
          <w:id w:val="-1964954166"/>
        </w:sdtPr>
        <w:sdtEndPr/>
        <w:sdtContent/>
      </w:sdt>
      <w:r w:rsidRPr="004E3E07">
        <w:rPr>
          <w:rFonts w:ascii="Cambria" w:eastAsia="Cambria" w:hAnsi="Cambria" w:cs="Cambria"/>
          <w:sz w:val="20"/>
          <w:szCs w:val="20"/>
          <w:lang w:val="es-MX"/>
        </w:rPr>
        <w:t xml:space="preserve">en la XLIV Sesión Ordinaria celebrada el 7 de septiembre de 2021, el Sistema Nacional para Prevenir, Atender, Sancionar y Erradicar la Violencia contra las Mujeres, </w:t>
      </w:r>
      <w:r w:rsidR="00487A74" w:rsidRPr="00BA6325">
        <w:rPr>
          <w:rFonts w:ascii="Cambria" w:eastAsia="Cambria" w:hAnsi="Cambria" w:cs="Cambria"/>
          <w:sz w:val="20"/>
          <w:szCs w:val="20"/>
          <w:lang w:val="es-MX"/>
        </w:rPr>
        <w:t>aprobó el</w:t>
      </w:r>
      <w:r w:rsidRPr="004E3E07">
        <w:rPr>
          <w:rFonts w:ascii="Cambria" w:eastAsia="Cambria" w:hAnsi="Cambria" w:cs="Cambria"/>
          <w:sz w:val="20"/>
          <w:szCs w:val="20"/>
          <w:lang w:val="es-MX"/>
        </w:rPr>
        <w:t xml:space="preserve"> acuerdo 03-07/09/2021 por el cual se adopta el Modelo Integral de Prevención Primaria de Violencias contra las Mujeres, cuyo seguimiento de implementación será llevado a cabo por la Comisión de Prevención, quien a su vez informará al Sistema Nacional al respecto</w:t>
      </w:r>
      <w:r w:rsidRPr="004E3E07">
        <w:rPr>
          <w:rFonts w:ascii="Cambria" w:eastAsia="Cambria" w:hAnsi="Cambria" w:cs="Cambria"/>
          <w:sz w:val="20"/>
          <w:szCs w:val="20"/>
          <w:vertAlign w:val="superscript"/>
          <w:lang w:val="es-MX"/>
        </w:rPr>
        <w:footnoteReference w:id="277"/>
      </w:r>
      <w:r w:rsidRPr="004E3E07">
        <w:rPr>
          <w:rFonts w:ascii="Cambria" w:eastAsia="Cambria" w:hAnsi="Cambria" w:cs="Cambria"/>
          <w:sz w:val="20"/>
          <w:szCs w:val="20"/>
          <w:lang w:val="es-MX"/>
        </w:rPr>
        <w:t>. El Estado informó que este acuerdo tiene como objetivo modificar los patrones socioculturales heredados tanto de un régimen basado en la impunidad, el abandono institucional y la corrupción, como del sistema patriarcal; asimismo, indica que el acuerdo pretende plantear las bases para una sociedad libre, democrática y soberana en la que no haya cabida para la exclusión, la invisibilización y la violencia contra las mujeres</w:t>
      </w:r>
      <w:r w:rsidRPr="004E3E07">
        <w:rPr>
          <w:rFonts w:ascii="Cambria" w:eastAsia="Cambria" w:hAnsi="Cambria" w:cs="Cambria"/>
          <w:sz w:val="20"/>
          <w:szCs w:val="20"/>
          <w:vertAlign w:val="superscript"/>
          <w:lang w:val="es-MX"/>
        </w:rPr>
        <w:footnoteReference w:id="278"/>
      </w:r>
      <w:r w:rsidRPr="004E3E07">
        <w:rPr>
          <w:rFonts w:ascii="Cambria" w:eastAsia="Cambria" w:hAnsi="Cambria" w:cs="Cambria"/>
          <w:sz w:val="20"/>
          <w:szCs w:val="20"/>
          <w:lang w:val="es-MX"/>
        </w:rPr>
        <w:t xml:space="preserve">. </w:t>
      </w:r>
    </w:p>
    <w:p w14:paraId="322ECBC6" w14:textId="77777777" w:rsidR="00663183" w:rsidRPr="004E3E07" w:rsidRDefault="00663183" w:rsidP="00663183">
      <w:pPr>
        <w:numPr>
          <w:ilvl w:val="0"/>
          <w:numId w:val="5"/>
        </w:numPr>
        <w:spacing w:after="240" w:line="240" w:lineRule="auto"/>
        <w:ind w:left="0" w:firstLine="709"/>
        <w:jc w:val="both"/>
        <w:rPr>
          <w:rFonts w:ascii="Cambria" w:eastAsia="Cambria" w:hAnsi="Cambria" w:cs="Cambria"/>
          <w:sz w:val="20"/>
          <w:szCs w:val="20"/>
          <w:lang w:val="es-MX"/>
        </w:rPr>
      </w:pPr>
      <w:r w:rsidRPr="004E3E07">
        <w:rPr>
          <w:rFonts w:ascii="Cambria" w:eastAsia="Cambria" w:hAnsi="Cambria" w:cs="Cambria"/>
          <w:sz w:val="20"/>
          <w:szCs w:val="20"/>
          <w:lang w:val="es-MX"/>
        </w:rPr>
        <w:t>Asimismo, el Estado informó acerca de la elaboración conjunta con la CEPAL del documento denominado “Inclusión financiera sin discriminación: hacia un protocolo de trato incluyente en sucursales bancarias de México”, publicado en octubre del 2021, el cual incorpora pautas elementales derivadas del derecho de igualdad y no discriminación, y busca promover la igualdad en las esferas sociales, políticas y económicas de la vida de la población mexicana; el Estado destacó que las recomendaciones contenidas en el documento buscan plasmar la perspectiva antidiscriminatoria de forma transversal a lo largo de todo el proceso de interacción entre las personas usuarias y el sistema financiero</w:t>
      </w:r>
      <w:r w:rsidRPr="004E3E07">
        <w:rPr>
          <w:rFonts w:ascii="Cambria" w:eastAsia="Cambria" w:hAnsi="Cambria" w:cs="Cambria"/>
          <w:sz w:val="20"/>
          <w:szCs w:val="20"/>
          <w:vertAlign w:val="superscript"/>
          <w:lang w:val="es-MX"/>
        </w:rPr>
        <w:footnoteReference w:id="279"/>
      </w:r>
      <w:r w:rsidRPr="004E3E07">
        <w:rPr>
          <w:rFonts w:ascii="Cambria" w:eastAsia="Cambria" w:hAnsi="Cambria" w:cs="Cambria"/>
          <w:sz w:val="20"/>
          <w:szCs w:val="20"/>
          <w:lang w:val="es-MX"/>
        </w:rPr>
        <w:t>. Por otra parte, el Estado informó de la elaboración del documento “Diversidad y discriminación en las empresas del sector servicios de la Ciudad de México”, publicado en el año 2019, el cual revela el peso de los criterios subjetivos fundamentados en prejuicios y estereotipos en los procesos de contratación, permanencia y asensos laborales</w:t>
      </w:r>
      <w:r w:rsidRPr="004E3E07">
        <w:rPr>
          <w:rFonts w:ascii="Cambria" w:eastAsia="Cambria" w:hAnsi="Cambria" w:cs="Cambria"/>
          <w:sz w:val="20"/>
          <w:szCs w:val="20"/>
          <w:vertAlign w:val="superscript"/>
          <w:lang w:val="es-MX"/>
        </w:rPr>
        <w:footnoteReference w:id="280"/>
      </w:r>
      <w:r w:rsidRPr="004E3E07">
        <w:rPr>
          <w:rFonts w:ascii="Cambria" w:eastAsia="Cambria" w:hAnsi="Cambria" w:cs="Cambria"/>
          <w:sz w:val="20"/>
          <w:szCs w:val="20"/>
          <w:lang w:val="es-MX"/>
        </w:rPr>
        <w:t xml:space="preserve">. </w:t>
      </w:r>
    </w:p>
    <w:p w14:paraId="7DA4E4CF" w14:textId="77777777" w:rsidR="00663183" w:rsidRPr="004E3E07" w:rsidRDefault="00663183" w:rsidP="00663183">
      <w:pPr>
        <w:numPr>
          <w:ilvl w:val="0"/>
          <w:numId w:val="5"/>
        </w:numPr>
        <w:spacing w:after="240" w:line="240" w:lineRule="auto"/>
        <w:ind w:left="0" w:firstLine="709"/>
        <w:jc w:val="both"/>
        <w:rPr>
          <w:rFonts w:ascii="Cambria" w:eastAsia="Cambria" w:hAnsi="Cambria" w:cs="Cambria"/>
          <w:sz w:val="20"/>
          <w:szCs w:val="20"/>
          <w:lang w:val="es-MX"/>
        </w:rPr>
      </w:pPr>
      <w:r w:rsidRPr="004E3E07">
        <w:rPr>
          <w:rFonts w:ascii="Cambria" w:eastAsia="Cambria" w:hAnsi="Cambria" w:cs="Cambria"/>
          <w:sz w:val="20"/>
          <w:szCs w:val="20"/>
          <w:lang w:val="es-MX"/>
        </w:rPr>
        <w:t>Por otra parte, el Estado informó que durante el 2021 la CONAVIM obtuvo la recertificación de la NMX-R 025-SCFI-2015 en igualdad laboral y no discriminación, para el periodo del 5 de marzo del 2021 al 4 de marzo del 2025 con una puntuación total de 90 y el Nivel Bronce</w:t>
      </w:r>
      <w:r w:rsidRPr="004E3E07">
        <w:rPr>
          <w:rFonts w:ascii="Cambria" w:eastAsia="Cambria" w:hAnsi="Cambria" w:cs="Cambria"/>
          <w:sz w:val="20"/>
          <w:szCs w:val="20"/>
          <w:vertAlign w:val="superscript"/>
          <w:lang w:val="es-MX"/>
        </w:rPr>
        <w:footnoteReference w:id="281"/>
      </w:r>
      <w:r w:rsidRPr="004E3E07">
        <w:rPr>
          <w:rFonts w:ascii="Cambria" w:eastAsia="Cambria" w:hAnsi="Cambria" w:cs="Cambria"/>
          <w:sz w:val="20"/>
          <w:szCs w:val="20"/>
          <w:lang w:val="es-MX"/>
        </w:rPr>
        <w:t>. Asimismo, informó que en el marco del Programa de Cultura Institucional (PCI), en el 2021 se realizaron acciones para contribuir a eliminar la violencia contra las mujeres en el ámbito laboral, dirigidas a personal del servicio público de la Secretaría de Gobernación y sus órganos sectorizados, destacando la actualización del Protocolo para la prevención, atención y sanción del hostigamiento y acoso sexual – y las capacitaciones al respecto-, así como las actividades de capacitación sobre lenguaje no sexista e incluyente, perspectiva de género, derechos humanos e igualdad y no discriminación</w:t>
      </w:r>
      <w:r w:rsidRPr="004E3E07">
        <w:rPr>
          <w:rFonts w:ascii="Cambria" w:eastAsia="Cambria" w:hAnsi="Cambria" w:cs="Cambria"/>
          <w:sz w:val="20"/>
          <w:szCs w:val="20"/>
          <w:vertAlign w:val="superscript"/>
          <w:lang w:val="es-MX"/>
        </w:rPr>
        <w:footnoteReference w:id="282"/>
      </w:r>
      <w:r w:rsidRPr="004E3E07">
        <w:rPr>
          <w:rFonts w:ascii="Cambria" w:eastAsia="Cambria" w:hAnsi="Cambria" w:cs="Cambria"/>
          <w:sz w:val="20"/>
          <w:szCs w:val="20"/>
          <w:lang w:val="es-MX"/>
        </w:rPr>
        <w:t>. El Estado también informó acerca de los esfuerzos del Instituto Nacional Electoral a través de la Estrategia de Difusión Institucional para sensibilizar sobre la violencia política contra las mujeres por razones de género, visibilizar la participación cívica y política de las mujeres en diversos ámbitos del espacio público y promover el lenguaje incluyente y no sexista en producciones editoriales; no obstante, el Estado reconoció que por el arraigo de las autorías al lenguaje tradicional se encuentra resistencia en la aplicación del lenguaje no sexista o incluyente</w:t>
      </w:r>
      <w:r w:rsidRPr="004E3E07">
        <w:rPr>
          <w:rFonts w:ascii="Cambria" w:eastAsia="Cambria" w:hAnsi="Cambria" w:cs="Cambria"/>
          <w:sz w:val="20"/>
          <w:szCs w:val="20"/>
          <w:vertAlign w:val="superscript"/>
          <w:lang w:val="es-MX"/>
        </w:rPr>
        <w:footnoteReference w:id="283"/>
      </w:r>
      <w:r w:rsidRPr="004E3E07">
        <w:rPr>
          <w:rFonts w:ascii="Cambria" w:eastAsia="Cambria" w:hAnsi="Cambria" w:cs="Cambria"/>
          <w:sz w:val="20"/>
          <w:szCs w:val="20"/>
          <w:lang w:val="es-MX"/>
        </w:rPr>
        <w:t xml:space="preserve">. </w:t>
      </w:r>
    </w:p>
    <w:p w14:paraId="01202554" w14:textId="4EE142C4" w:rsidR="00D91AF2" w:rsidRPr="004E3E07" w:rsidRDefault="00D91AF2" w:rsidP="00663183">
      <w:pPr>
        <w:numPr>
          <w:ilvl w:val="0"/>
          <w:numId w:val="5"/>
        </w:numPr>
        <w:spacing w:after="240" w:line="240" w:lineRule="auto"/>
        <w:ind w:left="0" w:firstLine="709"/>
        <w:jc w:val="both"/>
        <w:rPr>
          <w:rFonts w:ascii="Cambria" w:eastAsia="Cambria" w:hAnsi="Cambria" w:cs="Cambria"/>
          <w:sz w:val="20"/>
          <w:szCs w:val="20"/>
          <w:lang w:val="es-MX"/>
        </w:rPr>
      </w:pPr>
      <w:r>
        <w:rPr>
          <w:rFonts w:ascii="Cambria" w:eastAsia="Cambria" w:hAnsi="Cambria" w:cs="Cambria"/>
          <w:sz w:val="20"/>
          <w:szCs w:val="20"/>
          <w:lang w:val="es-MX"/>
        </w:rPr>
        <w:t>La CNDH dio cuenta en el Sistema</w:t>
      </w:r>
      <w:r w:rsidR="00F860D5">
        <w:rPr>
          <w:rFonts w:ascii="Cambria" w:eastAsia="Cambria" w:hAnsi="Cambria" w:cs="Cambria"/>
          <w:sz w:val="20"/>
          <w:szCs w:val="20"/>
          <w:lang w:val="es-MX"/>
        </w:rPr>
        <w:t xml:space="preserve"> de Monitoreo de Recomendaciones (SIMORE) de una serie de acciones de difusión y reuniones con autoridades para la promoción de los derechos de la mujer</w:t>
      </w:r>
      <w:r w:rsidR="0027531B">
        <w:rPr>
          <w:rFonts w:ascii="Cambria" w:eastAsia="Cambria" w:hAnsi="Cambria" w:cs="Cambria"/>
          <w:sz w:val="20"/>
          <w:szCs w:val="20"/>
          <w:lang w:val="es-MX"/>
        </w:rPr>
        <w:t xml:space="preserve"> enfocados en la igualdad entre hombres y mujeres y prevención de violencia.</w:t>
      </w:r>
      <w:r w:rsidR="0027531B">
        <w:rPr>
          <w:rStyle w:val="FootnoteReference"/>
          <w:rFonts w:ascii="Cambria" w:eastAsia="Cambria" w:hAnsi="Cambria" w:cs="Cambria"/>
          <w:sz w:val="20"/>
          <w:szCs w:val="20"/>
          <w:lang w:val="es-MX"/>
        </w:rPr>
        <w:footnoteReference w:id="284"/>
      </w:r>
    </w:p>
    <w:p w14:paraId="755E972D" w14:textId="795ABAB2" w:rsidR="00663183" w:rsidRPr="004E3E07" w:rsidRDefault="00663183" w:rsidP="00663183">
      <w:pPr>
        <w:numPr>
          <w:ilvl w:val="0"/>
          <w:numId w:val="5"/>
        </w:numPr>
        <w:spacing w:after="240" w:line="240" w:lineRule="auto"/>
        <w:ind w:left="0" w:firstLine="709"/>
        <w:jc w:val="both"/>
        <w:rPr>
          <w:rFonts w:ascii="Cambria" w:eastAsia="Cambria" w:hAnsi="Cambria" w:cs="Cambria"/>
          <w:sz w:val="20"/>
          <w:szCs w:val="20"/>
          <w:lang w:val="es-MX"/>
        </w:rPr>
      </w:pPr>
      <w:r w:rsidRPr="004E3E07">
        <w:rPr>
          <w:rFonts w:ascii="Cambria" w:eastAsia="Cambria" w:hAnsi="Cambria" w:cs="Cambria"/>
          <w:sz w:val="20"/>
          <w:szCs w:val="20"/>
          <w:lang w:val="es-MX"/>
        </w:rPr>
        <w:t xml:space="preserve">La </w:t>
      </w:r>
      <w:r w:rsidR="00511B0C">
        <w:rPr>
          <w:rFonts w:ascii="Cambria" w:eastAsia="Cambria" w:hAnsi="Cambria" w:cs="Cambria"/>
          <w:sz w:val="20"/>
          <w:szCs w:val="20"/>
          <w:lang w:val="es-MX"/>
        </w:rPr>
        <w:t>C</w:t>
      </w:r>
      <w:r w:rsidRPr="004E3E07">
        <w:rPr>
          <w:rFonts w:ascii="Cambria" w:eastAsia="Cambria" w:hAnsi="Cambria" w:cs="Cambria"/>
          <w:sz w:val="20"/>
          <w:szCs w:val="20"/>
          <w:lang w:val="es-MX"/>
        </w:rPr>
        <w:t xml:space="preserve">omisión valora positivamente la adopción del Modelo Integral de Prevención Primaria de Violencias contra las Mujeres e insta al Estado a continuar esfuerzos para garantizar su debida implementación; asimismo, valora los esfuerzos para promover el uso del lenguaje incluyente y no sexista, así como para prevenir, atender y sancionar la violencia y discriminación en el ámbito laboral y de participación política. No obstante, se observa con extrema preocupación la prevalencia de altas tasas de violencia feminicida, sexual y doméstica contra las mujeres, lo cual refleja la normalización y tolerancia social de la misma. Por otra parte, la Comisión advierte que parte de la información proporcionada por el Estado se encuentra desactualizada, es de alcance local o no permite evaluar la forma en que dicha medida contribuye a modificar patrones socioculturales de discriminación contra las mujeres. Con base en lo anteriormente expuesto, la Comisión observa que la presente recomendación se encuentra en </w:t>
      </w:r>
      <w:r w:rsidRPr="004E4A31">
        <w:rPr>
          <w:rFonts w:ascii="Cambria" w:eastAsia="Cambria" w:hAnsi="Cambria" w:cs="Cambria"/>
          <w:sz w:val="20"/>
          <w:szCs w:val="20"/>
          <w:lang w:val="es-MX"/>
        </w:rPr>
        <w:t>cumplimiento parcial</w:t>
      </w:r>
      <w:r w:rsidRPr="004E3E07">
        <w:rPr>
          <w:rFonts w:ascii="Cambria" w:eastAsia="Cambria" w:hAnsi="Cambria" w:cs="Cambria"/>
          <w:sz w:val="20"/>
          <w:szCs w:val="20"/>
          <w:lang w:val="es-MX"/>
        </w:rPr>
        <w:t xml:space="preserve">. </w:t>
      </w:r>
    </w:p>
    <w:p w14:paraId="70201A38" w14:textId="77777777" w:rsidR="00663183" w:rsidRPr="004E3E07" w:rsidRDefault="00663183" w:rsidP="00663183">
      <w:pPr>
        <w:numPr>
          <w:ilvl w:val="0"/>
          <w:numId w:val="5"/>
        </w:numPr>
        <w:spacing w:after="240" w:line="240" w:lineRule="auto"/>
        <w:ind w:left="0" w:firstLine="709"/>
        <w:jc w:val="both"/>
        <w:rPr>
          <w:rFonts w:ascii="Cambria" w:eastAsia="Cambria" w:hAnsi="Cambria" w:cs="Cambria"/>
          <w:sz w:val="20"/>
          <w:szCs w:val="20"/>
          <w:lang w:val="es-MX"/>
        </w:rPr>
      </w:pPr>
      <w:r w:rsidRPr="004E3E07">
        <w:rPr>
          <w:rFonts w:ascii="Cambria" w:eastAsia="Cambria" w:hAnsi="Cambria" w:cs="Cambria"/>
          <w:sz w:val="20"/>
          <w:szCs w:val="20"/>
          <w:lang w:val="es-MX"/>
        </w:rPr>
        <w:t xml:space="preserve">Respecto a la recomendación de </w:t>
      </w:r>
      <w:r w:rsidRPr="004E3E07">
        <w:rPr>
          <w:rFonts w:ascii="Cambria" w:eastAsia="Cambria" w:hAnsi="Cambria" w:cs="Cambria"/>
          <w:b/>
          <w:sz w:val="20"/>
          <w:szCs w:val="20"/>
          <w:highlight w:val="white"/>
          <w:lang w:val="es-MX"/>
        </w:rPr>
        <w:t>diseñar e implementar políticas culturalmente adecuadas, con la participación de mujeres indígenas y bajo un enfoque comprehensivo y holístico para prevenir, investigar, sancionar y reparar actos de violencia y discriminación en contra de mujeres indígenas</w:t>
      </w:r>
      <w:r w:rsidRPr="004E3E07">
        <w:rPr>
          <w:rFonts w:ascii="Cambria" w:eastAsia="Cambria" w:hAnsi="Cambria" w:cs="Cambria"/>
          <w:sz w:val="20"/>
          <w:szCs w:val="20"/>
          <w:highlight w:val="white"/>
          <w:lang w:val="es-MX"/>
        </w:rPr>
        <w:t xml:space="preserve">, </w:t>
      </w:r>
      <w:r w:rsidRPr="004E3E07">
        <w:rPr>
          <w:rFonts w:ascii="Cambria" w:eastAsia="Cambria" w:hAnsi="Cambria" w:cs="Cambria"/>
          <w:sz w:val="20"/>
          <w:szCs w:val="20"/>
          <w:lang w:val="es-MX"/>
        </w:rPr>
        <w:t>el Estado reportó que la CONAVIM se encuentra discutiendo el Modelo de Sanción que establece el artículo 24 del Reglamento de la Ley General de Acceso de las Mujeres a una Vida Libre de Violencia; indica que se está llevando a cabo un análisis profundo para transversalizar un enfoque comprehensivo, holístico e inclusivo para las mujeres indígenas que permita cerrar brechas históricas y aplicar acciones de equidad en la administración y procuración de justicia</w:t>
      </w:r>
      <w:r w:rsidRPr="004E3E07">
        <w:rPr>
          <w:rStyle w:val="FootnoteReference"/>
          <w:rFonts w:ascii="Cambria" w:eastAsia="Cambria" w:hAnsi="Cambria" w:cs="Cambria"/>
          <w:sz w:val="20"/>
          <w:szCs w:val="20"/>
          <w:lang w:val="es-MX"/>
        </w:rPr>
        <w:footnoteReference w:id="285"/>
      </w:r>
      <w:r w:rsidRPr="004E3E07">
        <w:rPr>
          <w:rFonts w:ascii="Cambria" w:eastAsia="Cambria" w:hAnsi="Cambria" w:cs="Cambria"/>
          <w:sz w:val="20"/>
          <w:szCs w:val="20"/>
          <w:lang w:val="es-MX"/>
        </w:rPr>
        <w:t xml:space="preserve">. </w:t>
      </w:r>
    </w:p>
    <w:p w14:paraId="07245168" w14:textId="77777777" w:rsidR="00663183" w:rsidRPr="004E3E07" w:rsidRDefault="00663183" w:rsidP="00663183">
      <w:pPr>
        <w:numPr>
          <w:ilvl w:val="0"/>
          <w:numId w:val="5"/>
        </w:numPr>
        <w:spacing w:after="240" w:line="240" w:lineRule="auto"/>
        <w:ind w:left="0" w:firstLine="709"/>
        <w:jc w:val="both"/>
        <w:rPr>
          <w:rFonts w:ascii="Cambria" w:eastAsia="Cambria" w:hAnsi="Cambria" w:cs="Cambria"/>
          <w:sz w:val="20"/>
          <w:szCs w:val="20"/>
          <w:lang w:val="es-MX"/>
        </w:rPr>
      </w:pPr>
      <w:r w:rsidRPr="004E3E07">
        <w:rPr>
          <w:rFonts w:ascii="Cambria" w:eastAsia="Cambria" w:hAnsi="Cambria" w:cs="Cambria"/>
          <w:sz w:val="20"/>
          <w:szCs w:val="20"/>
          <w:lang w:val="es-MX"/>
        </w:rPr>
        <w:t>Asimismo, el Estado informó que a través de la Unidad Especializada para la Atención de Asuntos Indígenas de la FGR se impartieron de enero a septiembre de 2021 siete cursos en los estados de San Luis Potosí y Quintana Roo sobre “violencia de género contra las mujeres en las comunidades indígenas”, contando con una participación total de 335 personas indígenas (205 mujeres y 130 hombres). El Estado agregó que la Dirección General de la Asesoría Jurídica Federal brinda orientación, asesoría, representación y acompañamiento legal a mujeres indígenas víctimas de delitos federales y graves violaciones a derechos humanos</w:t>
      </w:r>
      <w:r w:rsidRPr="004E3E07">
        <w:rPr>
          <w:rStyle w:val="FootnoteReference"/>
          <w:rFonts w:ascii="Cambria" w:eastAsia="Cambria" w:hAnsi="Cambria" w:cs="Cambria"/>
          <w:sz w:val="20"/>
          <w:szCs w:val="20"/>
          <w:lang w:val="es-MX"/>
        </w:rPr>
        <w:footnoteReference w:id="286"/>
      </w:r>
      <w:r w:rsidRPr="004E3E07">
        <w:rPr>
          <w:rFonts w:ascii="Cambria" w:eastAsia="Cambria" w:hAnsi="Cambria" w:cs="Cambria"/>
          <w:sz w:val="20"/>
          <w:szCs w:val="20"/>
          <w:lang w:val="es-MX"/>
        </w:rPr>
        <w:t xml:space="preserve">. </w:t>
      </w:r>
    </w:p>
    <w:p w14:paraId="6ED38BCF" w14:textId="77777777" w:rsidR="00663183" w:rsidRPr="004E3E07" w:rsidRDefault="00663183" w:rsidP="00663183">
      <w:pPr>
        <w:numPr>
          <w:ilvl w:val="0"/>
          <w:numId w:val="5"/>
        </w:numPr>
        <w:spacing w:after="240" w:line="240" w:lineRule="auto"/>
        <w:ind w:left="0" w:firstLine="709"/>
        <w:jc w:val="both"/>
        <w:rPr>
          <w:rFonts w:ascii="Cambria" w:eastAsia="Cambria" w:hAnsi="Cambria" w:cs="Cambria"/>
          <w:sz w:val="20"/>
          <w:szCs w:val="20"/>
          <w:lang w:val="es-MX"/>
        </w:rPr>
      </w:pPr>
      <w:r w:rsidRPr="004E3E07">
        <w:rPr>
          <w:rFonts w:ascii="Cambria" w:eastAsia="Cambria" w:hAnsi="Cambria" w:cs="Cambria"/>
          <w:sz w:val="20"/>
          <w:szCs w:val="20"/>
          <w:lang w:val="es-MX"/>
        </w:rPr>
        <w:t xml:space="preserve">Por otra parte, el Estado indicó que el Instituto Nacional de los Pueblos Indígenas (en adelante el “INPI”), a través del Programa para el Bienestar Integral de los Pueblos Indígenas (PROBIPI), apoya la implementación y ejercicio efectivo de los derechos de las mujeres indígenas y afromexicanas, abordando prioritariamente las causas y consecuencias de la violencia y la discriminación en su contra. Para tal fin, indica que se han realizado esfuerzos para difundir información y sensibilizar a la población en general sobre los derechos de las mujeres indígenas; prevenir la violencia sexual y la violencia obstétrica; generar información sobre casos, gestionar recursos y apoyos para la atención de mujeres víctimas de violencia; impartir talleres de capacitación para la prevención de las violencias de género; proporcionar servicios de promoción, prevención, orientación, asesoría, canalización y acompañamiento a mujeres víctimas de violencia; brindar servicios de salud sexual y reproductiva, y; promover la participación política de las mujeres </w:t>
      </w:r>
      <w:r w:rsidRPr="00220665">
        <w:rPr>
          <w:rFonts w:ascii="Cambria" w:eastAsia="Cambria" w:hAnsi="Cambria" w:cs="Cambria"/>
          <w:sz w:val="20"/>
          <w:szCs w:val="20"/>
          <w:lang w:val="es-MX"/>
        </w:rPr>
        <w:t>indígenas y afromexicanas. Tales esfuerzos, indica el Estado, han sido financiados a través del subprograma “Apoyos para el acceso efectivo de personas y comunidades indígenas y afromexicanas a la jurisdicción del Estado”, así como el “Apoyo a procesos organizativos y acciones para el ejercicio efectivo de los derechos de las mujeres indígenas y afromexicanas”, mediante el cual se otorgan apoyos a las Casas de la Mujer Indígena y Afromexicana (en adelante “CAMIS”), contando a octubre de 2021 con 35 casas en 17 entidades federativas</w:t>
      </w:r>
      <w:r w:rsidRPr="00220665">
        <w:rPr>
          <w:rFonts w:ascii="Cambria" w:eastAsia="Cambria" w:hAnsi="Cambria" w:cs="Cambria"/>
          <w:sz w:val="20"/>
          <w:szCs w:val="20"/>
          <w:vertAlign w:val="superscript"/>
          <w:lang w:val="es-MX"/>
        </w:rPr>
        <w:footnoteReference w:id="287"/>
      </w:r>
      <w:r w:rsidRPr="00220665">
        <w:rPr>
          <w:rFonts w:ascii="Cambria" w:eastAsia="Cambria" w:hAnsi="Cambria" w:cs="Cambria"/>
          <w:sz w:val="20"/>
          <w:szCs w:val="20"/>
          <w:lang w:val="es-MX"/>
        </w:rPr>
        <w:t>. Al respecto, la Comisión toma nota de que el 8 de marzo de 2021, el Estado anunció el destino de fondos estatales para la operación de las CAMIS</w:t>
      </w:r>
      <w:r w:rsidRPr="00220665">
        <w:rPr>
          <w:rFonts w:ascii="Cambria" w:eastAsia="Cambria" w:hAnsi="Cambria" w:cs="Cambria"/>
          <w:sz w:val="20"/>
          <w:szCs w:val="20"/>
          <w:vertAlign w:val="superscript"/>
          <w:lang w:val="es-MX"/>
        </w:rPr>
        <w:footnoteReference w:id="288"/>
      </w:r>
      <w:r w:rsidRPr="00220665">
        <w:rPr>
          <w:rFonts w:ascii="Cambria" w:eastAsia="Cambria" w:hAnsi="Cambria" w:cs="Cambria"/>
          <w:sz w:val="20"/>
          <w:szCs w:val="20"/>
          <w:lang w:val="es-MX"/>
        </w:rPr>
        <w:t>.</w:t>
      </w:r>
    </w:p>
    <w:p w14:paraId="6CC50A20" w14:textId="27E4EC82" w:rsidR="00663183" w:rsidRPr="004E3E07" w:rsidRDefault="00663183" w:rsidP="00663183">
      <w:pPr>
        <w:numPr>
          <w:ilvl w:val="0"/>
          <w:numId w:val="5"/>
        </w:numPr>
        <w:spacing w:after="240" w:line="240" w:lineRule="auto"/>
        <w:ind w:left="0" w:firstLine="709"/>
        <w:jc w:val="both"/>
        <w:rPr>
          <w:rFonts w:ascii="Cambria" w:eastAsia="Cambria" w:hAnsi="Cambria" w:cs="Cambria"/>
          <w:sz w:val="20"/>
          <w:szCs w:val="20"/>
          <w:lang w:val="es-MX"/>
        </w:rPr>
      </w:pPr>
      <w:r w:rsidRPr="004E3E07">
        <w:rPr>
          <w:rFonts w:ascii="Cambria" w:eastAsia="Cambria" w:hAnsi="Cambria" w:cs="Cambria"/>
          <w:sz w:val="20"/>
          <w:szCs w:val="20"/>
          <w:highlight w:val="white"/>
          <w:lang w:val="es-MX"/>
        </w:rPr>
        <w:t>Por otro lado, la CNDH comunicó que Oaxaca ocupa el primer lugar a nivel nacional en delitos cometidos contra las mujeres, lo cual, en el contexto de marginación, rezago y exclusión imperante en el Estado, permite deducir una relación entre la desigualdad, la pobreza y la violencia de género</w:t>
      </w:r>
      <w:r w:rsidRPr="004E3E07">
        <w:rPr>
          <w:rFonts w:ascii="Cambria" w:eastAsia="Cambria" w:hAnsi="Cambria" w:cs="Cambria"/>
          <w:sz w:val="20"/>
          <w:szCs w:val="20"/>
          <w:highlight w:val="white"/>
          <w:vertAlign w:val="superscript"/>
          <w:lang w:val="es-MX"/>
        </w:rPr>
        <w:footnoteReference w:id="289"/>
      </w:r>
      <w:r w:rsidRPr="004E3E07">
        <w:rPr>
          <w:rFonts w:ascii="Cambria" w:eastAsia="Cambria" w:hAnsi="Cambria" w:cs="Cambria"/>
          <w:sz w:val="20"/>
          <w:szCs w:val="20"/>
          <w:highlight w:val="white"/>
          <w:lang w:val="es-MX"/>
        </w:rPr>
        <w:t>; lo anterior indica la prevalencia particular de la violencia contra las mujeres indígenas considerando que la población de Oaxaca constituye solamente el 3.3% de la población total del país, a la vez que cuenta con el mayor porcentaje a nivel nacional de personas hablantes de lengua indígena (31%)</w:t>
      </w:r>
      <w:r w:rsidRPr="004E3E07">
        <w:rPr>
          <w:rStyle w:val="FootnoteReference"/>
          <w:rFonts w:ascii="Cambria" w:eastAsia="Cambria" w:hAnsi="Cambria" w:cs="Cambria"/>
          <w:sz w:val="20"/>
          <w:szCs w:val="20"/>
          <w:highlight w:val="white"/>
          <w:lang w:val="es-MX"/>
        </w:rPr>
        <w:footnoteReference w:id="290"/>
      </w:r>
      <w:r w:rsidRPr="004E3E07">
        <w:rPr>
          <w:rFonts w:ascii="Cambria" w:eastAsia="Cambria" w:hAnsi="Cambria" w:cs="Cambria"/>
          <w:sz w:val="20"/>
          <w:szCs w:val="20"/>
          <w:highlight w:val="white"/>
          <w:lang w:val="es-MX"/>
        </w:rPr>
        <w:t>. Al respecto, la Comisión resalta los deberes acentuados de prevención y protección frente a la violencia de los Estados hacia mujeres en situación de intersección entre dos o más factores de discriminación, como es el caso de las mujeres indígenas</w:t>
      </w:r>
      <w:r w:rsidRPr="004E3E07">
        <w:rPr>
          <w:rStyle w:val="FootnoteReference"/>
          <w:rFonts w:ascii="Cambria" w:eastAsia="Cambria" w:hAnsi="Cambria" w:cs="Cambria"/>
          <w:sz w:val="20"/>
          <w:szCs w:val="20"/>
          <w:highlight w:val="white"/>
          <w:lang w:val="es-MX"/>
        </w:rPr>
        <w:footnoteReference w:id="291"/>
      </w:r>
      <w:r w:rsidRPr="004E3E07">
        <w:rPr>
          <w:rFonts w:ascii="Cambria" w:eastAsia="Cambria" w:hAnsi="Cambria" w:cs="Cambria"/>
          <w:sz w:val="20"/>
          <w:szCs w:val="20"/>
          <w:highlight w:val="white"/>
          <w:lang w:val="es-MX"/>
        </w:rPr>
        <w:t>, así como la importancia de actuar con debida diligencia en la investigación, sanción y reparación de los actos de violencia contra mujeres indígenas, integrando una perspectiva de género, intercultural y multidisciplinaria, y tomando en consideración su situación de particular vulnerabilidad, sus características socioeconómicas, sus valores y sus costumbres</w:t>
      </w:r>
      <w:r w:rsidRPr="004E3E07">
        <w:rPr>
          <w:rStyle w:val="FootnoteReference"/>
          <w:rFonts w:ascii="Cambria" w:eastAsia="Cambria" w:hAnsi="Cambria" w:cs="Cambria"/>
          <w:sz w:val="20"/>
          <w:szCs w:val="20"/>
          <w:highlight w:val="white"/>
          <w:lang w:val="es-MX"/>
        </w:rPr>
        <w:footnoteReference w:id="292"/>
      </w:r>
      <w:r w:rsidRPr="004E3E07">
        <w:rPr>
          <w:rFonts w:ascii="Cambria" w:eastAsia="Cambria" w:hAnsi="Cambria" w:cs="Cambria"/>
          <w:sz w:val="20"/>
          <w:szCs w:val="20"/>
          <w:highlight w:val="white"/>
          <w:lang w:val="es-MX"/>
        </w:rPr>
        <w:t xml:space="preserve">. </w:t>
      </w:r>
    </w:p>
    <w:p w14:paraId="14606A70" w14:textId="6D9375A5" w:rsidR="002277F5" w:rsidRPr="004E3E07" w:rsidRDefault="00663183" w:rsidP="005677F4">
      <w:pPr>
        <w:numPr>
          <w:ilvl w:val="0"/>
          <w:numId w:val="5"/>
        </w:numPr>
        <w:spacing w:after="240" w:line="240" w:lineRule="auto"/>
        <w:ind w:left="0" w:firstLine="709"/>
        <w:jc w:val="both"/>
        <w:rPr>
          <w:rFonts w:ascii="Cambria" w:eastAsia="Cambria" w:hAnsi="Cambria" w:cs="Cambria"/>
          <w:sz w:val="20"/>
          <w:szCs w:val="20"/>
          <w:lang w:val="es-MX"/>
        </w:rPr>
      </w:pPr>
      <w:r w:rsidRPr="004E3E07">
        <w:rPr>
          <w:rFonts w:ascii="Cambria" w:eastAsia="Cambria" w:hAnsi="Cambria" w:cs="Cambria"/>
          <w:sz w:val="20"/>
          <w:szCs w:val="20"/>
          <w:lang w:val="es-MX"/>
        </w:rPr>
        <w:t>La Comisión observa que persiste la ausencia de una estrategia estructurada y coordinada en el diseño e implementación de políticas culturalmente adecuadas para prevenir, investigar, sancionar y reparar actos de violencia y discriminación contra mujeres indígenas</w:t>
      </w:r>
      <w:r w:rsidRPr="004E3E07">
        <w:rPr>
          <w:rStyle w:val="FootnoteReference"/>
          <w:rFonts w:ascii="Cambria" w:eastAsia="Cambria" w:hAnsi="Cambria" w:cs="Cambria"/>
          <w:sz w:val="20"/>
          <w:szCs w:val="20"/>
          <w:lang w:val="es-MX"/>
        </w:rPr>
        <w:footnoteReference w:id="293"/>
      </w:r>
      <w:r w:rsidRPr="004E3E07">
        <w:rPr>
          <w:rFonts w:ascii="Cambria" w:eastAsia="Cambria" w:hAnsi="Cambria" w:cs="Cambria"/>
          <w:sz w:val="20"/>
          <w:szCs w:val="20"/>
          <w:lang w:val="es-MX"/>
        </w:rPr>
        <w:t xml:space="preserve">; y destaca la ausencia de información que permita evaluar la aplicación de un enfoque comprehensivo y holístico, así como el nivel de participación de las mujeres indígenas en el diseño e implementación de tales políticas. Asimismo, advierte la falta de datos desagregados acerca de la situación real de discriminación y violencia, y de acceso a la justicia de mujeres, niñas y adolescentes indígenas. En este sentido, la Comisión reitera su recomendación al Estado y le exhorta a redoblar esfuerzos para avanzar en la garantía del derecho de las mujeres indígenas a vivir libres de toda forma de violencia y discriminación. Con base en lo anterior, la CIDH concluye que la recomendación continúa </w:t>
      </w:r>
      <w:r w:rsidRPr="004E4A31">
        <w:rPr>
          <w:rFonts w:ascii="Cambria" w:eastAsia="Cambria" w:hAnsi="Cambria" w:cs="Cambria"/>
          <w:sz w:val="20"/>
          <w:szCs w:val="20"/>
          <w:lang w:val="es-MX"/>
        </w:rPr>
        <w:t>pendiente de cumplimiento</w:t>
      </w:r>
      <w:r w:rsidRPr="004E3E07">
        <w:rPr>
          <w:rFonts w:ascii="Cambria" w:eastAsia="Cambria" w:hAnsi="Cambria" w:cs="Cambria"/>
          <w:sz w:val="20"/>
          <w:szCs w:val="20"/>
          <w:lang w:val="es-MX"/>
        </w:rPr>
        <w:t>.</w:t>
      </w:r>
    </w:p>
    <w:p w14:paraId="14606A71" w14:textId="77777777" w:rsidR="002277F5" w:rsidRPr="004E3E07" w:rsidRDefault="007E25FF">
      <w:pPr>
        <w:pStyle w:val="Heading3"/>
        <w:numPr>
          <w:ilvl w:val="2"/>
          <w:numId w:val="11"/>
        </w:numPr>
        <w:shd w:val="clear" w:color="auto" w:fill="auto"/>
        <w:spacing w:before="0"/>
        <w:ind w:left="1440" w:hanging="720"/>
        <w:rPr>
          <w:sz w:val="20"/>
          <w:szCs w:val="20"/>
        </w:rPr>
      </w:pPr>
      <w:r w:rsidRPr="004E3E07">
        <w:rPr>
          <w:sz w:val="20"/>
          <w:szCs w:val="20"/>
        </w:rPr>
        <w:t>Niñas, niños y adolescentes</w:t>
      </w:r>
    </w:p>
    <w:p w14:paraId="14606A72" w14:textId="77777777" w:rsidR="002277F5" w:rsidRPr="004E3E07" w:rsidRDefault="007E25FF">
      <w:pPr>
        <w:numPr>
          <w:ilvl w:val="0"/>
          <w:numId w:val="22"/>
        </w:numPr>
        <w:pBdr>
          <w:top w:val="nil"/>
          <w:left w:val="nil"/>
          <w:bottom w:val="nil"/>
          <w:right w:val="nil"/>
          <w:between w:val="nil"/>
        </w:pBdr>
        <w:shd w:val="clear" w:color="auto" w:fill="D9D9D9"/>
        <w:tabs>
          <w:tab w:val="left" w:pos="1440"/>
        </w:tabs>
        <w:spacing w:after="0" w:line="240" w:lineRule="auto"/>
        <w:ind w:left="1440" w:hanging="720"/>
        <w:jc w:val="both"/>
        <w:rPr>
          <w:rFonts w:ascii="Cambria" w:hAnsi="Cambria"/>
          <w:lang w:val="es-MX"/>
        </w:rPr>
      </w:pPr>
      <w:r w:rsidRPr="004E3E07">
        <w:rPr>
          <w:rFonts w:ascii="Cambria" w:eastAsia="Cambria" w:hAnsi="Cambria" w:cs="Cambria"/>
          <w:sz w:val="20"/>
          <w:szCs w:val="20"/>
          <w:lang w:val="es-MX"/>
        </w:rPr>
        <w:t>Elaborar protocolos de actuación de la policía respecto de las intervenciones con niños, niñas y adolescentes con el fin de asegurar la protección de sus derechos.</w:t>
      </w:r>
    </w:p>
    <w:p w14:paraId="14606A73" w14:textId="77777777" w:rsidR="002277F5" w:rsidRPr="004E3E07" w:rsidRDefault="007E25FF">
      <w:pPr>
        <w:numPr>
          <w:ilvl w:val="0"/>
          <w:numId w:val="22"/>
        </w:numPr>
        <w:pBdr>
          <w:top w:val="nil"/>
          <w:left w:val="nil"/>
          <w:bottom w:val="nil"/>
          <w:right w:val="nil"/>
          <w:between w:val="nil"/>
        </w:pBdr>
        <w:shd w:val="clear" w:color="auto" w:fill="D9D9D9"/>
        <w:tabs>
          <w:tab w:val="left" w:pos="1440"/>
        </w:tabs>
        <w:spacing w:after="240" w:line="240" w:lineRule="auto"/>
        <w:ind w:left="1440" w:hanging="720"/>
        <w:jc w:val="both"/>
        <w:rPr>
          <w:rFonts w:ascii="Cambria" w:hAnsi="Cambria"/>
          <w:lang w:val="es-MX"/>
        </w:rPr>
      </w:pPr>
      <w:r w:rsidRPr="004E3E07">
        <w:rPr>
          <w:rFonts w:ascii="Cambria" w:eastAsia="Cambria" w:hAnsi="Cambria" w:cs="Cambria"/>
          <w:sz w:val="20"/>
          <w:szCs w:val="20"/>
          <w:lang w:val="es-MX"/>
        </w:rPr>
        <w:t xml:space="preserve">Implementar y fortalecer medidas para cumplir con el deber de actuar con debida diligencia para prevenir, sancionar y erradicar la violencia contra las niñas, niños y adolescentes, incluyendo esfuerzos concretos para cumplir con las obligaciones de prevención, investigación, sanción y reparación de violaciones de los derechos humanos y considerar los agravantes correspondientes dada la edad de la víctima. </w:t>
      </w:r>
    </w:p>
    <w:p w14:paraId="505FB912" w14:textId="1B8D2AB8" w:rsidR="00496AC0" w:rsidRPr="004E3E07" w:rsidRDefault="00496AC0" w:rsidP="00496AC0">
      <w:pPr>
        <w:numPr>
          <w:ilvl w:val="0"/>
          <w:numId w:val="5"/>
        </w:numPr>
        <w:spacing w:after="240" w:line="240" w:lineRule="auto"/>
        <w:ind w:left="0" w:firstLine="720"/>
        <w:jc w:val="both"/>
        <w:rPr>
          <w:rFonts w:ascii="Cambria" w:eastAsia="Cambria" w:hAnsi="Cambria" w:cs="Cambria"/>
          <w:sz w:val="20"/>
          <w:szCs w:val="20"/>
          <w:lang w:val="es-MX"/>
        </w:rPr>
      </w:pPr>
      <w:r w:rsidRPr="004E3E07">
        <w:rPr>
          <w:rFonts w:ascii="Cambria" w:eastAsia="Cambria" w:hAnsi="Cambria" w:cs="Cambria"/>
          <w:sz w:val="20"/>
          <w:szCs w:val="20"/>
          <w:lang w:val="es-MX"/>
        </w:rPr>
        <w:t xml:space="preserve">En cuanto a la recomendación sobre </w:t>
      </w:r>
      <w:r w:rsidRPr="004E3E07">
        <w:rPr>
          <w:rFonts w:ascii="Cambria" w:eastAsia="Cambria" w:hAnsi="Cambria" w:cs="Cambria"/>
          <w:b/>
          <w:bCs/>
          <w:sz w:val="20"/>
          <w:szCs w:val="20"/>
          <w:lang w:val="es-MX"/>
        </w:rPr>
        <w:t>elaborar protocolos de actuación de la policía respecto de las intervenciones con niñas, niños y adolescentes</w:t>
      </w:r>
      <w:r w:rsidRPr="004E3E07">
        <w:rPr>
          <w:rFonts w:ascii="Cambria" w:eastAsia="Cambria" w:hAnsi="Cambria" w:cs="Cambria"/>
          <w:sz w:val="20"/>
          <w:szCs w:val="20"/>
          <w:lang w:val="es-MX"/>
        </w:rPr>
        <w:t>, el Estado informó que el Sistema Nacional para el Desarrollo Integral de la Familia (DIF) y la Procuraduría Federal de Protección de Niñas, Niños y Adolescentes (PFPNNA) han adoptado una serie de instrumentos para alcanzar una efectiva protección y restitución de esta población. En particular, destacó la adopción del Protocolo Nacional de Atención Integral a Niñas, Niños y Adolescentes en condición de orfandad por feminicidio, en agosto de 2021, el cual contiene una ruta de atención y señala la forma de intervención de los cuerpos de policía hacia niñas, niños y adolescentes víctimas de feminicidio</w:t>
      </w:r>
      <w:r w:rsidRPr="004E3E07">
        <w:rPr>
          <w:rStyle w:val="FootnoteReference"/>
          <w:rFonts w:ascii="Cambria" w:eastAsia="Cambria" w:hAnsi="Cambria" w:cs="Cambria"/>
          <w:sz w:val="20"/>
          <w:szCs w:val="20"/>
          <w:lang w:val="es-MX"/>
        </w:rPr>
        <w:footnoteReference w:id="294"/>
      </w:r>
      <w:r w:rsidRPr="004E3E07">
        <w:rPr>
          <w:rFonts w:ascii="Cambria" w:eastAsia="Cambria" w:hAnsi="Cambria" w:cs="Cambria"/>
          <w:sz w:val="20"/>
          <w:szCs w:val="20"/>
          <w:lang w:val="es-MX"/>
        </w:rPr>
        <w:t>. Por su parte, la Comisión Nacional de los Derechos Humanos (CNDH) resaltó la publicación del Protocolo en referencia, el cual buscaría que las autoridades competentes brinden atención inmediata y de calidad a NNA víctimas indirectas del delito de feminicidio; independiente de las medidas que puedan ordenarse como parte de una reparación integral</w:t>
      </w:r>
      <w:r w:rsidRPr="004E3E07">
        <w:rPr>
          <w:rStyle w:val="FootnoteReference"/>
          <w:rFonts w:ascii="Cambria" w:eastAsia="Cambria" w:hAnsi="Cambria" w:cs="Cambria"/>
          <w:sz w:val="20"/>
          <w:szCs w:val="20"/>
          <w:lang w:val="es-MX"/>
        </w:rPr>
        <w:footnoteReference w:id="295"/>
      </w:r>
      <w:r w:rsidRPr="004E3E07">
        <w:rPr>
          <w:rFonts w:ascii="Cambria" w:eastAsia="Cambria" w:hAnsi="Cambria" w:cs="Cambria"/>
          <w:sz w:val="20"/>
          <w:szCs w:val="20"/>
          <w:lang w:val="es-MX"/>
        </w:rPr>
        <w:t>.</w:t>
      </w:r>
    </w:p>
    <w:p w14:paraId="44E532D3" w14:textId="77777777" w:rsidR="00496AC0" w:rsidRPr="004E3E07" w:rsidRDefault="00496AC0" w:rsidP="00496AC0">
      <w:pPr>
        <w:numPr>
          <w:ilvl w:val="0"/>
          <w:numId w:val="5"/>
        </w:numPr>
        <w:spacing w:after="240" w:line="240" w:lineRule="auto"/>
        <w:ind w:left="0" w:firstLine="720"/>
        <w:jc w:val="both"/>
        <w:rPr>
          <w:rFonts w:ascii="Cambria" w:eastAsia="Cambria" w:hAnsi="Cambria" w:cs="Cambria"/>
          <w:sz w:val="20"/>
          <w:szCs w:val="20"/>
          <w:lang w:val="es-MX"/>
        </w:rPr>
      </w:pPr>
      <w:r w:rsidRPr="004E3E07">
        <w:rPr>
          <w:rFonts w:ascii="Cambria" w:eastAsia="Cambria" w:hAnsi="Cambria" w:cs="Cambria"/>
          <w:sz w:val="20"/>
          <w:szCs w:val="20"/>
          <w:lang w:val="es-MX"/>
        </w:rPr>
        <w:t>Adicionalmente, la CIDH recibió información sobre la adopción del Protocolo de Coordinación Institucional para la Protección de Niñas, Niños y Adolescentes contra toda forma de violencia, que incorpora pautas sobre el accionar de la policía cibernética y las autoridades policiales que actúan como primeros respondientes ante denuncias</w:t>
      </w:r>
      <w:r w:rsidRPr="004E3E07">
        <w:rPr>
          <w:rStyle w:val="FootnoteReference"/>
          <w:rFonts w:ascii="Cambria" w:eastAsia="Cambria" w:hAnsi="Cambria" w:cs="Cambria"/>
          <w:sz w:val="20"/>
          <w:szCs w:val="20"/>
          <w:lang w:val="es-MX"/>
        </w:rPr>
        <w:footnoteReference w:id="296"/>
      </w:r>
      <w:r w:rsidRPr="004E3E07">
        <w:rPr>
          <w:rFonts w:ascii="Cambria" w:eastAsia="Cambria" w:hAnsi="Cambria" w:cs="Cambria"/>
          <w:sz w:val="20"/>
          <w:szCs w:val="20"/>
          <w:lang w:val="es-MX"/>
        </w:rPr>
        <w:t>.</w:t>
      </w:r>
    </w:p>
    <w:p w14:paraId="217F0190" w14:textId="77777777" w:rsidR="00496AC0" w:rsidRPr="004E3E07" w:rsidRDefault="00496AC0" w:rsidP="00496AC0">
      <w:pPr>
        <w:numPr>
          <w:ilvl w:val="0"/>
          <w:numId w:val="5"/>
        </w:numPr>
        <w:spacing w:after="240" w:line="240" w:lineRule="auto"/>
        <w:ind w:left="0" w:firstLine="720"/>
        <w:jc w:val="both"/>
        <w:rPr>
          <w:rFonts w:ascii="Cambria" w:eastAsia="Cambria" w:hAnsi="Cambria" w:cs="Cambria"/>
          <w:sz w:val="20"/>
          <w:szCs w:val="20"/>
          <w:lang w:val="es-MX"/>
        </w:rPr>
      </w:pPr>
      <w:r w:rsidRPr="004E3E07">
        <w:rPr>
          <w:rFonts w:ascii="Cambria" w:eastAsia="Cambria" w:hAnsi="Cambria" w:cs="Cambria"/>
          <w:sz w:val="20"/>
          <w:szCs w:val="20"/>
          <w:lang w:val="es-MX"/>
        </w:rPr>
        <w:t>Aunado a ello, la CIDH toma nota del informe publicado por la Comisión de Derechos Humanos de la Ciudad de México, el cual advierte que entre 2008 y 2020 se registraron un total de 843 quejas relacionadas con la interacción con agentes de la Secretaría de Seguridad Ciudadana (SSC), en las que habrían estado involucrados al menos 1.091 adolescentes. Asimismo, el informe en referencia identificó que el 80% de los expedientes iniciados en 2020 que involucran a adolescentes estarían relacionados con detención ilegal o arbitraria</w:t>
      </w:r>
      <w:r w:rsidRPr="004E3E07">
        <w:rPr>
          <w:rStyle w:val="FootnoteReference"/>
          <w:rFonts w:ascii="Cambria" w:eastAsia="Cambria" w:hAnsi="Cambria" w:cs="Cambria"/>
          <w:sz w:val="20"/>
          <w:szCs w:val="20"/>
          <w:lang w:val="es-MX"/>
        </w:rPr>
        <w:footnoteReference w:id="297"/>
      </w:r>
      <w:r w:rsidRPr="004E3E07">
        <w:rPr>
          <w:rFonts w:ascii="Cambria" w:eastAsia="Cambria" w:hAnsi="Cambria" w:cs="Cambria"/>
          <w:sz w:val="20"/>
          <w:szCs w:val="20"/>
          <w:lang w:val="es-MX"/>
        </w:rPr>
        <w:t>.</w:t>
      </w:r>
    </w:p>
    <w:p w14:paraId="5E833799" w14:textId="3F34CB10" w:rsidR="00496AC0" w:rsidRPr="00357614" w:rsidRDefault="00496AC0" w:rsidP="00496AC0">
      <w:pPr>
        <w:numPr>
          <w:ilvl w:val="0"/>
          <w:numId w:val="5"/>
        </w:numPr>
        <w:spacing w:after="240" w:line="240" w:lineRule="auto"/>
        <w:ind w:left="0" w:firstLine="720"/>
        <w:jc w:val="both"/>
        <w:rPr>
          <w:rFonts w:ascii="Cambria" w:eastAsia="Cambria" w:hAnsi="Cambria" w:cs="Cambria"/>
          <w:sz w:val="20"/>
          <w:szCs w:val="20"/>
          <w:lang w:val="es-MX"/>
        </w:rPr>
      </w:pPr>
      <w:r w:rsidRPr="004E3E07">
        <w:rPr>
          <w:rFonts w:ascii="Cambria" w:eastAsia="Cambria" w:hAnsi="Cambria" w:cs="Cambria"/>
          <w:sz w:val="20"/>
          <w:szCs w:val="20"/>
          <w:lang w:val="es-MX"/>
        </w:rPr>
        <w:t xml:space="preserve">Por otro lado, la Comisión observa con preocupación reportes de sociedad civil que dan cuenta de la muerte de dos adolescentes de 13 y 15 años en la comunidad de Guadalupe La Patrona, estado de Veracruz, </w:t>
      </w:r>
      <w:r w:rsidRPr="00357614">
        <w:rPr>
          <w:rFonts w:ascii="Cambria" w:eastAsia="Cambria" w:hAnsi="Cambria" w:cs="Cambria"/>
          <w:sz w:val="20"/>
          <w:szCs w:val="20"/>
          <w:lang w:val="es-MX"/>
        </w:rPr>
        <w:t xml:space="preserve">presuntamente por el </w:t>
      </w:r>
      <w:r w:rsidR="00220665" w:rsidRPr="00357614">
        <w:rPr>
          <w:rFonts w:ascii="Cambria" w:eastAsia="Cambria" w:hAnsi="Cambria" w:cs="Cambria"/>
          <w:sz w:val="20"/>
          <w:szCs w:val="20"/>
          <w:lang w:val="es-MX"/>
        </w:rPr>
        <w:t>uso excesivo de la fuerza cometida por</w:t>
      </w:r>
      <w:r w:rsidRPr="00357614">
        <w:rPr>
          <w:rFonts w:ascii="Cambria" w:eastAsia="Cambria" w:hAnsi="Cambria" w:cs="Cambria"/>
          <w:sz w:val="20"/>
          <w:szCs w:val="20"/>
          <w:lang w:val="es-MX"/>
        </w:rPr>
        <w:t xml:space="preserve"> agentes de la policía</w:t>
      </w:r>
      <w:r w:rsidRPr="00357614">
        <w:rPr>
          <w:rStyle w:val="FootnoteReference"/>
          <w:rFonts w:ascii="Cambria" w:eastAsia="Cambria" w:hAnsi="Cambria" w:cs="Cambria"/>
          <w:sz w:val="20"/>
          <w:szCs w:val="20"/>
          <w:lang w:val="es-MX"/>
        </w:rPr>
        <w:footnoteReference w:id="298"/>
      </w:r>
      <w:r w:rsidRPr="00357614">
        <w:rPr>
          <w:rFonts w:ascii="Cambria" w:eastAsia="Cambria" w:hAnsi="Cambria" w:cs="Cambria"/>
          <w:sz w:val="20"/>
          <w:szCs w:val="20"/>
          <w:lang w:val="es-MX"/>
        </w:rPr>
        <w:t>.</w:t>
      </w:r>
    </w:p>
    <w:p w14:paraId="18355927" w14:textId="7B8804A3" w:rsidR="00496AC0" w:rsidRPr="00357614" w:rsidRDefault="00496AC0" w:rsidP="002F1A6A">
      <w:pPr>
        <w:numPr>
          <w:ilvl w:val="0"/>
          <w:numId w:val="5"/>
        </w:numPr>
        <w:spacing w:after="240" w:line="240" w:lineRule="auto"/>
        <w:ind w:left="0" w:firstLine="720"/>
        <w:jc w:val="both"/>
        <w:rPr>
          <w:rFonts w:ascii="Cambria" w:eastAsia="Cambria" w:hAnsi="Cambria" w:cs="Cambria"/>
          <w:sz w:val="20"/>
          <w:szCs w:val="20"/>
          <w:lang w:val="es-MX"/>
        </w:rPr>
      </w:pPr>
      <w:r w:rsidRPr="00357614">
        <w:rPr>
          <w:rFonts w:ascii="Cambria" w:eastAsia="Cambria" w:hAnsi="Cambria" w:cs="Cambria"/>
          <w:sz w:val="20"/>
          <w:szCs w:val="20"/>
          <w:lang w:val="es-MX"/>
        </w:rPr>
        <w:t xml:space="preserve">Al respecto, la Comisión nota que, de acuerdo con la información disponible, no es posible establecer avances para dar cumplimiento a la presente recomendación. </w:t>
      </w:r>
      <w:r w:rsidR="002F1A6A" w:rsidRPr="00357614">
        <w:rPr>
          <w:rFonts w:ascii="Cambria" w:eastAsia="Cambria" w:hAnsi="Cambria" w:cs="Cambria"/>
          <w:sz w:val="20"/>
          <w:szCs w:val="20"/>
          <w:lang w:val="es-MX"/>
        </w:rPr>
        <w:t>En sus observaciones al proyecto del presente informe, el Estado indicó que en el marco de la implementación del Plan de Acción 2019-2024 de México en la Alianza Global para poner fin a la violencia contra la niñez,  se implementa la Línea de Acción 1.1 Fortalecimiento de capacidades de la Guardia Nacional y de los cuerpos de seguridad estatales y municipales, en materia de protección de niñas, niños y adolescentes, la cual es coordinada por la Secretaría de Seguridad y Protección Ciudadana (SSPC) y refiere a una serie de capacitaciones y la elboración de un “Protocolo Unico de Actuación para la Detención de Personas Adolescentes ante hechos que la Ley señala como Delitos en Infracciones Administrativas”</w:t>
      </w:r>
      <w:r w:rsidR="002F1A6A" w:rsidRPr="00357614">
        <w:rPr>
          <w:rStyle w:val="FootnoteReference"/>
          <w:rFonts w:ascii="Cambria" w:eastAsia="Cambria" w:hAnsi="Cambria" w:cs="Cambria"/>
          <w:sz w:val="20"/>
          <w:szCs w:val="20"/>
          <w:lang w:val="es-MX"/>
        </w:rPr>
        <w:footnoteReference w:id="299"/>
      </w:r>
      <w:r w:rsidR="002F1A6A" w:rsidRPr="00357614">
        <w:rPr>
          <w:rFonts w:ascii="Cambria" w:eastAsia="Cambria" w:hAnsi="Cambria" w:cs="Cambria"/>
          <w:sz w:val="20"/>
          <w:szCs w:val="20"/>
          <w:lang w:val="es-MX"/>
        </w:rPr>
        <w:t xml:space="preserve">. </w:t>
      </w:r>
      <w:r w:rsidRPr="00357614">
        <w:rPr>
          <w:rFonts w:ascii="Cambria" w:eastAsia="Cambria" w:hAnsi="Cambria" w:cs="Cambria"/>
          <w:sz w:val="20"/>
          <w:szCs w:val="20"/>
          <w:lang w:val="es-MX"/>
        </w:rPr>
        <w:t>Con base en ello, concluye que esta se encuentra en cumplimiento parcial</w:t>
      </w:r>
      <w:r w:rsidRPr="00357614">
        <w:rPr>
          <w:rFonts w:ascii="Cambria" w:eastAsia="Cambria" w:hAnsi="Cambria" w:cs="Cambria"/>
          <w:b/>
          <w:bCs/>
          <w:sz w:val="20"/>
          <w:szCs w:val="20"/>
          <w:lang w:val="es-MX"/>
        </w:rPr>
        <w:t>.</w:t>
      </w:r>
      <w:r w:rsidRPr="00357614">
        <w:rPr>
          <w:rFonts w:ascii="Cambria" w:eastAsia="Cambria" w:hAnsi="Cambria" w:cs="Cambria"/>
          <w:sz w:val="20"/>
          <w:szCs w:val="20"/>
          <w:lang w:val="es-MX"/>
        </w:rPr>
        <w:t xml:space="preserve"> En ese sentido, la CIDH reitera la importancia de la adopción e implementación efectiva de protocolos que regulen la actuación de la policía de acuerdo con los estándares internacionales de protección integral de niños, niñas y adolescentes. Adicionalmente, enfatiza la necesidad de promover la efectiva implementación de los protocolos, así como el monitoreo de su aplicación.</w:t>
      </w:r>
    </w:p>
    <w:p w14:paraId="168703F1" w14:textId="77777777" w:rsidR="00496AC0" w:rsidRPr="004E3E07" w:rsidRDefault="00496AC0" w:rsidP="00496AC0">
      <w:pPr>
        <w:numPr>
          <w:ilvl w:val="0"/>
          <w:numId w:val="5"/>
        </w:numPr>
        <w:spacing w:after="240" w:line="240" w:lineRule="auto"/>
        <w:ind w:left="0" w:firstLine="720"/>
        <w:jc w:val="both"/>
        <w:rPr>
          <w:rFonts w:ascii="Cambria" w:eastAsia="Cambria" w:hAnsi="Cambria" w:cs="Cambria"/>
          <w:sz w:val="20"/>
          <w:szCs w:val="20"/>
          <w:lang w:val="es-MX"/>
        </w:rPr>
      </w:pPr>
      <w:r w:rsidRPr="004E3E07">
        <w:rPr>
          <w:rFonts w:ascii="Cambria" w:eastAsia="Cambria" w:hAnsi="Cambria" w:cs="Cambria"/>
          <w:sz w:val="20"/>
          <w:szCs w:val="20"/>
          <w:lang w:val="es-MX"/>
        </w:rPr>
        <w:t xml:space="preserve">Respecto de la recomendación dirigida a </w:t>
      </w:r>
      <w:r w:rsidRPr="004E3E07">
        <w:rPr>
          <w:rFonts w:ascii="Cambria" w:eastAsia="Cambria" w:hAnsi="Cambria" w:cs="Cambria"/>
          <w:b/>
          <w:bCs/>
          <w:sz w:val="20"/>
          <w:szCs w:val="20"/>
          <w:lang w:val="es-MX"/>
        </w:rPr>
        <w:t>implementar y fortalecer medidas para cumplir con el deber de actuar con debida diligencia para prevenir, sancionar y erradicar la violencia contra las niñas, niños y adolescentes</w:t>
      </w:r>
      <w:r w:rsidRPr="004E3E07">
        <w:rPr>
          <w:rFonts w:ascii="Cambria" w:eastAsia="Cambria" w:hAnsi="Cambria" w:cs="Cambria"/>
          <w:sz w:val="20"/>
          <w:szCs w:val="20"/>
          <w:lang w:val="es-MX"/>
        </w:rPr>
        <w:t>, el Estado informó a la Comisión del convenio general de colaboración suscrito entre diversas instituciones estatales para fortalecer, estandarizar y agilizar la calidad de los servicios de atención telefónica de emergencia. Ello, con el fin de que las denuncias sobre violencia contra niñas, niños y adolescentes en situación de vulnerabilidad sean atendidas de manera integral, con perspectiva de género y enfoque diferencial especializado. Aunado a ello, el Estado destacó que dicha medida buscaría proveer información estadística y georeferenciada para documentar las políticas públicas dirigidas a la erradicación de la violencia de género y en contra de NNA</w:t>
      </w:r>
      <w:r w:rsidRPr="004E3E07">
        <w:rPr>
          <w:rStyle w:val="FootnoteReference"/>
          <w:rFonts w:ascii="Cambria" w:eastAsia="Cambria" w:hAnsi="Cambria" w:cs="Cambria"/>
          <w:sz w:val="20"/>
          <w:szCs w:val="20"/>
          <w:lang w:val="es-MX"/>
        </w:rPr>
        <w:footnoteReference w:id="300"/>
      </w:r>
      <w:r w:rsidRPr="004E3E07">
        <w:rPr>
          <w:rFonts w:ascii="Cambria" w:eastAsia="Cambria" w:hAnsi="Cambria" w:cs="Cambria"/>
          <w:sz w:val="20"/>
          <w:szCs w:val="20"/>
          <w:lang w:val="es-MX"/>
        </w:rPr>
        <w:t>.</w:t>
      </w:r>
    </w:p>
    <w:p w14:paraId="21808499" w14:textId="6BC809EA" w:rsidR="00496AC0" w:rsidRPr="004E3E07" w:rsidRDefault="00496AC0" w:rsidP="00496AC0">
      <w:pPr>
        <w:numPr>
          <w:ilvl w:val="0"/>
          <w:numId w:val="5"/>
        </w:numPr>
        <w:spacing w:after="240" w:line="240" w:lineRule="auto"/>
        <w:ind w:left="0" w:firstLine="720"/>
        <w:jc w:val="both"/>
        <w:rPr>
          <w:rFonts w:ascii="Cambria" w:eastAsia="Cambria" w:hAnsi="Cambria" w:cs="Cambria"/>
          <w:sz w:val="20"/>
          <w:szCs w:val="20"/>
          <w:lang w:val="es-MX"/>
        </w:rPr>
      </w:pPr>
      <w:r w:rsidRPr="004E3E07">
        <w:rPr>
          <w:rFonts w:ascii="Cambria" w:eastAsia="Cambria" w:hAnsi="Cambria" w:cs="Cambria"/>
          <w:sz w:val="20"/>
          <w:szCs w:val="20"/>
          <w:lang w:val="es-MX"/>
        </w:rPr>
        <w:t>Adicionalmente, el Estado señaló que hasta septiembre de 2021 se habrían realizado diversas capacitaciones en materia de violencia contra niñas, niños y adolescentes, que habrían beneficiado a un total de 1.280 personas trabajadoras del Estado a nivel nacional</w:t>
      </w:r>
      <w:r w:rsidRPr="004E3E07">
        <w:rPr>
          <w:rStyle w:val="FootnoteReference"/>
          <w:rFonts w:ascii="Cambria" w:eastAsia="Cambria" w:hAnsi="Cambria" w:cs="Cambria"/>
          <w:sz w:val="20"/>
          <w:szCs w:val="20"/>
          <w:lang w:val="es-MX"/>
        </w:rPr>
        <w:footnoteReference w:id="301"/>
      </w:r>
      <w:r w:rsidRPr="004E3E07">
        <w:rPr>
          <w:rFonts w:ascii="Cambria" w:eastAsia="Cambria" w:hAnsi="Cambria" w:cs="Cambria"/>
          <w:sz w:val="20"/>
          <w:szCs w:val="20"/>
          <w:lang w:val="es-MX"/>
        </w:rPr>
        <w:t>. Por otro lado, informó que</w:t>
      </w:r>
      <w:r w:rsidR="70CD45BE" w:rsidRPr="00BA6325">
        <w:rPr>
          <w:rFonts w:ascii="Cambria" w:eastAsia="Cambria" w:hAnsi="Cambria" w:cs="Cambria"/>
          <w:sz w:val="20"/>
          <w:szCs w:val="20"/>
          <w:lang w:val="es-MX"/>
        </w:rPr>
        <w:t>,</w:t>
      </w:r>
      <w:r w:rsidRPr="004E3E07">
        <w:rPr>
          <w:rFonts w:ascii="Cambria" w:eastAsia="Cambria" w:hAnsi="Cambria" w:cs="Cambria"/>
          <w:sz w:val="20"/>
          <w:szCs w:val="20"/>
          <w:lang w:val="es-MX"/>
        </w:rPr>
        <w:t xml:space="preserve"> hasta el 30 de septiembre de 2021, un total de 14 niñas, niños y adolescentes ingresaron al Refugio Especializado de la Fiscalía Especial para los Delitos de Violencia contra las Mujeres y Trata de Personas; mientras que 110 </w:t>
      </w:r>
      <w:r w:rsidR="00220665">
        <w:rPr>
          <w:rFonts w:ascii="Cambria" w:eastAsia="Cambria" w:hAnsi="Cambria" w:cs="Cambria"/>
          <w:sz w:val="20"/>
          <w:szCs w:val="20"/>
          <w:lang w:val="es-MX"/>
        </w:rPr>
        <w:t>niños, niñas y adolescentes</w:t>
      </w:r>
      <w:r w:rsidRPr="004E3E07">
        <w:rPr>
          <w:rFonts w:ascii="Cambria" w:eastAsia="Cambria" w:hAnsi="Cambria" w:cs="Cambria"/>
          <w:sz w:val="20"/>
          <w:szCs w:val="20"/>
          <w:lang w:val="es-MX"/>
        </w:rPr>
        <w:t xml:space="preserve"> recibieron atención en dicho lugar</w:t>
      </w:r>
      <w:r w:rsidRPr="004E3E07">
        <w:rPr>
          <w:rStyle w:val="FootnoteReference"/>
          <w:rFonts w:ascii="Cambria" w:eastAsia="Cambria" w:hAnsi="Cambria" w:cs="Cambria"/>
          <w:sz w:val="20"/>
          <w:szCs w:val="20"/>
          <w:lang w:val="es-MX"/>
        </w:rPr>
        <w:footnoteReference w:id="302"/>
      </w:r>
      <w:r w:rsidRPr="004E3E07">
        <w:rPr>
          <w:rFonts w:ascii="Cambria" w:eastAsia="Cambria" w:hAnsi="Cambria" w:cs="Cambria"/>
          <w:sz w:val="20"/>
          <w:szCs w:val="20"/>
          <w:lang w:val="es-MX"/>
        </w:rPr>
        <w:t>.</w:t>
      </w:r>
    </w:p>
    <w:p w14:paraId="3E892837" w14:textId="62A01D6D" w:rsidR="00496AC0" w:rsidRPr="00B004FC" w:rsidRDefault="00496AC0" w:rsidP="00B004FC">
      <w:pPr>
        <w:numPr>
          <w:ilvl w:val="0"/>
          <w:numId w:val="5"/>
        </w:numPr>
        <w:spacing w:after="240" w:line="240" w:lineRule="auto"/>
        <w:ind w:left="0" w:firstLine="720"/>
        <w:jc w:val="both"/>
        <w:rPr>
          <w:rFonts w:ascii="Cambria" w:eastAsia="Cambria" w:hAnsi="Cambria" w:cs="Cambria"/>
          <w:sz w:val="20"/>
          <w:szCs w:val="20"/>
          <w:lang w:val="es-MX"/>
        </w:rPr>
      </w:pPr>
      <w:r w:rsidRPr="004E3E07">
        <w:rPr>
          <w:rFonts w:ascii="Cambria" w:eastAsia="Cambria" w:hAnsi="Cambria" w:cs="Cambria"/>
          <w:sz w:val="20"/>
          <w:szCs w:val="20"/>
          <w:lang w:val="es-MX"/>
        </w:rPr>
        <w:t xml:space="preserve">Respecto de la presente recomendación, la Comisión ha señalado que su contenido está enfocado en la protección de </w:t>
      </w:r>
      <w:r w:rsidR="00220665">
        <w:rPr>
          <w:rFonts w:ascii="Cambria" w:eastAsia="Cambria" w:hAnsi="Cambria" w:cs="Cambria"/>
          <w:sz w:val="20"/>
          <w:szCs w:val="20"/>
          <w:lang w:val="es-MX"/>
        </w:rPr>
        <w:t>niños, niñas y adolescentes</w:t>
      </w:r>
      <w:r w:rsidRPr="004E3E07">
        <w:rPr>
          <w:rFonts w:ascii="Cambria" w:eastAsia="Cambria" w:hAnsi="Cambria" w:cs="Cambria"/>
          <w:sz w:val="20"/>
          <w:szCs w:val="20"/>
          <w:lang w:val="es-MX"/>
        </w:rPr>
        <w:t xml:space="preserve"> contra toda forma de violencia. En ese sentido, se pronunciará sobre situaciones que requieren ser abordadas de manera integral por el Estado.</w:t>
      </w:r>
      <w:r w:rsidR="00B004FC">
        <w:rPr>
          <w:rFonts w:ascii="Cambria" w:eastAsia="Cambria" w:hAnsi="Cambria" w:cs="Cambria"/>
          <w:sz w:val="20"/>
          <w:szCs w:val="20"/>
          <w:lang w:val="es-MX"/>
        </w:rPr>
        <w:t xml:space="preserve"> En</w:t>
      </w:r>
      <w:r w:rsidRPr="00B004FC">
        <w:rPr>
          <w:rFonts w:ascii="Cambria" w:eastAsia="Cambria" w:hAnsi="Cambria" w:cs="Cambria"/>
          <w:sz w:val="20"/>
          <w:szCs w:val="20"/>
          <w:lang w:val="es-MX"/>
        </w:rPr>
        <w:t xml:space="preserve"> abril</w:t>
      </w:r>
      <w:r w:rsidR="00B004FC">
        <w:rPr>
          <w:rFonts w:ascii="Cambria" w:eastAsia="Cambria" w:hAnsi="Cambria" w:cs="Cambria"/>
          <w:sz w:val="20"/>
          <w:szCs w:val="20"/>
          <w:lang w:val="es-MX"/>
        </w:rPr>
        <w:t xml:space="preserve"> de 2021</w:t>
      </w:r>
      <w:r w:rsidRPr="00B004FC">
        <w:rPr>
          <w:rFonts w:ascii="Cambria" w:eastAsia="Cambria" w:hAnsi="Cambria" w:cs="Cambria"/>
          <w:sz w:val="20"/>
          <w:szCs w:val="20"/>
          <w:lang w:val="es-MX"/>
        </w:rPr>
        <w:t xml:space="preserve">, la CIDH manifestó su rechazo por el alistamiento de una treintena de niñas y niños nahuas, de entre 6 y 11 años de edad, </w:t>
      </w:r>
      <w:r w:rsidR="00C75823">
        <w:rPr>
          <w:rFonts w:ascii="Cambria" w:eastAsia="Cambria" w:hAnsi="Cambria" w:cs="Cambria"/>
          <w:sz w:val="20"/>
          <w:szCs w:val="20"/>
          <w:lang w:val="es-MX"/>
        </w:rPr>
        <w:t xml:space="preserve">en la </w:t>
      </w:r>
      <w:r w:rsidRPr="00B004FC">
        <w:rPr>
          <w:rFonts w:ascii="Cambria" w:eastAsia="Cambria" w:hAnsi="Cambria" w:cs="Cambria"/>
          <w:sz w:val="20"/>
          <w:szCs w:val="20"/>
          <w:lang w:val="es-MX"/>
        </w:rPr>
        <w:t xml:space="preserve">policía comunitaria "Coordinadora Regional de Autoridades Comunitarias – Pueblos Fundadores (CRAC-PF)", </w:t>
      </w:r>
      <w:r w:rsidR="00220665" w:rsidRPr="00B004FC">
        <w:rPr>
          <w:rFonts w:ascii="Cambria" w:eastAsia="Cambria" w:hAnsi="Cambria" w:cs="Cambria"/>
          <w:sz w:val="20"/>
          <w:szCs w:val="20"/>
          <w:lang w:val="es-MX"/>
        </w:rPr>
        <w:t>Guerrero</w:t>
      </w:r>
      <w:r w:rsidRPr="004E3E07">
        <w:rPr>
          <w:rStyle w:val="FootnoteReference"/>
          <w:rFonts w:ascii="Cambria" w:eastAsia="Cambria" w:hAnsi="Cambria" w:cs="Cambria"/>
          <w:sz w:val="20"/>
          <w:szCs w:val="20"/>
          <w:lang w:val="es-MX"/>
        </w:rPr>
        <w:footnoteReference w:id="303"/>
      </w:r>
      <w:r w:rsidRPr="00B004FC">
        <w:rPr>
          <w:rFonts w:ascii="Cambria" w:eastAsia="Cambria" w:hAnsi="Cambria" w:cs="Cambria"/>
          <w:sz w:val="20"/>
          <w:szCs w:val="20"/>
          <w:lang w:val="es-MX"/>
        </w:rPr>
        <w:t>.</w:t>
      </w:r>
    </w:p>
    <w:p w14:paraId="7E97B37D" w14:textId="52F398AB" w:rsidR="00496AC0" w:rsidRPr="004E3E07" w:rsidRDefault="00496AC0" w:rsidP="00496AC0">
      <w:pPr>
        <w:numPr>
          <w:ilvl w:val="0"/>
          <w:numId w:val="5"/>
        </w:numPr>
        <w:spacing w:after="240" w:line="240" w:lineRule="auto"/>
        <w:ind w:left="0" w:firstLine="720"/>
        <w:jc w:val="both"/>
        <w:rPr>
          <w:rFonts w:ascii="Cambria" w:eastAsia="Cambria" w:hAnsi="Cambria" w:cs="Cambria"/>
          <w:sz w:val="20"/>
          <w:szCs w:val="20"/>
          <w:lang w:val="es-MX"/>
        </w:rPr>
      </w:pPr>
      <w:r w:rsidRPr="004E3E07">
        <w:rPr>
          <w:rFonts w:ascii="Cambria" w:eastAsia="Cambria" w:hAnsi="Cambria" w:cs="Cambria"/>
          <w:sz w:val="20"/>
          <w:szCs w:val="20"/>
          <w:lang w:val="es-MX"/>
        </w:rPr>
        <w:t>En cuanto a la violencia familiar, la Comisión observa que</w:t>
      </w:r>
      <w:r w:rsidR="008016E7" w:rsidRPr="004E3E07">
        <w:rPr>
          <w:rFonts w:ascii="Cambria" w:eastAsia="Cambria" w:hAnsi="Cambria" w:cs="Cambria"/>
          <w:sz w:val="20"/>
          <w:szCs w:val="20"/>
          <w:lang w:val="es-MX"/>
        </w:rPr>
        <w:t>,</w:t>
      </w:r>
      <w:r w:rsidRPr="004E3E07">
        <w:rPr>
          <w:rFonts w:ascii="Cambria" w:eastAsia="Cambria" w:hAnsi="Cambria" w:cs="Cambria"/>
          <w:sz w:val="20"/>
          <w:szCs w:val="20"/>
          <w:lang w:val="es-MX"/>
        </w:rPr>
        <w:t xml:space="preserve"> de acuerdo con un informe de la Subsecretaría de Derechos Humanos</w:t>
      </w:r>
      <w:r w:rsidR="00220665">
        <w:rPr>
          <w:rFonts w:ascii="Cambria" w:eastAsia="Cambria" w:hAnsi="Cambria" w:cs="Cambria"/>
          <w:sz w:val="20"/>
          <w:szCs w:val="20"/>
          <w:lang w:val="es-MX"/>
        </w:rPr>
        <w:t xml:space="preserve"> de la SEGOB</w:t>
      </w:r>
      <w:r w:rsidRPr="004E3E07">
        <w:rPr>
          <w:rFonts w:ascii="Cambria" w:eastAsia="Cambria" w:hAnsi="Cambria" w:cs="Cambria"/>
          <w:sz w:val="20"/>
          <w:szCs w:val="20"/>
          <w:lang w:val="es-MX"/>
        </w:rPr>
        <w:t>, durante el primer trimestre de 2021 se iniciaron un total de 129.020 carpetas de investigación relacionadas con violencia familiar; dicha cifra representa un aumento del 24% respecto del mismo periodo en 2020. Agregó, que durante el segundo trimestre del año se habrían registrado máximos históricos de violencia intrafamiliar</w:t>
      </w:r>
      <w:r w:rsidRPr="004E3E07">
        <w:rPr>
          <w:rStyle w:val="FootnoteReference"/>
          <w:rFonts w:ascii="Cambria" w:eastAsia="Cambria" w:hAnsi="Cambria" w:cs="Cambria"/>
          <w:sz w:val="20"/>
          <w:szCs w:val="20"/>
          <w:lang w:val="es-MX"/>
        </w:rPr>
        <w:footnoteReference w:id="304"/>
      </w:r>
      <w:r w:rsidRPr="004E3E07">
        <w:rPr>
          <w:rFonts w:ascii="Cambria" w:eastAsia="Cambria" w:hAnsi="Cambria" w:cs="Cambria"/>
          <w:sz w:val="20"/>
          <w:szCs w:val="20"/>
          <w:lang w:val="es-MX"/>
        </w:rPr>
        <w:t>. Aunado a ello, el informe en referencia destaca que los casos de lesiones por violencia en los que las personas responsables tendrían algún parentesco con la víctima representan el 65.96% del total de casos</w:t>
      </w:r>
      <w:r w:rsidRPr="004E3E07">
        <w:rPr>
          <w:rStyle w:val="FootnoteReference"/>
          <w:rFonts w:ascii="Cambria" w:eastAsia="Cambria" w:hAnsi="Cambria" w:cs="Cambria"/>
          <w:sz w:val="20"/>
          <w:szCs w:val="20"/>
          <w:lang w:val="es-MX"/>
        </w:rPr>
        <w:footnoteReference w:id="305"/>
      </w:r>
      <w:r w:rsidRPr="004E3E07">
        <w:rPr>
          <w:rFonts w:ascii="Cambria" w:eastAsia="Cambria" w:hAnsi="Cambria" w:cs="Cambria"/>
          <w:sz w:val="20"/>
          <w:szCs w:val="20"/>
          <w:lang w:val="es-MX"/>
        </w:rPr>
        <w:t>.</w:t>
      </w:r>
    </w:p>
    <w:p w14:paraId="3BBC0BB6" w14:textId="619A1782" w:rsidR="00496AC0" w:rsidRPr="004E3E07" w:rsidRDefault="00017BD6" w:rsidP="00496AC0">
      <w:pPr>
        <w:numPr>
          <w:ilvl w:val="0"/>
          <w:numId w:val="5"/>
        </w:numPr>
        <w:spacing w:after="240" w:line="240" w:lineRule="auto"/>
        <w:ind w:left="0" w:firstLine="720"/>
        <w:jc w:val="both"/>
        <w:rPr>
          <w:rFonts w:ascii="Cambria" w:eastAsia="Cambria" w:hAnsi="Cambria" w:cs="Cambria"/>
          <w:sz w:val="20"/>
          <w:szCs w:val="20"/>
          <w:lang w:val="es-MX"/>
        </w:rPr>
      </w:pPr>
      <w:r>
        <w:rPr>
          <w:rFonts w:ascii="Cambria" w:eastAsia="Cambria" w:hAnsi="Cambria" w:cs="Cambria"/>
          <w:sz w:val="20"/>
          <w:szCs w:val="20"/>
          <w:lang w:val="es-MX"/>
        </w:rPr>
        <w:t>L</w:t>
      </w:r>
      <w:r w:rsidR="00496AC0" w:rsidRPr="004E3E07">
        <w:rPr>
          <w:rFonts w:ascii="Cambria" w:eastAsia="Cambria" w:hAnsi="Cambria" w:cs="Cambria"/>
          <w:sz w:val="20"/>
          <w:szCs w:val="20"/>
          <w:lang w:val="es-MX"/>
        </w:rPr>
        <w:t xml:space="preserve">a CIDH observa </w:t>
      </w:r>
      <w:r w:rsidR="008016E7" w:rsidRPr="004E3E07">
        <w:rPr>
          <w:rFonts w:ascii="Cambria" w:eastAsia="Cambria" w:hAnsi="Cambria" w:cs="Cambria"/>
          <w:sz w:val="20"/>
          <w:szCs w:val="20"/>
          <w:lang w:val="es-MX"/>
        </w:rPr>
        <w:t>que</w:t>
      </w:r>
      <w:r>
        <w:rPr>
          <w:rFonts w:ascii="Cambria" w:eastAsia="Cambria" w:hAnsi="Cambria" w:cs="Cambria"/>
          <w:sz w:val="20"/>
          <w:szCs w:val="20"/>
          <w:lang w:val="es-MX"/>
        </w:rPr>
        <w:t xml:space="preserve"> </w:t>
      </w:r>
      <w:r w:rsidRPr="004E3E07">
        <w:rPr>
          <w:rFonts w:ascii="Cambria" w:eastAsia="Cambria" w:hAnsi="Cambria" w:cs="Cambria"/>
          <w:sz w:val="20"/>
          <w:szCs w:val="20"/>
          <w:lang w:val="es-MX"/>
        </w:rPr>
        <w:t>entre 2018 y 2021</w:t>
      </w:r>
      <w:r>
        <w:rPr>
          <w:rFonts w:ascii="Cambria" w:eastAsia="Cambria" w:hAnsi="Cambria" w:cs="Cambria"/>
          <w:sz w:val="20"/>
          <w:szCs w:val="20"/>
          <w:lang w:val="es-MX"/>
        </w:rPr>
        <w:t xml:space="preserve">, </w:t>
      </w:r>
      <w:r w:rsidR="00C3732E">
        <w:rPr>
          <w:rFonts w:ascii="Cambria" w:eastAsia="Cambria" w:hAnsi="Cambria" w:cs="Cambria"/>
          <w:sz w:val="20"/>
          <w:szCs w:val="20"/>
          <w:lang w:val="es-MX"/>
        </w:rPr>
        <w:t xml:space="preserve">se </w:t>
      </w:r>
      <w:r w:rsidRPr="004E3E07">
        <w:rPr>
          <w:rFonts w:ascii="Cambria" w:eastAsia="Cambria" w:hAnsi="Cambria" w:cs="Cambria"/>
          <w:sz w:val="20"/>
          <w:szCs w:val="20"/>
          <w:lang w:val="es-MX"/>
        </w:rPr>
        <w:t xml:space="preserve">registraron un total de 4.401 homicidios de </w:t>
      </w:r>
      <w:r w:rsidR="00C3732E">
        <w:rPr>
          <w:rFonts w:ascii="Cambria" w:eastAsia="Cambria" w:hAnsi="Cambria" w:cs="Cambria"/>
          <w:sz w:val="20"/>
          <w:szCs w:val="20"/>
          <w:lang w:val="es-MX"/>
        </w:rPr>
        <w:t>niñas, niños y adolescentes</w:t>
      </w:r>
      <w:r w:rsidRPr="004E3E07">
        <w:rPr>
          <w:rStyle w:val="FootnoteReference"/>
          <w:rFonts w:ascii="Cambria" w:eastAsia="Cambria" w:hAnsi="Cambria" w:cs="Cambria"/>
          <w:sz w:val="20"/>
          <w:szCs w:val="20"/>
          <w:lang w:val="es-MX"/>
        </w:rPr>
        <w:footnoteReference w:id="306"/>
      </w:r>
      <w:r>
        <w:rPr>
          <w:rFonts w:ascii="Cambria" w:eastAsia="Cambria" w:hAnsi="Cambria" w:cs="Cambria"/>
          <w:sz w:val="20"/>
          <w:szCs w:val="20"/>
          <w:lang w:val="es-MX"/>
        </w:rPr>
        <w:t xml:space="preserve"> y</w:t>
      </w:r>
      <w:r w:rsidR="00937C3B">
        <w:rPr>
          <w:rFonts w:ascii="Cambria" w:eastAsia="Cambria" w:hAnsi="Cambria" w:cs="Cambria"/>
          <w:sz w:val="20"/>
          <w:szCs w:val="20"/>
          <w:lang w:val="es-MX"/>
        </w:rPr>
        <w:t>, hasta a</w:t>
      </w:r>
      <w:r w:rsidR="00FA01A2">
        <w:rPr>
          <w:rFonts w:ascii="Cambria" w:eastAsia="Cambria" w:hAnsi="Cambria" w:cs="Cambria"/>
          <w:sz w:val="20"/>
          <w:szCs w:val="20"/>
          <w:lang w:val="es-MX"/>
        </w:rPr>
        <w:t>g</w:t>
      </w:r>
      <w:r w:rsidR="00937C3B">
        <w:rPr>
          <w:rFonts w:ascii="Cambria" w:eastAsia="Cambria" w:hAnsi="Cambria" w:cs="Cambria"/>
          <w:sz w:val="20"/>
          <w:szCs w:val="20"/>
          <w:lang w:val="es-MX"/>
        </w:rPr>
        <w:t>osto de 2</w:t>
      </w:r>
      <w:r w:rsidR="00496AC0" w:rsidRPr="004E3E07">
        <w:rPr>
          <w:rFonts w:ascii="Cambria" w:eastAsia="Cambria" w:hAnsi="Cambria" w:cs="Cambria"/>
          <w:sz w:val="20"/>
          <w:szCs w:val="20"/>
          <w:lang w:val="es-MX"/>
        </w:rPr>
        <w:t>021 registr</w:t>
      </w:r>
      <w:r w:rsidR="00FA01A2">
        <w:rPr>
          <w:rFonts w:ascii="Cambria" w:eastAsia="Cambria" w:hAnsi="Cambria" w:cs="Cambria"/>
          <w:sz w:val="20"/>
          <w:szCs w:val="20"/>
          <w:lang w:val="es-MX"/>
        </w:rPr>
        <w:t>ó u</w:t>
      </w:r>
      <w:r w:rsidR="00496AC0" w:rsidRPr="004E3E07">
        <w:rPr>
          <w:rFonts w:ascii="Cambria" w:eastAsia="Cambria" w:hAnsi="Cambria" w:cs="Cambria"/>
          <w:sz w:val="20"/>
          <w:szCs w:val="20"/>
          <w:lang w:val="es-MX"/>
        </w:rPr>
        <w:t>n total de 1.114 niñas, niños y adolescentes desaparecidos</w:t>
      </w:r>
      <w:r w:rsidR="00915282">
        <w:rPr>
          <w:rFonts w:ascii="Cambria" w:eastAsia="Cambria" w:hAnsi="Cambria" w:cs="Cambria"/>
          <w:sz w:val="20"/>
          <w:szCs w:val="20"/>
          <w:lang w:val="es-MX"/>
        </w:rPr>
        <w:t xml:space="preserve">, lo que </w:t>
      </w:r>
      <w:r w:rsidR="00496AC0" w:rsidRPr="004E3E07">
        <w:rPr>
          <w:rFonts w:ascii="Cambria" w:eastAsia="Cambria" w:hAnsi="Cambria" w:cs="Cambria"/>
          <w:sz w:val="20"/>
          <w:szCs w:val="20"/>
          <w:lang w:val="es-MX"/>
        </w:rPr>
        <w:t>representaría un incremento del 19.5</w:t>
      </w:r>
      <w:r w:rsidR="00BA352A">
        <w:rPr>
          <w:rFonts w:ascii="Cambria" w:eastAsia="Cambria" w:hAnsi="Cambria" w:cs="Cambria"/>
          <w:sz w:val="20"/>
          <w:szCs w:val="20"/>
          <w:lang w:val="es-MX"/>
        </w:rPr>
        <w:t xml:space="preserve"> </w:t>
      </w:r>
      <w:r w:rsidR="00496AC0" w:rsidRPr="004E3E07">
        <w:rPr>
          <w:rFonts w:ascii="Cambria" w:eastAsia="Cambria" w:hAnsi="Cambria" w:cs="Cambria"/>
          <w:sz w:val="20"/>
          <w:szCs w:val="20"/>
          <w:lang w:val="es-MX"/>
        </w:rPr>
        <w:t>% respecto del mismo periodo durante 2020</w:t>
      </w:r>
      <w:r w:rsidR="00496AC0" w:rsidRPr="004E3E07">
        <w:rPr>
          <w:rStyle w:val="FootnoteReference"/>
          <w:rFonts w:ascii="Cambria" w:eastAsia="Cambria" w:hAnsi="Cambria" w:cs="Cambria"/>
          <w:sz w:val="20"/>
          <w:szCs w:val="20"/>
          <w:lang w:val="es-MX"/>
        </w:rPr>
        <w:footnoteReference w:id="307"/>
      </w:r>
      <w:r w:rsidR="00496AC0" w:rsidRPr="004E3E07">
        <w:rPr>
          <w:rFonts w:ascii="Cambria" w:eastAsia="Cambria" w:hAnsi="Cambria" w:cs="Cambria"/>
          <w:sz w:val="20"/>
          <w:szCs w:val="20"/>
          <w:lang w:val="es-MX"/>
        </w:rPr>
        <w:t xml:space="preserve">. </w:t>
      </w:r>
    </w:p>
    <w:p w14:paraId="26F010A3" w14:textId="2D622375" w:rsidR="002F1A6A" w:rsidRPr="00E97663" w:rsidRDefault="00496AC0" w:rsidP="002F1A6A">
      <w:pPr>
        <w:numPr>
          <w:ilvl w:val="0"/>
          <w:numId w:val="5"/>
        </w:numPr>
        <w:spacing w:after="240" w:line="240" w:lineRule="auto"/>
        <w:ind w:left="0" w:firstLine="720"/>
        <w:jc w:val="both"/>
        <w:rPr>
          <w:rFonts w:ascii="Cambria" w:eastAsia="Cambria" w:hAnsi="Cambria" w:cs="Cambria"/>
          <w:sz w:val="20"/>
          <w:szCs w:val="20"/>
          <w:lang w:val="es-MX"/>
        </w:rPr>
      </w:pPr>
      <w:r w:rsidRPr="004E3E07">
        <w:rPr>
          <w:rFonts w:ascii="Cambria" w:eastAsia="Cambria" w:hAnsi="Cambria" w:cs="Cambria"/>
          <w:sz w:val="20"/>
          <w:szCs w:val="20"/>
          <w:lang w:val="es-MX"/>
        </w:rPr>
        <w:t>En lo relativo a la violencia sexual en contra de NNA, la Comisión observa con</w:t>
      </w:r>
      <w:r w:rsidR="00220665">
        <w:rPr>
          <w:rFonts w:ascii="Cambria" w:eastAsia="Cambria" w:hAnsi="Cambria" w:cs="Cambria"/>
          <w:sz w:val="20"/>
          <w:szCs w:val="20"/>
          <w:lang w:val="es-MX"/>
        </w:rPr>
        <w:t xml:space="preserve"> grave</w:t>
      </w:r>
      <w:r w:rsidRPr="004E3E07">
        <w:rPr>
          <w:rFonts w:ascii="Cambria" w:eastAsia="Cambria" w:hAnsi="Cambria" w:cs="Cambria"/>
          <w:sz w:val="20"/>
          <w:szCs w:val="20"/>
          <w:lang w:val="es-MX"/>
        </w:rPr>
        <w:t xml:space="preserve"> preocupación que</w:t>
      </w:r>
      <w:r w:rsidR="00220665">
        <w:rPr>
          <w:rFonts w:ascii="Cambria" w:eastAsia="Cambria" w:hAnsi="Cambria" w:cs="Cambria"/>
          <w:sz w:val="20"/>
          <w:szCs w:val="20"/>
          <w:lang w:val="es-MX"/>
        </w:rPr>
        <w:t>,</w:t>
      </w:r>
      <w:r w:rsidRPr="004E3E07">
        <w:rPr>
          <w:rFonts w:ascii="Cambria" w:eastAsia="Cambria" w:hAnsi="Cambria" w:cs="Cambria"/>
          <w:sz w:val="20"/>
          <w:szCs w:val="20"/>
          <w:lang w:val="es-MX"/>
        </w:rPr>
        <w:t xml:space="preserve"> de acuerdo con un informe de la Oficina de Defensoría de los Derechos de la Infancia, niños </w:t>
      </w:r>
      <w:r w:rsidRPr="00E97663">
        <w:rPr>
          <w:rFonts w:ascii="Cambria" w:eastAsia="Cambria" w:hAnsi="Cambria" w:cs="Cambria"/>
          <w:sz w:val="20"/>
          <w:szCs w:val="20"/>
          <w:lang w:val="es-MX"/>
        </w:rPr>
        <w:t>y niñas sufrirían violencia sexual de manera cotidiana en diferentes escuelas. Asimismo, el informe en referencia detalla que estas situaciones no habrían sido denunciadas por las autoridades escolares, y únicamente iniciaron investigaciones internas. Agrega, que</w:t>
      </w:r>
      <w:r w:rsidR="3588FD5E" w:rsidRPr="00E97663">
        <w:rPr>
          <w:rFonts w:ascii="Cambria" w:eastAsia="Cambria" w:hAnsi="Cambria" w:cs="Cambria"/>
          <w:sz w:val="20"/>
          <w:szCs w:val="20"/>
          <w:lang w:val="es-MX"/>
        </w:rPr>
        <w:t>,</w:t>
      </w:r>
      <w:r w:rsidRPr="00E97663">
        <w:rPr>
          <w:rFonts w:ascii="Cambria" w:eastAsia="Cambria" w:hAnsi="Cambria" w:cs="Cambria"/>
          <w:sz w:val="20"/>
          <w:szCs w:val="20"/>
          <w:lang w:val="es-MX"/>
        </w:rPr>
        <w:t xml:space="preserve"> aunque diversas fiscalías en todo el país tendrían conocimiento de estos casos, no se habrían investigado adecuadamente</w:t>
      </w:r>
      <w:r w:rsidRPr="00E97663">
        <w:rPr>
          <w:rStyle w:val="FootnoteReference"/>
          <w:rFonts w:ascii="Cambria" w:eastAsia="Cambria" w:hAnsi="Cambria" w:cs="Cambria"/>
          <w:sz w:val="20"/>
          <w:szCs w:val="20"/>
          <w:lang w:val="es-MX"/>
        </w:rPr>
        <w:footnoteReference w:id="308"/>
      </w:r>
      <w:r w:rsidRPr="00E97663">
        <w:rPr>
          <w:rFonts w:ascii="Cambria" w:eastAsia="Cambria" w:hAnsi="Cambria" w:cs="Cambria"/>
          <w:sz w:val="20"/>
          <w:szCs w:val="20"/>
          <w:lang w:val="es-MX"/>
        </w:rPr>
        <w:t xml:space="preserve">. </w:t>
      </w:r>
      <w:r w:rsidR="002F1A6A" w:rsidRPr="00E97663">
        <w:rPr>
          <w:rFonts w:ascii="Cambria" w:eastAsia="Cambria" w:hAnsi="Cambria" w:cs="Cambria"/>
          <w:sz w:val="20"/>
          <w:szCs w:val="20"/>
          <w:lang w:val="es-MX"/>
        </w:rPr>
        <w:t>En sus observaciones al proyecto del presente informe, el Estado informó que la Procuraduría Federal de Protección de Niñas, Niños y Adolescentes del Sistema Nacional DIF, pusieron en marcha el procedimiento contenido en el Protocolo de atención integral para niñas, niños y adolescentes víctimas de delito y en condición de vulnerabilidad, a efecto de restituir los derechos que se adviertan vulnerados sobre niñas, niños y adolescentes víctimas de violencia sexual, además representa jurídicamente a niñas, niños y adolescentes en los procedimientos judiciales como administrativos en los que se vean inmersos ya sea en suplencia o en coadyuvancia</w:t>
      </w:r>
      <w:r w:rsidR="002F1A6A" w:rsidRPr="00E97663">
        <w:rPr>
          <w:rStyle w:val="FootnoteReference"/>
          <w:rFonts w:ascii="Cambria" w:eastAsia="Cambria" w:hAnsi="Cambria" w:cs="Cambria"/>
          <w:sz w:val="20"/>
          <w:szCs w:val="20"/>
          <w:lang w:val="es-MX"/>
        </w:rPr>
        <w:footnoteReference w:id="309"/>
      </w:r>
      <w:r w:rsidR="002F1A6A" w:rsidRPr="00E97663">
        <w:rPr>
          <w:rFonts w:ascii="Cambria" w:eastAsia="Cambria" w:hAnsi="Cambria" w:cs="Cambria"/>
          <w:sz w:val="20"/>
          <w:szCs w:val="20"/>
          <w:lang w:val="es-MX"/>
        </w:rPr>
        <w:t xml:space="preserve">.  </w:t>
      </w:r>
    </w:p>
    <w:p w14:paraId="35F48F90" w14:textId="068D003C" w:rsidR="00496AC0" w:rsidRPr="004E3E07" w:rsidRDefault="00496AC0" w:rsidP="00496AC0">
      <w:pPr>
        <w:numPr>
          <w:ilvl w:val="0"/>
          <w:numId w:val="5"/>
        </w:numPr>
        <w:spacing w:after="240" w:line="240" w:lineRule="auto"/>
        <w:ind w:left="0" w:firstLine="720"/>
        <w:jc w:val="both"/>
        <w:rPr>
          <w:rFonts w:ascii="Cambria" w:eastAsia="Cambria" w:hAnsi="Cambria" w:cs="Cambria"/>
          <w:sz w:val="20"/>
          <w:szCs w:val="20"/>
          <w:lang w:val="es-MX"/>
        </w:rPr>
      </w:pPr>
      <w:r w:rsidRPr="00E97663">
        <w:rPr>
          <w:rFonts w:ascii="Cambria" w:eastAsia="Cambria" w:hAnsi="Cambria" w:cs="Cambria"/>
          <w:sz w:val="20"/>
          <w:szCs w:val="20"/>
          <w:lang w:val="es-MX"/>
        </w:rPr>
        <w:t>Sobre el embarazo en niñas y adolescentes, la Comisión observa con preocupación la</w:t>
      </w:r>
      <w:r w:rsidRPr="004E3E07">
        <w:rPr>
          <w:rFonts w:ascii="Cambria" w:eastAsia="Cambria" w:hAnsi="Cambria" w:cs="Cambria"/>
          <w:sz w:val="20"/>
          <w:szCs w:val="20"/>
          <w:lang w:val="es-MX"/>
        </w:rPr>
        <w:t xml:space="preserve"> información oficial que da cuenta que cada día nacen aproximadamente más de mil bebés de niñas y adolescentes en México. Dicha cifra incluye a niñas de entre 10 y 14 años embarazadas, en su mayoría, por violación sexual o matrimonios arreglados. Además, 4 de cada 100 nacimientos serían de niñas menores de 14 años</w:t>
      </w:r>
      <w:r w:rsidRPr="004E3E07">
        <w:rPr>
          <w:rStyle w:val="FootnoteReference"/>
          <w:rFonts w:ascii="Cambria" w:eastAsia="Cambria" w:hAnsi="Cambria" w:cs="Cambria"/>
          <w:sz w:val="20"/>
          <w:szCs w:val="20"/>
          <w:lang w:val="es-MX"/>
        </w:rPr>
        <w:footnoteReference w:id="310"/>
      </w:r>
      <w:r w:rsidR="001B670C">
        <w:rPr>
          <w:rFonts w:ascii="Cambria" w:eastAsia="Cambria" w:hAnsi="Cambria" w:cs="Cambria"/>
          <w:sz w:val="20"/>
          <w:szCs w:val="20"/>
          <w:lang w:val="es-MX"/>
        </w:rPr>
        <w:t>.</w:t>
      </w:r>
    </w:p>
    <w:p w14:paraId="4DCDC6AE" w14:textId="732D8FDA" w:rsidR="00496AC0" w:rsidRPr="004E3E07" w:rsidRDefault="00496AC0" w:rsidP="00496AC0">
      <w:pPr>
        <w:numPr>
          <w:ilvl w:val="0"/>
          <w:numId w:val="5"/>
        </w:numPr>
        <w:spacing w:after="240" w:line="240" w:lineRule="auto"/>
        <w:ind w:left="0" w:firstLine="720"/>
        <w:jc w:val="both"/>
        <w:rPr>
          <w:rFonts w:ascii="Cambria" w:eastAsia="Cambria" w:hAnsi="Cambria" w:cs="Cambria"/>
          <w:sz w:val="20"/>
          <w:szCs w:val="20"/>
          <w:lang w:val="es-MX"/>
        </w:rPr>
      </w:pPr>
      <w:r w:rsidRPr="004E3E07">
        <w:rPr>
          <w:rFonts w:ascii="Cambria" w:eastAsia="Cambria" w:hAnsi="Cambria" w:cs="Cambria"/>
          <w:sz w:val="20"/>
          <w:szCs w:val="20"/>
          <w:lang w:val="es-MX"/>
        </w:rPr>
        <w:t xml:space="preserve">Por todo lo expuesto anteriormente, la Comisión considera que esta recomendación se encuentra en etapa de </w:t>
      </w:r>
      <w:r w:rsidRPr="00C3732E">
        <w:rPr>
          <w:rFonts w:ascii="Cambria" w:eastAsia="Cambria" w:hAnsi="Cambria" w:cs="Cambria"/>
          <w:sz w:val="20"/>
          <w:szCs w:val="20"/>
          <w:lang w:val="es-MX"/>
        </w:rPr>
        <w:t>cumplimiento parcial</w:t>
      </w:r>
      <w:r w:rsidRPr="004E3E07">
        <w:rPr>
          <w:rFonts w:ascii="Cambria" w:eastAsia="Cambria" w:hAnsi="Cambria" w:cs="Cambria"/>
          <w:sz w:val="20"/>
          <w:szCs w:val="20"/>
          <w:lang w:val="es-MX"/>
        </w:rPr>
        <w:t>.</w:t>
      </w:r>
    </w:p>
    <w:p w14:paraId="14606A9E" w14:textId="3B88E09E" w:rsidR="002277F5" w:rsidRPr="00233D94" w:rsidRDefault="007E25FF">
      <w:pPr>
        <w:pStyle w:val="Heading3"/>
        <w:numPr>
          <w:ilvl w:val="2"/>
          <w:numId w:val="11"/>
        </w:numPr>
        <w:shd w:val="clear" w:color="auto" w:fill="auto"/>
        <w:spacing w:before="0"/>
        <w:ind w:left="1440" w:hanging="720"/>
        <w:rPr>
          <w:sz w:val="20"/>
          <w:szCs w:val="20"/>
        </w:rPr>
      </w:pPr>
      <w:r w:rsidRPr="00233D94">
        <w:rPr>
          <w:sz w:val="20"/>
          <w:szCs w:val="20"/>
        </w:rPr>
        <w:t>Pueblos indígenas</w:t>
      </w:r>
    </w:p>
    <w:p w14:paraId="14606A9F" w14:textId="77777777" w:rsidR="002277F5" w:rsidRPr="00233D94" w:rsidRDefault="007E25FF">
      <w:pPr>
        <w:numPr>
          <w:ilvl w:val="0"/>
          <w:numId w:val="2"/>
        </w:numPr>
        <w:pBdr>
          <w:top w:val="nil"/>
          <w:left w:val="nil"/>
          <w:bottom w:val="nil"/>
          <w:right w:val="nil"/>
          <w:between w:val="nil"/>
        </w:pBdr>
        <w:shd w:val="clear" w:color="auto" w:fill="D9D9D9"/>
        <w:spacing w:after="0" w:line="240" w:lineRule="auto"/>
        <w:ind w:left="1440" w:hanging="720"/>
        <w:jc w:val="both"/>
        <w:rPr>
          <w:rFonts w:ascii="Cambria" w:hAnsi="Cambria"/>
          <w:lang w:val="es-MX"/>
        </w:rPr>
      </w:pPr>
      <w:r w:rsidRPr="00233D94">
        <w:rPr>
          <w:rFonts w:ascii="Cambria" w:eastAsia="Cambria" w:hAnsi="Cambria" w:cs="Cambria"/>
          <w:sz w:val="20"/>
          <w:szCs w:val="20"/>
          <w:lang w:val="es-MX"/>
        </w:rPr>
        <w:t xml:space="preserve">Adoptar medidas para que se utilice una perspectiva culturalmente adecuada y se tome en cuenta el carácter colectivo de las comunidades y pueblos indígenas cuando estos, o sus integrantes, sean víctimas de violaciones a derechos humanos. </w:t>
      </w:r>
    </w:p>
    <w:p w14:paraId="14606AA0" w14:textId="77777777" w:rsidR="002277F5" w:rsidRPr="00233D94" w:rsidRDefault="007E25FF">
      <w:pPr>
        <w:numPr>
          <w:ilvl w:val="0"/>
          <w:numId w:val="2"/>
        </w:numPr>
        <w:pBdr>
          <w:top w:val="nil"/>
          <w:left w:val="nil"/>
          <w:bottom w:val="nil"/>
          <w:right w:val="nil"/>
          <w:between w:val="nil"/>
        </w:pBdr>
        <w:shd w:val="clear" w:color="auto" w:fill="D9D9D9"/>
        <w:spacing w:after="0" w:line="240" w:lineRule="auto"/>
        <w:ind w:left="1440" w:hanging="720"/>
        <w:jc w:val="both"/>
        <w:rPr>
          <w:rFonts w:ascii="Cambria" w:hAnsi="Cambria"/>
          <w:lang w:val="es-MX"/>
        </w:rPr>
      </w:pPr>
      <w:r w:rsidRPr="00233D94">
        <w:rPr>
          <w:rFonts w:ascii="Cambria" w:eastAsia="Cambria" w:hAnsi="Cambria" w:cs="Cambria"/>
          <w:sz w:val="20"/>
          <w:szCs w:val="20"/>
          <w:lang w:val="es-MX"/>
        </w:rPr>
        <w:t>Garantizar la disponibilidad de traductores en todo el territorio nacional y en todos los niveles de gobierno para que los pueblos indígenas y sus integrantes puedan tener acceso a la justicia cuando así lo requieran.</w:t>
      </w:r>
    </w:p>
    <w:p w14:paraId="14606AA1" w14:textId="77777777" w:rsidR="002277F5" w:rsidRPr="00233D94" w:rsidRDefault="007E25FF">
      <w:pPr>
        <w:numPr>
          <w:ilvl w:val="0"/>
          <w:numId w:val="2"/>
        </w:numPr>
        <w:pBdr>
          <w:top w:val="nil"/>
          <w:left w:val="nil"/>
          <w:bottom w:val="nil"/>
          <w:right w:val="nil"/>
          <w:between w:val="nil"/>
        </w:pBdr>
        <w:shd w:val="clear" w:color="auto" w:fill="D9D9D9"/>
        <w:spacing w:after="0" w:line="240" w:lineRule="auto"/>
        <w:ind w:left="1440" w:hanging="720"/>
        <w:jc w:val="both"/>
        <w:rPr>
          <w:rFonts w:ascii="Cambria" w:hAnsi="Cambria"/>
          <w:lang w:val="es-MX"/>
        </w:rPr>
      </w:pPr>
      <w:r w:rsidRPr="00233D94">
        <w:rPr>
          <w:rFonts w:ascii="Cambria" w:eastAsia="Cambria" w:hAnsi="Cambria" w:cs="Cambria"/>
          <w:sz w:val="20"/>
          <w:szCs w:val="20"/>
          <w:lang w:val="es-MX"/>
        </w:rPr>
        <w:t>Adoptar las medidas necesarias para realizar consultas libres, previas e informadas en proyectos que afectan sus territorios.</w:t>
      </w:r>
    </w:p>
    <w:p w14:paraId="14606AA2" w14:textId="77777777" w:rsidR="002277F5" w:rsidRPr="00233D94" w:rsidRDefault="002277F5">
      <w:pPr>
        <w:pBdr>
          <w:top w:val="nil"/>
          <w:left w:val="nil"/>
          <w:bottom w:val="nil"/>
          <w:right w:val="nil"/>
          <w:between w:val="nil"/>
        </w:pBdr>
        <w:shd w:val="clear" w:color="auto" w:fill="FFFFFF"/>
        <w:spacing w:after="0" w:line="240" w:lineRule="auto"/>
        <w:ind w:left="1440" w:hanging="360"/>
        <w:jc w:val="both"/>
        <w:rPr>
          <w:rFonts w:ascii="Cambria" w:eastAsia="Cambria" w:hAnsi="Cambria" w:cs="Cambria"/>
          <w:sz w:val="20"/>
          <w:szCs w:val="20"/>
          <w:lang w:val="es-MX"/>
        </w:rPr>
      </w:pPr>
    </w:p>
    <w:p w14:paraId="25E6A2A2" w14:textId="7B53E885" w:rsidR="00A12246" w:rsidRPr="00233D94" w:rsidRDefault="007E25FF" w:rsidP="00A12246">
      <w:pPr>
        <w:numPr>
          <w:ilvl w:val="0"/>
          <w:numId w:val="5"/>
        </w:numPr>
        <w:shd w:val="clear" w:color="auto" w:fill="FFFFFF"/>
        <w:spacing w:after="240" w:line="240" w:lineRule="auto"/>
        <w:ind w:left="0" w:firstLine="720"/>
        <w:jc w:val="both"/>
        <w:rPr>
          <w:rFonts w:ascii="Cambria" w:eastAsia="Cambria" w:hAnsi="Cambria" w:cs="Cambria"/>
          <w:sz w:val="20"/>
          <w:szCs w:val="20"/>
          <w:lang w:val="es-419"/>
        </w:rPr>
      </w:pPr>
      <w:r w:rsidRPr="00233D94">
        <w:rPr>
          <w:rFonts w:ascii="Cambria" w:eastAsia="Cambria" w:hAnsi="Cambria" w:cs="Cambria"/>
          <w:sz w:val="20"/>
          <w:szCs w:val="20"/>
          <w:lang w:val="es-MX"/>
        </w:rPr>
        <w:t xml:space="preserve">En relación con la recomendación de </w:t>
      </w:r>
      <w:r w:rsidRPr="00233D94">
        <w:rPr>
          <w:rFonts w:ascii="Cambria" w:eastAsia="Cambria" w:hAnsi="Cambria" w:cs="Cambria"/>
          <w:b/>
          <w:bCs/>
          <w:sz w:val="20"/>
          <w:szCs w:val="20"/>
          <w:lang w:val="es-MX"/>
        </w:rPr>
        <w:t xml:space="preserve">adoptar medidas culturalmente adecuadas en caso de violaciones a derechos humanos, </w:t>
      </w:r>
      <w:r w:rsidR="00962669">
        <w:rPr>
          <w:rFonts w:ascii="Cambria" w:eastAsia="Cambria" w:hAnsi="Cambria" w:cs="Cambria"/>
          <w:sz w:val="20"/>
          <w:szCs w:val="20"/>
          <w:lang w:val="es-419"/>
        </w:rPr>
        <w:t>la CEAV</w:t>
      </w:r>
      <w:r w:rsidR="00A12246" w:rsidRPr="00233D94">
        <w:rPr>
          <w:rFonts w:ascii="Cambria" w:eastAsia="Cambria" w:hAnsi="Cambria" w:cs="Cambria"/>
          <w:sz w:val="20"/>
          <w:szCs w:val="20"/>
          <w:lang w:val="es-419"/>
        </w:rPr>
        <w:t xml:space="preserve"> y el Instituto Nacional de Lenguas Indígenas (INALI) para establecer mecanismos de colaboración e intercambio de conocimientos en materia de derechos lingüísticos de los pueblos indígenas, promoción de lenguas indígenas, capacitación y actualización en el ámbito  jurídico. Asimismo, informó sobre una capacitación realizada en septiembre de 2021 por la Dirección General de la Asesoría Jurídica Federal al personal de INALI y personas del pueblo triqui, sobre temas de acceso a la defensa legal</w:t>
      </w:r>
      <w:r w:rsidR="00A12246" w:rsidRPr="00233D94">
        <w:rPr>
          <w:rFonts w:ascii="Cambria" w:eastAsia="Cambria" w:hAnsi="Cambria" w:cs="Cambria"/>
          <w:sz w:val="20"/>
          <w:szCs w:val="20"/>
          <w:vertAlign w:val="superscript"/>
          <w:lang w:val="es-419"/>
        </w:rPr>
        <w:footnoteReference w:id="311"/>
      </w:r>
      <w:r w:rsidR="00A12246" w:rsidRPr="00233D94">
        <w:rPr>
          <w:rFonts w:ascii="Cambria" w:eastAsia="Cambria" w:hAnsi="Cambria" w:cs="Cambria"/>
          <w:sz w:val="20"/>
          <w:szCs w:val="20"/>
          <w:lang w:val="es-419"/>
        </w:rPr>
        <w:t xml:space="preserve">. </w:t>
      </w:r>
    </w:p>
    <w:p w14:paraId="1BF9E87C" w14:textId="1822E1EA" w:rsidR="00A12246" w:rsidRPr="00A12246" w:rsidRDefault="00A12246" w:rsidP="00A12246">
      <w:pPr>
        <w:numPr>
          <w:ilvl w:val="0"/>
          <w:numId w:val="5"/>
        </w:numPr>
        <w:shd w:val="clear" w:color="auto" w:fill="FFFFFF"/>
        <w:spacing w:after="240" w:line="240" w:lineRule="auto"/>
        <w:ind w:left="0" w:firstLine="720"/>
        <w:jc w:val="both"/>
        <w:rPr>
          <w:rFonts w:ascii="Cambria" w:eastAsia="Cambria" w:hAnsi="Cambria" w:cs="Cambria"/>
          <w:sz w:val="20"/>
          <w:szCs w:val="20"/>
          <w:lang w:val="es-419"/>
        </w:rPr>
      </w:pPr>
      <w:r w:rsidRPr="00A12246">
        <w:rPr>
          <w:rFonts w:ascii="Cambria" w:eastAsia="Cambria" w:hAnsi="Cambria" w:cs="Cambria"/>
          <w:sz w:val="20"/>
          <w:szCs w:val="20"/>
          <w:lang w:val="es-419"/>
        </w:rPr>
        <w:t>La CIDH observa que la información reportada por el Estado no precisa la manera en que responden a situaciones de violaciones de derechos de los pueblos indígenas, en particular a medidas sobre investigación, sanción y reparación de dichas violaciones.  Si bien, las medidas reportadas pueden considerarse como medidas promocionales de derechos lingüísticos y de derechos a la defensa legal, la CIDH reitera que el contenido central de esta recomendación se traslada en medidas concretas, sistematizadas e interconectadas entre sí, y que permitan su medición. Asimismo, en el caso de los pueblos indígenas, las medidas culturalmente adecuadas implican la prevención y protección frente a amenazas a los derechos territoriales de los pueblos indígenas</w:t>
      </w:r>
      <w:r w:rsidRPr="00A12246">
        <w:rPr>
          <w:rFonts w:ascii="Cambria" w:eastAsia="Cambria" w:hAnsi="Cambria" w:cs="Cambria"/>
          <w:sz w:val="20"/>
          <w:szCs w:val="20"/>
          <w:vertAlign w:val="superscript"/>
          <w:lang w:val="es-419"/>
        </w:rPr>
        <w:footnoteReference w:id="312"/>
      </w:r>
      <w:r w:rsidRPr="00A12246">
        <w:rPr>
          <w:rFonts w:ascii="Cambria" w:eastAsia="Cambria" w:hAnsi="Cambria" w:cs="Cambria"/>
          <w:sz w:val="20"/>
          <w:szCs w:val="20"/>
          <w:lang w:val="es-419"/>
        </w:rPr>
        <w:t>.</w:t>
      </w:r>
    </w:p>
    <w:p w14:paraId="5D58A966" w14:textId="0C9A2AC9" w:rsidR="00A12246" w:rsidRPr="00A12246" w:rsidRDefault="00A12246" w:rsidP="00A12246">
      <w:pPr>
        <w:numPr>
          <w:ilvl w:val="0"/>
          <w:numId w:val="5"/>
        </w:numPr>
        <w:shd w:val="clear" w:color="auto" w:fill="FFFFFF"/>
        <w:spacing w:after="240" w:line="240" w:lineRule="auto"/>
        <w:ind w:left="0" w:firstLine="720"/>
        <w:jc w:val="both"/>
        <w:rPr>
          <w:rFonts w:ascii="Cambria" w:eastAsia="Cambria" w:hAnsi="Cambria" w:cs="Cambria"/>
          <w:sz w:val="20"/>
          <w:szCs w:val="20"/>
          <w:lang w:val="es-419"/>
        </w:rPr>
      </w:pPr>
      <w:r w:rsidRPr="00A12246">
        <w:rPr>
          <w:rFonts w:ascii="Cambria" w:eastAsia="Cambria" w:hAnsi="Cambria" w:cs="Cambria"/>
          <w:sz w:val="20"/>
          <w:szCs w:val="20"/>
          <w:lang w:val="es-419"/>
        </w:rPr>
        <w:t>La CIDH observa con preocupación los hechos de violencia que afectan a los pueblos indígenas en vinculados con problemas que enfrentan en la protección de sus derechos territoriales. En 2021, la CIDH tomó conocimiento del hallazgo de restos óseos pertenecientes a 5 de 10 personas indígenas yaqui reportadas desaparecidas desde el 14 de julio en Bacúm, Sonora. La CIDH instó al Estado a seguir investigando los hechos a fin de sancionar a las personas responsables, y continuar con la búsqueda de las personas que siguen desaparecidas, así como adoptar medidas para garantizar la protección del pueblo yaqui ante situaciones de violencia</w:t>
      </w:r>
      <w:r w:rsidRPr="00A12246">
        <w:rPr>
          <w:rFonts w:ascii="Cambria" w:eastAsia="Cambria" w:hAnsi="Cambria" w:cs="Cambria"/>
          <w:sz w:val="20"/>
          <w:szCs w:val="20"/>
          <w:vertAlign w:val="superscript"/>
          <w:lang w:val="es-419"/>
        </w:rPr>
        <w:footnoteReference w:id="313"/>
      </w:r>
      <w:r w:rsidRPr="00A12246">
        <w:rPr>
          <w:rFonts w:ascii="Cambria" w:eastAsia="Cambria" w:hAnsi="Cambria" w:cs="Cambria"/>
          <w:sz w:val="20"/>
          <w:szCs w:val="20"/>
          <w:lang w:val="es-419"/>
        </w:rPr>
        <w:t>. Posteriormente, se reportó el hallazgo de los restos de otras dos personas yaqui</w:t>
      </w:r>
      <w:r w:rsidRPr="00A12246">
        <w:rPr>
          <w:rFonts w:ascii="Cambria" w:eastAsia="Cambria" w:hAnsi="Cambria" w:cs="Cambria"/>
          <w:sz w:val="20"/>
          <w:szCs w:val="20"/>
          <w:vertAlign w:val="superscript"/>
          <w:lang w:val="es-419"/>
        </w:rPr>
        <w:footnoteReference w:id="314"/>
      </w:r>
      <w:r w:rsidRPr="00A12246">
        <w:rPr>
          <w:rFonts w:ascii="Cambria" w:eastAsia="Cambria" w:hAnsi="Cambria" w:cs="Cambria"/>
          <w:sz w:val="20"/>
          <w:szCs w:val="20"/>
          <w:lang w:val="es-419"/>
        </w:rPr>
        <w:t>. Sin embargo, familiares de las víctimas han exigido mayor certeza sobre la identificación de los restos e información sobre los resultados de prueba de laboratorios, el avance de las investigaciones y las líneas de investigación que han sido seguidas. Según informaciones, la violencia contra lideres del pueblo yaqui se ha intensificado en los últimos meses, y se da en contexto de constante presión sobre su territorio ancestral debido a distintas obras públicas y privadas realizadas en su territorio</w:t>
      </w:r>
      <w:r w:rsidRPr="00A12246">
        <w:rPr>
          <w:rFonts w:ascii="Cambria" w:eastAsia="Cambria" w:hAnsi="Cambria" w:cs="Cambria"/>
          <w:sz w:val="20"/>
          <w:szCs w:val="20"/>
          <w:vertAlign w:val="superscript"/>
          <w:lang w:val="es-419"/>
        </w:rPr>
        <w:footnoteReference w:id="315"/>
      </w:r>
      <w:r w:rsidRPr="00A12246">
        <w:rPr>
          <w:rFonts w:ascii="Cambria" w:eastAsia="Cambria" w:hAnsi="Cambria" w:cs="Cambria"/>
          <w:sz w:val="20"/>
          <w:szCs w:val="20"/>
          <w:lang w:val="es-419"/>
        </w:rPr>
        <w:t>.</w:t>
      </w:r>
    </w:p>
    <w:p w14:paraId="2D678B6B" w14:textId="246A18FD" w:rsidR="00A12246" w:rsidRPr="00A12246" w:rsidRDefault="00A12246" w:rsidP="00A12246">
      <w:pPr>
        <w:numPr>
          <w:ilvl w:val="0"/>
          <w:numId w:val="5"/>
        </w:numPr>
        <w:shd w:val="clear" w:color="auto" w:fill="FFFFFF"/>
        <w:spacing w:after="240" w:line="240" w:lineRule="auto"/>
        <w:ind w:left="0" w:firstLine="720"/>
        <w:jc w:val="both"/>
        <w:rPr>
          <w:rFonts w:ascii="Cambria" w:eastAsia="Cambria" w:hAnsi="Cambria" w:cs="Cambria"/>
          <w:sz w:val="20"/>
          <w:szCs w:val="20"/>
          <w:lang w:val="es-419"/>
        </w:rPr>
      </w:pPr>
      <w:r w:rsidRPr="00A12246">
        <w:rPr>
          <w:rFonts w:ascii="Cambria" w:eastAsia="Cambria" w:hAnsi="Cambria" w:cs="Cambria"/>
          <w:sz w:val="20"/>
          <w:szCs w:val="20"/>
          <w:lang w:val="es-419"/>
        </w:rPr>
        <w:t>La CIDH reitera su preocupación por la continua situación de violencia y desplazamiento en el sur de México a raíz de conflictos políticos territoriales que afectan a comunidades indígenas y que requieren la atención del Estado para asegurar el acceso a la justicia y reparación desde un enfoque intercultural</w:t>
      </w:r>
      <w:r w:rsidRPr="00A12246">
        <w:rPr>
          <w:rFonts w:ascii="Cambria" w:eastAsia="Cambria" w:hAnsi="Cambria" w:cs="Cambria"/>
          <w:sz w:val="20"/>
          <w:szCs w:val="20"/>
          <w:vertAlign w:val="superscript"/>
          <w:lang w:val="es-419"/>
        </w:rPr>
        <w:footnoteReference w:id="316"/>
      </w:r>
      <w:r w:rsidRPr="00A12246">
        <w:rPr>
          <w:rFonts w:ascii="Cambria" w:eastAsia="Cambria" w:hAnsi="Cambria" w:cs="Cambria"/>
          <w:sz w:val="20"/>
          <w:szCs w:val="20"/>
          <w:lang w:val="es-419"/>
        </w:rPr>
        <w:t>. Ello incluye la situación de violencia y desplazamiento que enfrentan familias en veintidós comunidades identificadas en los municipios de Chalchihuitán, Chenalhó y Aldama en Chiapas, y que fue objeto de medidas cautelares otorgadas por la CIDH mediante  </w:t>
      </w:r>
      <w:hyperlink r:id="rId12" w:tgtFrame="_Blank" w:history="1">
        <w:r w:rsidRPr="00A12246">
          <w:rPr>
            <w:rStyle w:val="Hyperlink"/>
            <w:rFonts w:ascii="Cambria" w:eastAsia="Cambria" w:hAnsi="Cambria" w:cs="Cambria"/>
            <w:sz w:val="20"/>
            <w:szCs w:val="20"/>
            <w:lang w:val="es-419"/>
          </w:rPr>
          <w:t>Resolución 15/2018 del 24 de febrero de 2018</w:t>
        </w:r>
      </w:hyperlink>
      <w:r w:rsidRPr="00A12246">
        <w:rPr>
          <w:rFonts w:ascii="Cambria" w:eastAsia="Cambria" w:hAnsi="Cambria" w:cs="Cambria"/>
          <w:sz w:val="20"/>
          <w:szCs w:val="20"/>
          <w:lang w:val="es-419"/>
        </w:rPr>
        <w:t> y </w:t>
      </w:r>
      <w:hyperlink r:id="rId13" w:tgtFrame="_Blank" w:history="1">
        <w:r w:rsidRPr="00A12246">
          <w:rPr>
            <w:rStyle w:val="Hyperlink"/>
            <w:rFonts w:ascii="Cambria" w:eastAsia="Cambria" w:hAnsi="Cambria" w:cs="Cambria"/>
            <w:sz w:val="20"/>
            <w:szCs w:val="20"/>
            <w:lang w:val="es-419"/>
          </w:rPr>
          <w:t>Resolución 35/2021 del 23 de abril de 2021</w:t>
        </w:r>
      </w:hyperlink>
      <w:r w:rsidRPr="00A12246">
        <w:rPr>
          <w:rFonts w:ascii="Cambria" w:eastAsia="Cambria" w:hAnsi="Cambria" w:cs="Cambria"/>
          <w:sz w:val="20"/>
          <w:szCs w:val="20"/>
          <w:lang w:val="es-419"/>
        </w:rPr>
        <w:t>. La CIDH emitió resolución de seguimiento a dichas medidas mediante la cual mantuvo vigente las medidas por los desafíos y situación de gravedad y urgencia que aún persisten. Por tanto decidió que el Estado debe continuar adoptando las medidas necesarias para garantizar la vida e integridad personal de las personas beneficiarias y  sobre el nivel de implementación de las medidas adoptadas</w:t>
      </w:r>
      <w:r w:rsidRPr="00A12246">
        <w:rPr>
          <w:rFonts w:ascii="Cambria" w:eastAsia="Cambria" w:hAnsi="Cambria" w:cs="Cambria"/>
          <w:sz w:val="20"/>
          <w:szCs w:val="20"/>
          <w:vertAlign w:val="superscript"/>
          <w:lang w:val="es-419"/>
        </w:rPr>
        <w:footnoteReference w:id="317"/>
      </w:r>
      <w:r w:rsidRPr="00A12246">
        <w:rPr>
          <w:rFonts w:ascii="Cambria" w:eastAsia="Cambria" w:hAnsi="Cambria" w:cs="Cambria"/>
          <w:sz w:val="20"/>
          <w:szCs w:val="20"/>
          <w:lang w:val="es-419"/>
        </w:rPr>
        <w:t>.</w:t>
      </w:r>
    </w:p>
    <w:p w14:paraId="785C47C8" w14:textId="0DC21812" w:rsidR="00A12246" w:rsidRPr="00A12246" w:rsidRDefault="00A12246" w:rsidP="00A12246">
      <w:pPr>
        <w:numPr>
          <w:ilvl w:val="0"/>
          <w:numId w:val="5"/>
        </w:numPr>
        <w:shd w:val="clear" w:color="auto" w:fill="FFFFFF"/>
        <w:spacing w:after="240" w:line="240" w:lineRule="auto"/>
        <w:ind w:left="0" w:firstLine="720"/>
        <w:jc w:val="both"/>
        <w:rPr>
          <w:rFonts w:ascii="Cambria" w:eastAsia="Cambria" w:hAnsi="Cambria" w:cs="Cambria"/>
          <w:sz w:val="20"/>
          <w:szCs w:val="20"/>
          <w:lang w:val="es-419"/>
        </w:rPr>
      </w:pPr>
      <w:r w:rsidRPr="00A12246">
        <w:rPr>
          <w:rFonts w:ascii="Cambria" w:eastAsia="Cambria" w:hAnsi="Cambria" w:cs="Cambria"/>
          <w:sz w:val="20"/>
          <w:szCs w:val="20"/>
          <w:lang w:val="es-419"/>
        </w:rPr>
        <w:t xml:space="preserve">Por lo anterior, la CIDH mantiene que la presente recomendación se encuentra aún en cumplimiento parcial. </w:t>
      </w:r>
    </w:p>
    <w:p w14:paraId="3A23F3C5" w14:textId="04315C57" w:rsidR="00DE6FB0" w:rsidRDefault="007E25FF" w:rsidP="00DE6FB0">
      <w:pPr>
        <w:numPr>
          <w:ilvl w:val="0"/>
          <w:numId w:val="5"/>
        </w:numPr>
        <w:shd w:val="clear" w:color="auto" w:fill="FFFFFF"/>
        <w:spacing w:after="240" w:line="240" w:lineRule="auto"/>
        <w:ind w:left="0" w:firstLine="720"/>
        <w:jc w:val="both"/>
        <w:rPr>
          <w:rFonts w:ascii="Cambria" w:eastAsia="Cambria" w:hAnsi="Cambria" w:cs="Cambria"/>
          <w:sz w:val="20"/>
          <w:szCs w:val="20"/>
          <w:lang w:val="es-419"/>
        </w:rPr>
      </w:pPr>
      <w:r w:rsidRPr="006E662D">
        <w:rPr>
          <w:rFonts w:ascii="Cambria" w:eastAsia="Cambria" w:hAnsi="Cambria" w:cs="Cambria"/>
          <w:sz w:val="20"/>
          <w:szCs w:val="20"/>
          <w:lang w:val="es-MX"/>
        </w:rPr>
        <w:t xml:space="preserve">Respecto de la recomendación de </w:t>
      </w:r>
      <w:r w:rsidRPr="006E662D">
        <w:rPr>
          <w:rFonts w:ascii="Cambria" w:eastAsia="Cambria" w:hAnsi="Cambria" w:cs="Cambria"/>
          <w:b/>
          <w:bCs/>
          <w:sz w:val="20"/>
          <w:szCs w:val="20"/>
          <w:lang w:val="es-MX"/>
        </w:rPr>
        <w:t xml:space="preserve">garantizar la disponibilidad de </w:t>
      </w:r>
      <w:r w:rsidR="00A61ED1">
        <w:rPr>
          <w:rFonts w:ascii="Cambria" w:eastAsia="Cambria" w:hAnsi="Cambria" w:cs="Cambria"/>
          <w:b/>
          <w:bCs/>
          <w:sz w:val="20"/>
          <w:szCs w:val="20"/>
          <w:lang w:val="es-MX"/>
        </w:rPr>
        <w:t>personas</w:t>
      </w:r>
      <w:r w:rsidRPr="006E662D">
        <w:rPr>
          <w:rFonts w:ascii="Cambria" w:eastAsia="Cambria" w:hAnsi="Cambria" w:cs="Cambria"/>
          <w:b/>
          <w:bCs/>
          <w:sz w:val="20"/>
          <w:szCs w:val="20"/>
          <w:lang w:val="es-MX"/>
        </w:rPr>
        <w:t xml:space="preserve"> traductor</w:t>
      </w:r>
      <w:r w:rsidR="00A61ED1">
        <w:rPr>
          <w:rFonts w:ascii="Cambria" w:eastAsia="Cambria" w:hAnsi="Cambria" w:cs="Cambria"/>
          <w:b/>
          <w:bCs/>
          <w:sz w:val="20"/>
          <w:szCs w:val="20"/>
          <w:lang w:val="es-MX"/>
        </w:rPr>
        <w:t>a</w:t>
      </w:r>
      <w:r w:rsidRPr="006E662D">
        <w:rPr>
          <w:rFonts w:ascii="Cambria" w:eastAsia="Cambria" w:hAnsi="Cambria" w:cs="Cambria"/>
          <w:b/>
          <w:bCs/>
          <w:sz w:val="20"/>
          <w:szCs w:val="20"/>
          <w:lang w:val="es-MX"/>
        </w:rPr>
        <w:t>s</w:t>
      </w:r>
      <w:r w:rsidRPr="006E662D">
        <w:rPr>
          <w:rFonts w:ascii="Cambria" w:eastAsia="Cambria" w:hAnsi="Cambria" w:cs="Cambria"/>
          <w:sz w:val="20"/>
          <w:szCs w:val="20"/>
          <w:lang w:val="es-MX"/>
        </w:rPr>
        <w:t xml:space="preserve"> </w:t>
      </w:r>
      <w:r w:rsidR="00DE6FB0" w:rsidRPr="006E662D">
        <w:rPr>
          <w:rFonts w:ascii="Cambria" w:eastAsia="Cambria" w:hAnsi="Cambria" w:cs="Cambria"/>
          <w:sz w:val="20"/>
          <w:szCs w:val="20"/>
          <w:lang w:val="es-419"/>
        </w:rPr>
        <w:t>el Estado informó que el Instituto Federal de la Defensoría Pública (IFDP) tiene la capacidad de atender personas en 14</w:t>
      </w:r>
      <w:r w:rsidR="002F1A6A">
        <w:rPr>
          <w:rFonts w:ascii="Cambria" w:eastAsia="Cambria" w:hAnsi="Cambria" w:cs="Cambria"/>
          <w:sz w:val="20"/>
          <w:szCs w:val="20"/>
          <w:lang w:val="es-419"/>
        </w:rPr>
        <w:t>8</w:t>
      </w:r>
      <w:r w:rsidR="00DE6FB0" w:rsidRPr="006E662D">
        <w:rPr>
          <w:rFonts w:ascii="Cambria" w:eastAsia="Cambria" w:hAnsi="Cambria" w:cs="Cambria"/>
          <w:sz w:val="20"/>
          <w:szCs w:val="20"/>
          <w:lang w:val="es-419"/>
        </w:rPr>
        <w:t xml:space="preserve"> distintas lenguas indígenas y cuenta con </w:t>
      </w:r>
      <w:r w:rsidR="002F1A6A">
        <w:rPr>
          <w:rFonts w:ascii="Cambria" w:eastAsia="Cambria" w:hAnsi="Cambria" w:cs="Cambria"/>
          <w:sz w:val="20"/>
          <w:szCs w:val="20"/>
          <w:lang w:val="es-419"/>
        </w:rPr>
        <w:t>11</w:t>
      </w:r>
      <w:r w:rsidR="00DE6FB0" w:rsidRPr="006E662D">
        <w:rPr>
          <w:rFonts w:ascii="Cambria" w:eastAsia="Cambria" w:hAnsi="Cambria" w:cs="Cambria"/>
          <w:sz w:val="20"/>
          <w:szCs w:val="20"/>
          <w:lang w:val="es-419"/>
        </w:rPr>
        <w:t xml:space="preserve"> personas asesoras jurídicas y </w:t>
      </w:r>
      <w:r w:rsidR="002F1A6A">
        <w:rPr>
          <w:rFonts w:ascii="Cambria" w:eastAsia="Cambria" w:hAnsi="Cambria" w:cs="Cambria"/>
          <w:sz w:val="20"/>
          <w:szCs w:val="20"/>
          <w:lang w:val="es-419"/>
        </w:rPr>
        <w:t>13</w:t>
      </w:r>
      <w:r w:rsidR="00DE6FB0" w:rsidRPr="006E662D">
        <w:rPr>
          <w:rFonts w:ascii="Cambria" w:eastAsia="Cambria" w:hAnsi="Cambria" w:cs="Cambria"/>
          <w:sz w:val="20"/>
          <w:szCs w:val="20"/>
          <w:lang w:val="es-419"/>
        </w:rPr>
        <w:t xml:space="preserve"> oficiales administrativos bilingües para brindar servicios en materia civil, mercantil, fiscal, administrativa, entre otras</w:t>
      </w:r>
      <w:r w:rsidR="00DE6FB0" w:rsidRPr="006E662D">
        <w:rPr>
          <w:rFonts w:ascii="Cambria" w:eastAsia="Cambria" w:hAnsi="Cambria" w:cs="Cambria"/>
          <w:sz w:val="20"/>
          <w:szCs w:val="20"/>
          <w:vertAlign w:val="superscript"/>
          <w:lang w:val="es-419"/>
        </w:rPr>
        <w:footnoteReference w:id="318"/>
      </w:r>
      <w:r w:rsidR="00DE6FB0" w:rsidRPr="006E662D">
        <w:rPr>
          <w:rFonts w:ascii="Cambria" w:eastAsia="Cambria" w:hAnsi="Cambria" w:cs="Cambria"/>
          <w:sz w:val="20"/>
          <w:szCs w:val="20"/>
          <w:lang w:val="es-419"/>
        </w:rPr>
        <w:t xml:space="preserve">. </w:t>
      </w:r>
      <w:r w:rsidR="000028C2" w:rsidRPr="009B7A12">
        <w:rPr>
          <w:rFonts w:ascii="Cambria" w:eastAsia="Cambria" w:hAnsi="Cambria" w:cs="Cambria"/>
          <w:sz w:val="20"/>
          <w:szCs w:val="20"/>
          <w:lang w:val="es-419"/>
        </w:rPr>
        <w:t xml:space="preserve">La CNDH </w:t>
      </w:r>
      <w:r w:rsidR="000028C2">
        <w:rPr>
          <w:rFonts w:ascii="Cambria" w:eastAsia="Cambria" w:hAnsi="Cambria" w:cs="Cambria"/>
          <w:sz w:val="20"/>
          <w:szCs w:val="20"/>
          <w:lang w:val="es-419"/>
        </w:rPr>
        <w:t>informó de</w:t>
      </w:r>
      <w:r w:rsidR="000028C2" w:rsidRPr="009B7A12">
        <w:rPr>
          <w:rFonts w:ascii="Cambria" w:eastAsia="Cambria" w:hAnsi="Cambria" w:cs="Cambria"/>
          <w:sz w:val="20"/>
          <w:szCs w:val="20"/>
          <w:lang w:val="es-419"/>
        </w:rPr>
        <w:t xml:space="preserve"> la </w:t>
      </w:r>
      <w:r w:rsidR="000028C2">
        <w:rPr>
          <w:rFonts w:ascii="Cambria" w:eastAsia="Cambria" w:hAnsi="Cambria" w:cs="Cambria"/>
          <w:sz w:val="20"/>
          <w:szCs w:val="20"/>
          <w:lang w:val="es-419"/>
        </w:rPr>
        <w:t xml:space="preserve">formulación de la </w:t>
      </w:r>
      <w:r w:rsidR="000028C2" w:rsidRPr="009B7A12">
        <w:rPr>
          <w:rFonts w:ascii="Cambria" w:eastAsia="Cambria" w:hAnsi="Cambria" w:cs="Cambria"/>
          <w:sz w:val="20"/>
          <w:szCs w:val="20"/>
          <w:lang w:val="es-419"/>
        </w:rPr>
        <w:t xml:space="preserve">Recomendación General 45/2021, “Sobre el Derecho de las personas indígenas sujetas a un procedimiento penal a ser asistidas por personas intérpretes, traductoras y defensoras, que tengan conocimiento de su lengua y cultura”, aprobada </w:t>
      </w:r>
      <w:r w:rsidR="000028C2">
        <w:rPr>
          <w:rFonts w:ascii="Cambria" w:eastAsia="Cambria" w:hAnsi="Cambria" w:cs="Cambria"/>
          <w:sz w:val="20"/>
          <w:szCs w:val="20"/>
          <w:lang w:val="es-419"/>
        </w:rPr>
        <w:t>el</w:t>
      </w:r>
      <w:r w:rsidR="000028C2" w:rsidRPr="009B7A12">
        <w:rPr>
          <w:rFonts w:ascii="Cambria" w:eastAsia="Cambria" w:hAnsi="Cambria" w:cs="Cambria"/>
          <w:sz w:val="20"/>
          <w:szCs w:val="20"/>
          <w:lang w:val="es-419"/>
        </w:rPr>
        <w:t xml:space="preserve"> 19 de octubre de 2021</w:t>
      </w:r>
      <w:r w:rsidR="000028C2">
        <w:rPr>
          <w:rStyle w:val="FootnoteReference"/>
          <w:rFonts w:ascii="Cambria" w:eastAsia="Cambria" w:hAnsi="Cambria" w:cs="Cambria"/>
          <w:sz w:val="20"/>
          <w:szCs w:val="20"/>
          <w:lang w:val="es-419"/>
        </w:rPr>
        <w:footnoteReference w:id="319"/>
      </w:r>
      <w:r w:rsidR="000028C2" w:rsidRPr="009B7A12">
        <w:rPr>
          <w:rFonts w:ascii="Cambria" w:eastAsia="Cambria" w:hAnsi="Cambria" w:cs="Cambria"/>
          <w:sz w:val="20"/>
          <w:szCs w:val="20"/>
          <w:lang w:val="es-419"/>
        </w:rPr>
        <w:t>.</w:t>
      </w:r>
    </w:p>
    <w:p w14:paraId="104BA68F" w14:textId="46535032" w:rsidR="00DE6FB0" w:rsidRPr="00DE6FB0" w:rsidRDefault="00DE6FB0" w:rsidP="00DE6FB0">
      <w:pPr>
        <w:numPr>
          <w:ilvl w:val="0"/>
          <w:numId w:val="5"/>
        </w:numPr>
        <w:shd w:val="clear" w:color="auto" w:fill="FFFFFF"/>
        <w:spacing w:after="240" w:line="240" w:lineRule="auto"/>
        <w:ind w:left="0" w:firstLine="720"/>
        <w:jc w:val="both"/>
        <w:rPr>
          <w:rFonts w:ascii="Cambria" w:eastAsia="Cambria" w:hAnsi="Cambria" w:cs="Cambria"/>
          <w:sz w:val="20"/>
          <w:szCs w:val="20"/>
          <w:lang w:val="es-419"/>
        </w:rPr>
      </w:pPr>
      <w:r w:rsidRPr="00DE6FB0">
        <w:rPr>
          <w:rFonts w:ascii="Cambria" w:eastAsia="Cambria" w:hAnsi="Cambria" w:cs="Cambria"/>
          <w:sz w:val="20"/>
          <w:szCs w:val="20"/>
          <w:lang w:val="es-419"/>
        </w:rPr>
        <w:t xml:space="preserve">Al respecto, la CIDH toma nota del aumento de lenguas indígenas en las que IFDP puede brindar atención jurídica, de 29 lenguas indígenas en 2018, 97 en 2019, 142 en 2020 y 147 en 2020. Asimismo, </w:t>
      </w:r>
      <w:r w:rsidR="008E7991">
        <w:rPr>
          <w:rFonts w:ascii="Cambria" w:eastAsia="Cambria" w:hAnsi="Cambria" w:cs="Cambria"/>
          <w:sz w:val="20"/>
          <w:szCs w:val="20"/>
          <w:lang w:val="es-419"/>
        </w:rPr>
        <w:t>observa</w:t>
      </w:r>
      <w:r w:rsidRPr="00DE6FB0">
        <w:rPr>
          <w:rFonts w:ascii="Cambria" w:eastAsia="Cambria" w:hAnsi="Cambria" w:cs="Cambria"/>
          <w:sz w:val="20"/>
          <w:szCs w:val="20"/>
          <w:lang w:val="es-419"/>
        </w:rPr>
        <w:t xml:space="preserve"> que el IFDP cuenta con la traducción de la Ley de Amnistía a 22 variantes lingüisticas, así como de los esfuerzos para invitar a las </w:t>
      </w:r>
      <w:r w:rsidR="00303BE8">
        <w:rPr>
          <w:rFonts w:ascii="Cambria" w:eastAsia="Cambria" w:hAnsi="Cambria" w:cs="Cambria"/>
          <w:sz w:val="20"/>
          <w:szCs w:val="20"/>
          <w:lang w:val="es-419"/>
        </w:rPr>
        <w:t>personas</w:t>
      </w:r>
      <w:r w:rsidRPr="00DE6FB0">
        <w:rPr>
          <w:rFonts w:ascii="Cambria" w:eastAsia="Cambria" w:hAnsi="Cambria" w:cs="Cambria"/>
          <w:sz w:val="20"/>
          <w:szCs w:val="20"/>
          <w:lang w:val="es-419"/>
        </w:rPr>
        <w:t xml:space="preserve"> integrantes de pueblos indígenas interesados acercarse al IFDP para realizar su solicitud de amnistía bajo dicha normativa</w:t>
      </w:r>
      <w:r w:rsidRPr="00DE6FB0">
        <w:rPr>
          <w:rFonts w:ascii="Cambria" w:eastAsia="Cambria" w:hAnsi="Cambria" w:cs="Cambria"/>
          <w:sz w:val="20"/>
          <w:szCs w:val="20"/>
          <w:vertAlign w:val="superscript"/>
          <w:lang w:val="es-419"/>
        </w:rPr>
        <w:footnoteReference w:id="320"/>
      </w:r>
      <w:r w:rsidRPr="00DE6FB0">
        <w:rPr>
          <w:rFonts w:ascii="Cambria" w:eastAsia="Cambria" w:hAnsi="Cambria" w:cs="Cambria"/>
          <w:sz w:val="20"/>
          <w:szCs w:val="20"/>
          <w:lang w:val="es-419"/>
        </w:rPr>
        <w:t xml:space="preserve">. </w:t>
      </w:r>
      <w:r w:rsidR="005F4474">
        <w:rPr>
          <w:rFonts w:ascii="Cambria" w:eastAsia="Cambria" w:hAnsi="Cambria" w:cs="Cambria"/>
          <w:sz w:val="20"/>
          <w:szCs w:val="20"/>
          <w:lang w:val="es-419"/>
        </w:rPr>
        <w:t>La CIDH observa</w:t>
      </w:r>
      <w:r w:rsidRPr="00DE6FB0">
        <w:rPr>
          <w:rFonts w:ascii="Cambria" w:eastAsia="Cambria" w:hAnsi="Cambria" w:cs="Cambria"/>
          <w:sz w:val="20"/>
          <w:szCs w:val="20"/>
          <w:lang w:val="es-419"/>
        </w:rPr>
        <w:t xml:space="preserve"> también de las visitas que el personal bilingüe del IFDP realizó a diversas comunidades indígenas para informar acerca de los servicios que brinda este Instituto</w:t>
      </w:r>
      <w:r w:rsidRPr="00DE6FB0">
        <w:rPr>
          <w:rFonts w:ascii="Cambria" w:eastAsia="Cambria" w:hAnsi="Cambria" w:cs="Cambria"/>
          <w:sz w:val="20"/>
          <w:szCs w:val="20"/>
          <w:vertAlign w:val="superscript"/>
          <w:lang w:val="es-419"/>
        </w:rPr>
        <w:footnoteReference w:id="321"/>
      </w:r>
      <w:r w:rsidRPr="00DE6FB0">
        <w:rPr>
          <w:rFonts w:ascii="Cambria" w:eastAsia="Cambria" w:hAnsi="Cambria" w:cs="Cambria"/>
          <w:sz w:val="20"/>
          <w:szCs w:val="20"/>
          <w:lang w:val="es-419"/>
        </w:rPr>
        <w:t xml:space="preserve">. Si bien, la CIDH valora los esfuerzos realizados con respecto a la disponibilidad de </w:t>
      </w:r>
      <w:r w:rsidR="00FE72FA">
        <w:rPr>
          <w:rFonts w:ascii="Cambria" w:eastAsia="Cambria" w:hAnsi="Cambria" w:cs="Cambria"/>
          <w:sz w:val="20"/>
          <w:szCs w:val="20"/>
          <w:lang w:val="es-419"/>
        </w:rPr>
        <w:t xml:space="preserve">personas </w:t>
      </w:r>
      <w:r w:rsidRPr="00DE6FB0">
        <w:rPr>
          <w:rFonts w:ascii="Cambria" w:eastAsia="Cambria" w:hAnsi="Cambria" w:cs="Cambria"/>
          <w:sz w:val="20"/>
          <w:szCs w:val="20"/>
          <w:lang w:val="es-419"/>
        </w:rPr>
        <w:t>traductor</w:t>
      </w:r>
      <w:r w:rsidR="00FE72FA">
        <w:rPr>
          <w:rFonts w:ascii="Cambria" w:eastAsia="Cambria" w:hAnsi="Cambria" w:cs="Cambria"/>
          <w:sz w:val="20"/>
          <w:szCs w:val="20"/>
          <w:lang w:val="es-419"/>
        </w:rPr>
        <w:t>a</w:t>
      </w:r>
      <w:r w:rsidRPr="00DE6FB0">
        <w:rPr>
          <w:rFonts w:ascii="Cambria" w:eastAsia="Cambria" w:hAnsi="Cambria" w:cs="Cambria"/>
          <w:sz w:val="20"/>
          <w:szCs w:val="20"/>
          <w:lang w:val="es-419"/>
        </w:rPr>
        <w:t xml:space="preserve">s, observa la necesidad de contar con información precisa sobre la distribución geográfica de los servicios de interpretación a lenguas indígenas, asesoría jurídica y de oficiales administrativos que menciona el Estado para poder evaluar su disponibilidad en el territorio nacional. </w:t>
      </w:r>
    </w:p>
    <w:p w14:paraId="41417532" w14:textId="32CB51B5" w:rsidR="00DE6FB0" w:rsidRPr="00DE6FB0" w:rsidRDefault="00DE6FB0" w:rsidP="00DE6FB0">
      <w:pPr>
        <w:numPr>
          <w:ilvl w:val="0"/>
          <w:numId w:val="5"/>
        </w:numPr>
        <w:shd w:val="clear" w:color="auto" w:fill="FFFFFF"/>
        <w:spacing w:after="240" w:line="240" w:lineRule="auto"/>
        <w:ind w:left="0" w:firstLine="720"/>
        <w:jc w:val="both"/>
        <w:rPr>
          <w:rFonts w:ascii="Cambria" w:eastAsia="Cambria" w:hAnsi="Cambria" w:cs="Cambria"/>
          <w:sz w:val="20"/>
          <w:szCs w:val="20"/>
          <w:lang w:val="es-419"/>
        </w:rPr>
      </w:pPr>
      <w:r w:rsidRPr="00DE6FB0">
        <w:rPr>
          <w:rFonts w:ascii="Cambria" w:eastAsia="Cambria" w:hAnsi="Cambria" w:cs="Cambria"/>
          <w:sz w:val="20"/>
          <w:szCs w:val="20"/>
          <w:lang w:val="es-419"/>
        </w:rPr>
        <w:t xml:space="preserve">Con respecto a lo anterior, la CIDH toma nota que según la CNDH en los 288 Centros de Reinserción Social en el país, 7,227 personas (3.29%) de la población penitenciaria se autodenominan indígenas, el 96 por ciento de las cuales son hombres, el resto mujeres, y se encuentran concentradas principalmente en los estados de </w:t>
      </w:r>
      <w:r w:rsidR="001E7201" w:rsidRPr="00DE6FB0">
        <w:rPr>
          <w:rFonts w:ascii="Cambria" w:eastAsia="Cambria" w:hAnsi="Cambria" w:cs="Cambria"/>
          <w:sz w:val="20"/>
          <w:szCs w:val="20"/>
          <w:lang w:val="es-419"/>
        </w:rPr>
        <w:t>Chiapas, Chihuahua</w:t>
      </w:r>
      <w:r w:rsidR="009D2161">
        <w:rPr>
          <w:rFonts w:ascii="Cambria" w:eastAsia="Cambria" w:hAnsi="Cambria" w:cs="Cambria"/>
          <w:sz w:val="20"/>
          <w:szCs w:val="20"/>
          <w:lang w:val="es-419"/>
        </w:rPr>
        <w:t xml:space="preserve">, </w:t>
      </w:r>
      <w:r w:rsidR="001E7201" w:rsidRPr="00DE6FB0">
        <w:rPr>
          <w:rFonts w:ascii="Cambria" w:eastAsia="Cambria" w:hAnsi="Cambria" w:cs="Cambria"/>
          <w:sz w:val="20"/>
          <w:szCs w:val="20"/>
          <w:lang w:val="es-419"/>
        </w:rPr>
        <w:t>Guerrero</w:t>
      </w:r>
      <w:r w:rsidR="001E7201">
        <w:rPr>
          <w:rFonts w:ascii="Cambria" w:eastAsia="Cambria" w:hAnsi="Cambria" w:cs="Cambria"/>
          <w:sz w:val="20"/>
          <w:szCs w:val="20"/>
          <w:lang w:val="es-419"/>
        </w:rPr>
        <w:t xml:space="preserve">, </w:t>
      </w:r>
      <w:r w:rsidRPr="00DE6FB0">
        <w:rPr>
          <w:rFonts w:ascii="Cambria" w:eastAsia="Cambria" w:hAnsi="Cambria" w:cs="Cambria"/>
          <w:sz w:val="20"/>
          <w:szCs w:val="20"/>
          <w:lang w:val="es-419"/>
        </w:rPr>
        <w:t>Oaxaca, Puebla</w:t>
      </w:r>
      <w:r w:rsidR="009D2161">
        <w:rPr>
          <w:rFonts w:ascii="Cambria" w:eastAsia="Cambria" w:hAnsi="Cambria" w:cs="Cambria"/>
          <w:sz w:val="20"/>
          <w:szCs w:val="20"/>
          <w:lang w:val="es-419"/>
        </w:rPr>
        <w:t xml:space="preserve"> y</w:t>
      </w:r>
      <w:r w:rsidRPr="00DE6FB0">
        <w:rPr>
          <w:rFonts w:ascii="Cambria" w:eastAsia="Cambria" w:hAnsi="Cambria" w:cs="Cambria"/>
          <w:sz w:val="20"/>
          <w:szCs w:val="20"/>
          <w:lang w:val="es-419"/>
        </w:rPr>
        <w:t xml:space="preserve"> Veracruz</w:t>
      </w:r>
      <w:r w:rsidRPr="00DE6FB0">
        <w:rPr>
          <w:rFonts w:ascii="Cambria" w:eastAsia="Cambria" w:hAnsi="Cambria" w:cs="Cambria"/>
          <w:sz w:val="20"/>
          <w:szCs w:val="20"/>
          <w:vertAlign w:val="superscript"/>
          <w:lang w:val="es-419"/>
        </w:rPr>
        <w:footnoteReference w:id="322"/>
      </w:r>
      <w:r w:rsidRPr="00DE6FB0">
        <w:rPr>
          <w:rFonts w:ascii="Cambria" w:eastAsia="Cambria" w:hAnsi="Cambria" w:cs="Cambria"/>
          <w:sz w:val="20"/>
          <w:szCs w:val="20"/>
          <w:lang w:val="es-419"/>
        </w:rPr>
        <w:t>.  En una reciente recomendación general, la CNDH observó, entre otros problemas, que: la mayoría de las personas indígenas acusadas de un delito, están sujetas, en la mayoría de los casos, a enfrentar procedimientos sin comprender los motivos que lo originan y su desarrollo; los servicios de asesoría brindados por el Instituto Federal de la Defensoría Pública quedan supeditados a la celebración de convenios de colaboración, por lo que requiere de personas intérpretes y traductoras que estén a su cargo para cumplir con su mandato de prestar el servicio de defensoría pública con perspectiva de género, interseccionalidad e interculturalidad; se requiere “un desarrollo normativo y expreso sobre quién debe proporcionar y garantizar el servicio de persona traductora y/o intérprete”; y “se requieren mejorar los esquemas de operación de las instituciones de procuración y administración de justicia, para que las personas servidoras públicas conozcan los derechos lingüísticos de las personas indígenas, particularmente las que se encuentran sujetas a un procedimiento penal”</w:t>
      </w:r>
      <w:r w:rsidRPr="00DE6FB0">
        <w:rPr>
          <w:rFonts w:ascii="Cambria" w:eastAsia="Cambria" w:hAnsi="Cambria" w:cs="Cambria"/>
          <w:sz w:val="20"/>
          <w:szCs w:val="20"/>
          <w:vertAlign w:val="superscript"/>
          <w:lang w:val="es-419"/>
        </w:rPr>
        <w:footnoteReference w:id="323"/>
      </w:r>
      <w:r w:rsidRPr="00DE6FB0">
        <w:rPr>
          <w:rFonts w:ascii="Cambria" w:eastAsia="Cambria" w:hAnsi="Cambria" w:cs="Cambria"/>
          <w:sz w:val="20"/>
          <w:szCs w:val="20"/>
          <w:lang w:val="es-419"/>
        </w:rPr>
        <w:t>. En esa línea, sus recomendaciones se centraron en la necesidad de una iniciativa de ley consultada debidamente con los pueblos indígenas para que “se faculte o en su caso, se establezca una instancia u organismo especializado con capacidad operativa, técnica y presupuestaria que proporcione de forma gratuita, la asistencia de personas intérpretes, traductoras y defensoras, a las personas indígenas sujetas a un procedimiento penal”</w:t>
      </w:r>
      <w:r w:rsidRPr="00DE6FB0">
        <w:rPr>
          <w:rFonts w:ascii="Cambria" w:eastAsia="Cambria" w:hAnsi="Cambria" w:cs="Cambria"/>
          <w:sz w:val="20"/>
          <w:szCs w:val="20"/>
          <w:vertAlign w:val="superscript"/>
          <w:lang w:val="es-419"/>
        </w:rPr>
        <w:footnoteReference w:id="324"/>
      </w:r>
      <w:r w:rsidRPr="00DE6FB0">
        <w:rPr>
          <w:rFonts w:ascii="Cambria" w:eastAsia="Cambria" w:hAnsi="Cambria" w:cs="Cambria"/>
          <w:sz w:val="20"/>
          <w:szCs w:val="20"/>
          <w:lang w:val="es-419"/>
        </w:rPr>
        <w:t xml:space="preserve">. </w:t>
      </w:r>
    </w:p>
    <w:p w14:paraId="14606AAC" w14:textId="70059C85" w:rsidR="002277F5" w:rsidRPr="006E662D" w:rsidRDefault="00DE6FB0" w:rsidP="006E662D">
      <w:pPr>
        <w:numPr>
          <w:ilvl w:val="0"/>
          <w:numId w:val="5"/>
        </w:numPr>
        <w:shd w:val="clear" w:color="auto" w:fill="FFFFFF"/>
        <w:spacing w:after="240" w:line="240" w:lineRule="auto"/>
        <w:ind w:left="0" w:firstLine="720"/>
        <w:jc w:val="both"/>
        <w:rPr>
          <w:rFonts w:ascii="Cambria" w:eastAsia="Cambria" w:hAnsi="Cambria" w:cs="Cambria"/>
          <w:sz w:val="20"/>
          <w:szCs w:val="20"/>
          <w:lang w:val="es-419"/>
        </w:rPr>
      </w:pPr>
      <w:r w:rsidRPr="00DE6FB0">
        <w:rPr>
          <w:rFonts w:ascii="Cambria" w:eastAsia="Cambria" w:hAnsi="Cambria" w:cs="Cambria"/>
          <w:sz w:val="20"/>
          <w:szCs w:val="20"/>
          <w:lang w:val="es-419"/>
        </w:rPr>
        <w:t>Por lo anteriormente expuesto, la CIDH encuentra que la recomendación se encuentra en cumplimiento parcial.</w:t>
      </w:r>
    </w:p>
    <w:p w14:paraId="62A20D70" w14:textId="76FA545E" w:rsidR="001A4D24" w:rsidRPr="0059142D" w:rsidRDefault="007E25FF" w:rsidP="001A4D24">
      <w:pPr>
        <w:numPr>
          <w:ilvl w:val="0"/>
          <w:numId w:val="5"/>
        </w:numPr>
        <w:shd w:val="clear" w:color="auto" w:fill="FFFFFF"/>
        <w:spacing w:after="0" w:line="240" w:lineRule="auto"/>
        <w:ind w:left="0" w:firstLine="720"/>
        <w:jc w:val="both"/>
        <w:rPr>
          <w:rFonts w:ascii="Cambria" w:eastAsia="Cambria" w:hAnsi="Cambria" w:cs="Cambria"/>
          <w:sz w:val="20"/>
          <w:szCs w:val="20"/>
          <w:lang w:val="es-419"/>
        </w:rPr>
      </w:pPr>
      <w:r w:rsidRPr="0059142D">
        <w:rPr>
          <w:rFonts w:ascii="Cambria" w:eastAsia="Cambria" w:hAnsi="Cambria" w:cs="Cambria"/>
          <w:sz w:val="20"/>
          <w:szCs w:val="20"/>
          <w:lang w:val="es-MX"/>
        </w:rPr>
        <w:t xml:space="preserve">Sobre la recomendación de </w:t>
      </w:r>
      <w:r w:rsidRPr="0059142D">
        <w:rPr>
          <w:rFonts w:ascii="Cambria" w:eastAsia="Cambria" w:hAnsi="Cambria" w:cs="Cambria"/>
          <w:b/>
          <w:sz w:val="20"/>
          <w:szCs w:val="20"/>
          <w:lang w:val="es-MX"/>
        </w:rPr>
        <w:t>adoptar medidas necesarias para realizar consultas libres, previas e informadas</w:t>
      </w:r>
      <w:r w:rsidRPr="0059142D">
        <w:rPr>
          <w:rFonts w:ascii="Cambria" w:eastAsia="Cambria" w:hAnsi="Cambria" w:cs="Cambria"/>
          <w:sz w:val="20"/>
          <w:szCs w:val="20"/>
          <w:lang w:val="es-MX"/>
        </w:rPr>
        <w:t xml:space="preserve">, </w:t>
      </w:r>
      <w:r w:rsidR="001A4D24" w:rsidRPr="0059142D">
        <w:rPr>
          <w:rFonts w:ascii="Cambria" w:eastAsia="Cambria" w:hAnsi="Cambria" w:cs="Cambria"/>
          <w:sz w:val="20"/>
          <w:szCs w:val="20"/>
          <w:lang w:val="es-419"/>
        </w:rPr>
        <w:t>el Estado informó que continúa brindando asistencia técnica y metodológica para el desarrollo de protocolos para la implementación de consultas.  Asimismo, manifiesta que la obligación de llevar a cabo consultas en proyectos de hidrocarburos y de industria eléctrica continúa vigente con la finalidad de no afectar los derechos e intereses de comunidades indígenas</w:t>
      </w:r>
      <w:r w:rsidR="001A4D24" w:rsidRPr="0059142D">
        <w:rPr>
          <w:rFonts w:ascii="Cambria" w:eastAsia="Cambria" w:hAnsi="Cambria" w:cs="Cambria"/>
          <w:sz w:val="20"/>
          <w:szCs w:val="20"/>
          <w:vertAlign w:val="superscript"/>
          <w:lang w:val="es-419"/>
        </w:rPr>
        <w:footnoteReference w:id="325"/>
      </w:r>
      <w:r w:rsidR="001A4D24" w:rsidRPr="0059142D">
        <w:rPr>
          <w:rFonts w:ascii="Cambria" w:eastAsia="Cambria" w:hAnsi="Cambria" w:cs="Cambria"/>
          <w:sz w:val="20"/>
          <w:szCs w:val="20"/>
          <w:lang w:val="es-419"/>
        </w:rPr>
        <w:t>.</w:t>
      </w:r>
    </w:p>
    <w:p w14:paraId="7265A194" w14:textId="77777777" w:rsidR="00820075" w:rsidRPr="0059142D" w:rsidRDefault="00820075" w:rsidP="00820075">
      <w:pPr>
        <w:shd w:val="clear" w:color="auto" w:fill="FFFFFF"/>
        <w:spacing w:after="0" w:line="240" w:lineRule="auto"/>
        <w:ind w:left="720"/>
        <w:jc w:val="both"/>
        <w:rPr>
          <w:rFonts w:ascii="Cambria" w:eastAsia="Cambria" w:hAnsi="Cambria" w:cs="Cambria"/>
          <w:sz w:val="20"/>
          <w:szCs w:val="20"/>
          <w:lang w:val="es-419"/>
        </w:rPr>
      </w:pPr>
    </w:p>
    <w:p w14:paraId="7DEA6544" w14:textId="25B916A8" w:rsidR="001A4D24" w:rsidRPr="0059142D" w:rsidRDefault="001A4D24" w:rsidP="001A4D24">
      <w:pPr>
        <w:numPr>
          <w:ilvl w:val="0"/>
          <w:numId w:val="5"/>
        </w:numPr>
        <w:shd w:val="clear" w:color="auto" w:fill="FFFFFF"/>
        <w:spacing w:after="0" w:line="240" w:lineRule="auto"/>
        <w:ind w:left="0" w:firstLine="720"/>
        <w:jc w:val="both"/>
        <w:rPr>
          <w:rFonts w:ascii="Cambria" w:eastAsia="Cambria" w:hAnsi="Cambria" w:cs="Cambria"/>
          <w:sz w:val="20"/>
          <w:szCs w:val="20"/>
          <w:lang w:val="es-419"/>
        </w:rPr>
      </w:pPr>
      <w:r w:rsidRPr="0059142D">
        <w:rPr>
          <w:rFonts w:ascii="Cambria" w:eastAsia="Cambria" w:hAnsi="Cambria" w:cs="Cambria"/>
          <w:sz w:val="20"/>
          <w:szCs w:val="20"/>
          <w:lang w:val="es-419"/>
        </w:rPr>
        <w:t>La Comisión observa que en abril del 2021 la Cámara de Diputados aprobó, en lo general, la Ley General de Consulta de los Pueblos y Comunidades Indígenas y Afromexicanas, cuya finalidad es establecer los principios, normas, instituciones y procedimientos para garantizar el derecho de consulta de acuerdo con los instrumentos y estándares internacionales aplicables</w:t>
      </w:r>
      <w:r w:rsidRPr="0059142D">
        <w:rPr>
          <w:rFonts w:ascii="Cambria" w:eastAsia="Cambria" w:hAnsi="Cambria" w:cs="Cambria"/>
          <w:sz w:val="20"/>
          <w:szCs w:val="20"/>
          <w:vertAlign w:val="superscript"/>
          <w:lang w:val="es-419"/>
        </w:rPr>
        <w:footnoteReference w:id="326"/>
      </w:r>
      <w:r w:rsidRPr="0059142D">
        <w:rPr>
          <w:rFonts w:ascii="Cambria" w:eastAsia="Cambria" w:hAnsi="Cambria" w:cs="Cambria"/>
          <w:sz w:val="20"/>
          <w:szCs w:val="20"/>
          <w:lang w:val="es-419"/>
        </w:rPr>
        <w:t xml:space="preserve">.  Queda pendiente su aprobación por el Senado. Al respecto, la Comisión considera necesario contar con más información sobre el proceso de elaboración de dicha iniciativa, incluyendo sobre los procesos de consulta que se habrían realizado con los pueblos indígenas y afromexicano previa la adopción por el legislativo. La CIDH reitera su observación de que la regulación de la consulta sea </w:t>
      </w:r>
      <w:r w:rsidR="007E67CE">
        <w:rPr>
          <w:rFonts w:ascii="Cambria" w:eastAsia="Cambria" w:hAnsi="Cambria" w:cs="Cambria"/>
          <w:sz w:val="20"/>
          <w:szCs w:val="20"/>
          <w:lang w:val="es-419"/>
        </w:rPr>
        <w:t xml:space="preserve">propiamente </w:t>
      </w:r>
      <w:r w:rsidRPr="0059142D">
        <w:rPr>
          <w:rFonts w:ascii="Cambria" w:eastAsia="Cambria" w:hAnsi="Cambria" w:cs="Cambria"/>
          <w:sz w:val="20"/>
          <w:szCs w:val="20"/>
          <w:lang w:val="es-419"/>
        </w:rPr>
        <w:t>consultada con los pueblos indígenas y afromexicano</w:t>
      </w:r>
      <w:r w:rsidR="007E67CE">
        <w:rPr>
          <w:rFonts w:ascii="Cambria" w:eastAsia="Cambria" w:hAnsi="Cambria" w:cs="Cambria"/>
          <w:sz w:val="20"/>
          <w:szCs w:val="20"/>
          <w:lang w:val="es-419"/>
        </w:rPr>
        <w:t>s</w:t>
      </w:r>
      <w:r w:rsidRPr="0059142D">
        <w:rPr>
          <w:rFonts w:ascii="Cambria" w:eastAsia="Cambria" w:hAnsi="Cambria" w:cs="Cambria"/>
          <w:sz w:val="20"/>
          <w:szCs w:val="20"/>
          <w:lang w:val="es-419"/>
        </w:rPr>
        <w:t xml:space="preserve"> a través de sus instituciones representativas, y que se tomen debidamente en cuenta las propuestas desarrolladas por los </w:t>
      </w:r>
      <w:r w:rsidR="007E67CE">
        <w:rPr>
          <w:rFonts w:ascii="Cambria" w:eastAsia="Cambria" w:hAnsi="Cambria" w:cs="Cambria"/>
          <w:sz w:val="20"/>
          <w:szCs w:val="20"/>
          <w:lang w:val="es-419"/>
        </w:rPr>
        <w:t>dichos grupos</w:t>
      </w:r>
      <w:r w:rsidRPr="0059142D">
        <w:rPr>
          <w:rFonts w:ascii="Cambria" w:eastAsia="Cambria" w:hAnsi="Cambria" w:cs="Cambria"/>
          <w:sz w:val="20"/>
          <w:szCs w:val="20"/>
          <w:lang w:val="es-419"/>
        </w:rPr>
        <w:t xml:space="preserve"> para implementar este derecho</w:t>
      </w:r>
      <w:r w:rsidRPr="0059142D">
        <w:rPr>
          <w:rFonts w:ascii="Cambria" w:eastAsia="Cambria" w:hAnsi="Cambria" w:cs="Cambria"/>
          <w:sz w:val="20"/>
          <w:szCs w:val="20"/>
          <w:vertAlign w:val="superscript"/>
          <w:lang w:val="es-419"/>
        </w:rPr>
        <w:footnoteReference w:id="327"/>
      </w:r>
      <w:r w:rsidRPr="0059142D">
        <w:rPr>
          <w:rFonts w:ascii="Cambria" w:eastAsia="Cambria" w:hAnsi="Cambria" w:cs="Cambria"/>
          <w:sz w:val="20"/>
          <w:szCs w:val="20"/>
          <w:lang w:val="es-419"/>
        </w:rPr>
        <w:t>.</w:t>
      </w:r>
    </w:p>
    <w:p w14:paraId="2550404C" w14:textId="77777777" w:rsidR="00820075" w:rsidRPr="0059142D" w:rsidRDefault="00820075" w:rsidP="00820075">
      <w:pPr>
        <w:shd w:val="clear" w:color="auto" w:fill="FFFFFF"/>
        <w:spacing w:after="0" w:line="240" w:lineRule="auto"/>
        <w:jc w:val="both"/>
        <w:rPr>
          <w:rFonts w:ascii="Cambria" w:eastAsia="Cambria" w:hAnsi="Cambria" w:cs="Cambria"/>
          <w:sz w:val="20"/>
          <w:szCs w:val="20"/>
          <w:lang w:val="es-419"/>
        </w:rPr>
      </w:pPr>
    </w:p>
    <w:p w14:paraId="243BCAE8" w14:textId="345CEABB" w:rsidR="001A4D24" w:rsidRPr="0059142D" w:rsidRDefault="001A4D24" w:rsidP="001A4D24">
      <w:pPr>
        <w:numPr>
          <w:ilvl w:val="0"/>
          <w:numId w:val="5"/>
        </w:numPr>
        <w:shd w:val="clear" w:color="auto" w:fill="FFFFFF"/>
        <w:spacing w:after="0" w:line="240" w:lineRule="auto"/>
        <w:ind w:left="0" w:firstLine="720"/>
        <w:jc w:val="both"/>
        <w:rPr>
          <w:rFonts w:ascii="Cambria" w:eastAsia="Cambria" w:hAnsi="Cambria" w:cs="Cambria"/>
          <w:sz w:val="20"/>
          <w:szCs w:val="20"/>
          <w:lang w:val="es-419"/>
        </w:rPr>
      </w:pPr>
      <w:r w:rsidRPr="0059142D">
        <w:rPr>
          <w:rFonts w:ascii="Cambria" w:eastAsia="Cambria" w:hAnsi="Cambria" w:cs="Cambria"/>
          <w:sz w:val="20"/>
          <w:szCs w:val="20"/>
          <w:lang w:val="es-419"/>
        </w:rPr>
        <w:t>Por otra parte, la Comisión toma nota de que en febrero de 2021 la Suprema Corte de Justicia de la Nación resolvió la acción de inconstitucionalidad 123/2020, declarando inválido el decreto que dio lugar a la Ley de los Derechos de las Personas Indígenas y Afromexicanas de Nuevo León, ya que al tratarse de un decreto que incidía directamente en los intereses de los pueblos y comunidades indígenas y afromexicanas, las autoridades locales estaban obligadas a realizar una consulta previa, libre, informada, culturalmente adecuada y de buena fe en la que participaran dichos pueblos, lo cual no sucedió</w:t>
      </w:r>
      <w:r w:rsidRPr="0059142D">
        <w:rPr>
          <w:rFonts w:ascii="Cambria" w:eastAsia="Cambria" w:hAnsi="Cambria" w:cs="Cambria"/>
          <w:sz w:val="20"/>
          <w:szCs w:val="20"/>
          <w:vertAlign w:val="superscript"/>
          <w:lang w:val="es-419"/>
        </w:rPr>
        <w:footnoteReference w:id="328"/>
      </w:r>
      <w:r w:rsidRPr="0059142D">
        <w:rPr>
          <w:rFonts w:ascii="Cambria" w:eastAsia="Cambria" w:hAnsi="Cambria" w:cs="Cambria"/>
          <w:sz w:val="20"/>
          <w:szCs w:val="20"/>
          <w:lang w:val="es-419"/>
        </w:rPr>
        <w:t xml:space="preserve">. </w:t>
      </w:r>
    </w:p>
    <w:p w14:paraId="771AE115" w14:textId="77777777" w:rsidR="00672667" w:rsidRPr="0059142D" w:rsidRDefault="00672667" w:rsidP="00672667">
      <w:pPr>
        <w:pStyle w:val="ListParagraph"/>
        <w:rPr>
          <w:rFonts w:ascii="Cambria" w:eastAsia="Cambria" w:hAnsi="Cambria" w:cs="Cambria"/>
          <w:sz w:val="20"/>
          <w:szCs w:val="20"/>
          <w:lang w:val="es-419"/>
        </w:rPr>
      </w:pPr>
    </w:p>
    <w:p w14:paraId="527F422F" w14:textId="77777777" w:rsidR="00672667" w:rsidRPr="0059142D" w:rsidRDefault="00672667" w:rsidP="00672667">
      <w:pPr>
        <w:shd w:val="clear" w:color="auto" w:fill="FFFFFF"/>
        <w:spacing w:after="0" w:line="240" w:lineRule="auto"/>
        <w:ind w:left="720"/>
        <w:jc w:val="both"/>
        <w:rPr>
          <w:rFonts w:ascii="Cambria" w:eastAsia="Cambria" w:hAnsi="Cambria" w:cs="Cambria"/>
          <w:sz w:val="20"/>
          <w:szCs w:val="20"/>
          <w:lang w:val="es-419"/>
        </w:rPr>
      </w:pPr>
    </w:p>
    <w:p w14:paraId="037CB022" w14:textId="700643CE" w:rsidR="00820075" w:rsidRPr="0059142D" w:rsidRDefault="001A4D24" w:rsidP="001A4D24">
      <w:pPr>
        <w:numPr>
          <w:ilvl w:val="0"/>
          <w:numId w:val="5"/>
        </w:numPr>
        <w:shd w:val="clear" w:color="auto" w:fill="FFFFFF"/>
        <w:spacing w:after="0" w:line="240" w:lineRule="auto"/>
        <w:ind w:left="0" w:firstLine="720"/>
        <w:jc w:val="both"/>
        <w:rPr>
          <w:rFonts w:ascii="Cambria" w:eastAsia="Cambria" w:hAnsi="Cambria" w:cs="Cambria"/>
          <w:sz w:val="20"/>
          <w:szCs w:val="20"/>
          <w:lang w:val="es-419"/>
        </w:rPr>
      </w:pPr>
      <w:r w:rsidRPr="0059142D">
        <w:rPr>
          <w:rFonts w:ascii="Cambria" w:eastAsia="Cambria" w:hAnsi="Cambria" w:cs="Cambria"/>
          <w:sz w:val="20"/>
          <w:szCs w:val="20"/>
          <w:lang w:val="es-419"/>
        </w:rPr>
        <w:t>La CIDH observa con preocupación el acuerdo por el que se declara de interés público y seguridad nacional la realización de proyectos y obras a cargo del Gobierno de México que sean considerados prioritarios y/o estratégicos para el desarrollo nacional; y se instruye a las dependencias y entidades de la Administración Pública Federal a otorgar la autorización provisional, en un plazo máximo de cinco días, previo a la presentación y/u obtención de los dictámenes, permisos o licencias necesarias para iniciar los proyectos u obras</w:t>
      </w:r>
      <w:r w:rsidRPr="0059142D">
        <w:rPr>
          <w:rFonts w:ascii="Cambria" w:eastAsia="Cambria" w:hAnsi="Cambria" w:cs="Cambria"/>
          <w:sz w:val="20"/>
          <w:szCs w:val="20"/>
          <w:vertAlign w:val="superscript"/>
          <w:lang w:val="es-419"/>
        </w:rPr>
        <w:footnoteReference w:id="329"/>
      </w:r>
      <w:r w:rsidRPr="0059142D">
        <w:rPr>
          <w:rFonts w:ascii="Cambria" w:eastAsia="Cambria" w:hAnsi="Cambria" w:cs="Cambria"/>
          <w:sz w:val="20"/>
          <w:szCs w:val="20"/>
          <w:lang w:val="es-419"/>
        </w:rPr>
        <w:t>. Se observa que el Instituto Nacional de Transparencia, Acceso a la Información y Protección de Datos Personales presentó controversia constitucional ante la SCJN contra dicho acuerdo por considerar que vulnera el derecho a saber de la sociedad</w:t>
      </w:r>
      <w:r w:rsidRPr="0059142D">
        <w:rPr>
          <w:rFonts w:ascii="Cambria" w:eastAsia="Cambria" w:hAnsi="Cambria" w:cs="Cambria"/>
          <w:sz w:val="20"/>
          <w:szCs w:val="20"/>
          <w:vertAlign w:val="superscript"/>
          <w:lang w:val="es-419"/>
        </w:rPr>
        <w:footnoteReference w:id="330"/>
      </w:r>
      <w:r w:rsidRPr="0059142D">
        <w:rPr>
          <w:rFonts w:ascii="Cambria" w:eastAsia="Cambria" w:hAnsi="Cambria" w:cs="Cambria"/>
          <w:sz w:val="20"/>
          <w:szCs w:val="20"/>
          <w:lang w:val="es-419"/>
        </w:rPr>
        <w:t>. Al respecto, la SCJN orden</w:t>
      </w:r>
      <w:r w:rsidR="006E5102">
        <w:rPr>
          <w:rFonts w:ascii="Cambria" w:eastAsia="Cambria" w:hAnsi="Cambria" w:cs="Cambria"/>
          <w:sz w:val="20"/>
          <w:szCs w:val="20"/>
          <w:lang w:val="es-419"/>
        </w:rPr>
        <w:t>ó</w:t>
      </w:r>
      <w:r w:rsidRPr="0059142D">
        <w:rPr>
          <w:rFonts w:ascii="Cambria" w:eastAsia="Cambria" w:hAnsi="Cambria" w:cs="Cambria"/>
          <w:sz w:val="20"/>
          <w:szCs w:val="20"/>
          <w:lang w:val="es-419"/>
        </w:rPr>
        <w:t xml:space="preserve"> la suspensión del decreto para efecto de impedir que se reserve la información por razón de seguridad nacional en relación con los proyectos y obras que se realicen</w:t>
      </w:r>
      <w:r w:rsidRPr="0059142D">
        <w:rPr>
          <w:rFonts w:ascii="Cambria" w:eastAsia="Cambria" w:hAnsi="Cambria" w:cs="Cambria"/>
          <w:sz w:val="20"/>
          <w:szCs w:val="20"/>
          <w:vertAlign w:val="superscript"/>
          <w:lang w:val="es-419"/>
        </w:rPr>
        <w:footnoteReference w:id="331"/>
      </w:r>
      <w:r w:rsidRPr="0059142D">
        <w:rPr>
          <w:rFonts w:ascii="Cambria" w:eastAsia="Cambria" w:hAnsi="Cambria" w:cs="Cambria"/>
          <w:sz w:val="20"/>
          <w:szCs w:val="20"/>
          <w:lang w:val="es-419"/>
        </w:rPr>
        <w:t>. La Comisión advierte que la autorización provisional para la realización de proyectos y obras a cargo del Gobierno podría incluir proyectos susceptibles de afectar los derechos de los pueblos indígenas y afromexicano, por lo que recuerda la obligación del Estado de cumplir en todo momento los estándares internacionales relacionados con la consulta previa y el consentimiento libre, previo e informado y la garantía y  protección de los derechos territoriales de estos pueblos.</w:t>
      </w:r>
    </w:p>
    <w:p w14:paraId="24E3DAA8" w14:textId="45F5D86D" w:rsidR="001A4D24" w:rsidRPr="0059142D" w:rsidRDefault="001A4D24" w:rsidP="00820075">
      <w:pPr>
        <w:shd w:val="clear" w:color="auto" w:fill="FFFFFF"/>
        <w:spacing w:after="0" w:line="240" w:lineRule="auto"/>
        <w:ind w:left="720"/>
        <w:jc w:val="both"/>
        <w:rPr>
          <w:rFonts w:ascii="Cambria" w:eastAsia="Cambria" w:hAnsi="Cambria" w:cs="Cambria"/>
          <w:sz w:val="20"/>
          <w:szCs w:val="20"/>
          <w:lang w:val="es-419"/>
        </w:rPr>
      </w:pPr>
      <w:r w:rsidRPr="0059142D">
        <w:rPr>
          <w:rFonts w:ascii="Cambria" w:eastAsia="Cambria" w:hAnsi="Cambria" w:cs="Cambria"/>
          <w:sz w:val="20"/>
          <w:szCs w:val="20"/>
          <w:lang w:val="es-419"/>
        </w:rPr>
        <w:t xml:space="preserve"> </w:t>
      </w:r>
    </w:p>
    <w:p w14:paraId="367D16F2" w14:textId="62328024" w:rsidR="001A4D24" w:rsidRDefault="001A4D24" w:rsidP="00940C49">
      <w:pPr>
        <w:numPr>
          <w:ilvl w:val="0"/>
          <w:numId w:val="5"/>
        </w:numPr>
        <w:shd w:val="clear" w:color="auto" w:fill="FFFFFF"/>
        <w:spacing w:after="0" w:line="240" w:lineRule="auto"/>
        <w:ind w:left="0" w:firstLine="720"/>
        <w:jc w:val="both"/>
        <w:rPr>
          <w:rFonts w:ascii="Cambria" w:eastAsia="Cambria" w:hAnsi="Cambria" w:cs="Cambria"/>
          <w:sz w:val="20"/>
          <w:szCs w:val="20"/>
          <w:lang w:val="es-419"/>
        </w:rPr>
      </w:pPr>
      <w:r w:rsidRPr="0059142D">
        <w:rPr>
          <w:rFonts w:ascii="Cambria" w:eastAsia="Cambria" w:hAnsi="Cambria" w:cs="Cambria"/>
          <w:sz w:val="20"/>
          <w:szCs w:val="20"/>
          <w:lang w:val="es-419"/>
        </w:rPr>
        <w:t>De igual forma, la CIDH observa que persisten las denuncias de los pueblos indígenas y la sociedad civil respecto a los obstáculos en el acceso a la justicia en relación con los litigios contra el Tren Maya, particularmente las dilaciones en los procesos de amparo, y las declaraciones de incompetencia por parte de los juzgados. Señalan, además, el incumplimiento de las autoridades responsables de las suspensiones otorgadas por los Juzgados de Distrito y Tribunales Colegiados que ordenan abstenerse de ejecutar nuevas obras relacionadas con el Proyecto del Tren Maya</w:t>
      </w:r>
      <w:r w:rsidRPr="0059142D">
        <w:rPr>
          <w:rFonts w:ascii="Cambria" w:eastAsia="Cambria" w:hAnsi="Cambria" w:cs="Cambria"/>
          <w:sz w:val="20"/>
          <w:szCs w:val="20"/>
          <w:vertAlign w:val="superscript"/>
          <w:lang w:val="es-419"/>
        </w:rPr>
        <w:footnoteReference w:id="332"/>
      </w:r>
      <w:r w:rsidRPr="0059142D">
        <w:rPr>
          <w:rFonts w:ascii="Cambria" w:eastAsia="Cambria" w:hAnsi="Cambria" w:cs="Cambria"/>
          <w:sz w:val="20"/>
          <w:szCs w:val="20"/>
          <w:lang w:val="es-419"/>
        </w:rPr>
        <w:t>. En ese sentido, la CIDH reitera sus observaciones anteriores respecto al Tren Maya, las preocupaciones sobre su realización en el contexto de pandemia, y respecto a la necesaria observancia de los estándares sobre consulta y consentimiento, libre, previo e informado. Por lo anterior, la CIDH encuentra que la recomendación se encuentra pendiente de cumplimiento.</w:t>
      </w:r>
    </w:p>
    <w:p w14:paraId="08DD4707" w14:textId="77777777" w:rsidR="00940C49" w:rsidRPr="00940C49" w:rsidRDefault="00940C49" w:rsidP="00940C49">
      <w:pPr>
        <w:shd w:val="clear" w:color="auto" w:fill="FFFFFF"/>
        <w:spacing w:after="0" w:line="240" w:lineRule="auto"/>
        <w:jc w:val="both"/>
        <w:rPr>
          <w:rFonts w:ascii="Cambria" w:eastAsia="Cambria" w:hAnsi="Cambria" w:cs="Cambria"/>
          <w:sz w:val="20"/>
          <w:szCs w:val="20"/>
          <w:lang w:val="es-419"/>
        </w:rPr>
      </w:pPr>
    </w:p>
    <w:p w14:paraId="14606AC9" w14:textId="1B8ACA3C" w:rsidR="002277F5" w:rsidRPr="004E3E07" w:rsidRDefault="007E25FF" w:rsidP="005677F4">
      <w:pPr>
        <w:pStyle w:val="Heading3"/>
        <w:numPr>
          <w:ilvl w:val="2"/>
          <w:numId w:val="11"/>
        </w:numPr>
        <w:shd w:val="clear" w:color="auto" w:fill="auto"/>
        <w:spacing w:before="0" w:after="200"/>
        <w:ind w:left="1440" w:hanging="720"/>
        <w:rPr>
          <w:sz w:val="20"/>
          <w:szCs w:val="20"/>
        </w:rPr>
      </w:pPr>
      <w:r w:rsidRPr="004E3E07">
        <w:rPr>
          <w:sz w:val="20"/>
          <w:szCs w:val="20"/>
        </w:rPr>
        <w:t>Personas privadas de libertad</w:t>
      </w:r>
    </w:p>
    <w:p w14:paraId="14606ACA" w14:textId="77777777" w:rsidR="002277F5" w:rsidRPr="004E3E07" w:rsidRDefault="007E25FF">
      <w:pPr>
        <w:numPr>
          <w:ilvl w:val="0"/>
          <w:numId w:val="4"/>
        </w:numPr>
        <w:pBdr>
          <w:top w:val="nil"/>
          <w:left w:val="nil"/>
          <w:bottom w:val="nil"/>
          <w:right w:val="nil"/>
          <w:between w:val="nil"/>
        </w:pBdr>
        <w:shd w:val="clear" w:color="auto" w:fill="D9D9D9"/>
        <w:spacing w:after="0" w:line="240" w:lineRule="auto"/>
        <w:ind w:hanging="720"/>
        <w:jc w:val="both"/>
        <w:rPr>
          <w:rFonts w:ascii="Cambria" w:hAnsi="Cambria"/>
          <w:lang w:val="es-MX"/>
        </w:rPr>
      </w:pPr>
      <w:r w:rsidRPr="004E3E07">
        <w:rPr>
          <w:rFonts w:ascii="Cambria" w:eastAsia="Cambria" w:hAnsi="Cambria" w:cs="Cambria"/>
          <w:sz w:val="20"/>
          <w:szCs w:val="20"/>
          <w:lang w:val="es-MX"/>
        </w:rPr>
        <w:t>Corregir la excesiva aplicación de la prisión preventiva, y aplicarla excepcionalmente, haciendo uso de otras medidas cautelares no privativas de la libertad. En este marco, garantizar la inmediata puesta a disposición del juez de las personas detenidas, a fin de restringir la detención sin orden judicial en los casos de presunta flagrancia y flagrancia equiparada.</w:t>
      </w:r>
    </w:p>
    <w:p w14:paraId="14606ACB" w14:textId="77777777" w:rsidR="002277F5" w:rsidRPr="004E3E07" w:rsidRDefault="007E25FF">
      <w:pPr>
        <w:numPr>
          <w:ilvl w:val="0"/>
          <w:numId w:val="4"/>
        </w:numPr>
        <w:pBdr>
          <w:top w:val="nil"/>
          <w:left w:val="nil"/>
          <w:bottom w:val="nil"/>
          <w:right w:val="nil"/>
          <w:between w:val="nil"/>
        </w:pBdr>
        <w:shd w:val="clear" w:color="auto" w:fill="D9D9D9"/>
        <w:spacing w:after="0" w:line="240" w:lineRule="auto"/>
        <w:ind w:hanging="720"/>
        <w:jc w:val="both"/>
        <w:rPr>
          <w:rFonts w:ascii="Cambria" w:hAnsi="Cambria"/>
          <w:lang w:val="es-MX"/>
        </w:rPr>
      </w:pPr>
      <w:r w:rsidRPr="004E3E07">
        <w:rPr>
          <w:rFonts w:ascii="Cambria" w:eastAsia="Cambria" w:hAnsi="Cambria" w:cs="Cambria"/>
          <w:sz w:val="20"/>
          <w:szCs w:val="20"/>
          <w:lang w:val="es-MX"/>
        </w:rPr>
        <w:t xml:space="preserve">Adoptar todas las medidas necesarias para garantizar una estrategia de reinserción social. En este sentido, garantizar que los recursos financieros sean dirigidos a humanizar e implementar medidas que permitan la reinserción de las personas privadas de libertad. En particular, respecto a las personas con discapacidad, identificar una estrategia de inserción social mediante la implementación de servicios en la comunidad. </w:t>
      </w:r>
    </w:p>
    <w:p w14:paraId="14606ACC" w14:textId="77777777" w:rsidR="002277F5" w:rsidRPr="004E3E07" w:rsidRDefault="007E25FF">
      <w:pPr>
        <w:numPr>
          <w:ilvl w:val="0"/>
          <w:numId w:val="4"/>
        </w:numPr>
        <w:pBdr>
          <w:top w:val="nil"/>
          <w:left w:val="nil"/>
          <w:bottom w:val="nil"/>
          <w:right w:val="nil"/>
          <w:between w:val="nil"/>
        </w:pBdr>
        <w:shd w:val="clear" w:color="auto" w:fill="D9D9D9"/>
        <w:spacing w:after="0" w:line="240" w:lineRule="auto"/>
        <w:ind w:hanging="720"/>
        <w:jc w:val="both"/>
        <w:rPr>
          <w:rFonts w:ascii="Cambria" w:hAnsi="Cambria"/>
          <w:lang w:val="es-MX"/>
        </w:rPr>
      </w:pPr>
      <w:r w:rsidRPr="004E3E07">
        <w:rPr>
          <w:rFonts w:ascii="Cambria" w:eastAsia="Cambria" w:hAnsi="Cambria" w:cs="Cambria"/>
          <w:sz w:val="20"/>
          <w:szCs w:val="20"/>
          <w:lang w:val="es-MX"/>
        </w:rPr>
        <w:t xml:space="preserve">Hacer pública la información sobre los estándares de la </w:t>
      </w:r>
      <w:r w:rsidRPr="004E3E07">
        <w:rPr>
          <w:rFonts w:ascii="Cambria" w:eastAsia="Cambria" w:hAnsi="Cambria" w:cs="Cambria"/>
          <w:i/>
          <w:sz w:val="20"/>
          <w:szCs w:val="20"/>
          <w:lang w:val="es-MX"/>
        </w:rPr>
        <w:t>American Correctional Association</w:t>
      </w:r>
      <w:r w:rsidRPr="004E3E07">
        <w:rPr>
          <w:rFonts w:ascii="Cambria" w:eastAsia="Cambria" w:hAnsi="Cambria" w:cs="Cambria"/>
          <w:sz w:val="20"/>
          <w:szCs w:val="20"/>
          <w:lang w:val="es-MX"/>
        </w:rPr>
        <w:t xml:space="preserve"> (“ACA” por sus siglas en inglés) para acreditar centros penales.</w:t>
      </w:r>
    </w:p>
    <w:p w14:paraId="14606ACD" w14:textId="77777777" w:rsidR="002277F5" w:rsidRPr="004E3E07" w:rsidRDefault="007E25FF">
      <w:pPr>
        <w:numPr>
          <w:ilvl w:val="0"/>
          <w:numId w:val="4"/>
        </w:numPr>
        <w:pBdr>
          <w:top w:val="nil"/>
          <w:left w:val="nil"/>
          <w:bottom w:val="nil"/>
          <w:right w:val="nil"/>
          <w:between w:val="nil"/>
        </w:pBdr>
        <w:shd w:val="clear" w:color="auto" w:fill="D9D9D9"/>
        <w:spacing w:after="0" w:line="240" w:lineRule="auto"/>
        <w:ind w:hanging="720"/>
        <w:jc w:val="both"/>
        <w:rPr>
          <w:rFonts w:ascii="Cambria" w:hAnsi="Cambria"/>
          <w:lang w:val="es-MX"/>
        </w:rPr>
      </w:pPr>
      <w:r w:rsidRPr="004E3E07">
        <w:rPr>
          <w:rFonts w:ascii="Cambria" w:eastAsia="Cambria" w:hAnsi="Cambria" w:cs="Cambria"/>
          <w:sz w:val="20"/>
          <w:szCs w:val="20"/>
          <w:lang w:val="es-MX"/>
        </w:rPr>
        <w:t xml:space="preserve">Implementar medidas de carácter normativo y de cualquier otra índole a fin de garantizar condiciones de detención adecuadas a las necesidades particulares de grupos en especial situación de vulnerabilidad. En relación con las mujeres privadas de libertad, el Estado debe garantizar que la adopción de medidas respectivas atienda a un enfoque de género. Respecto a las personas con discapacidad privadas de su libertad, el Estado mexicano debe garantizar la eliminación de barreras del entorno que dificultan el ejercicio de sus derechos, mediante la realización de ajustes razonables. </w:t>
      </w:r>
    </w:p>
    <w:p w14:paraId="14606ACE" w14:textId="77777777" w:rsidR="002277F5" w:rsidRPr="004E3E07" w:rsidRDefault="007E25FF">
      <w:pPr>
        <w:numPr>
          <w:ilvl w:val="0"/>
          <w:numId w:val="4"/>
        </w:numPr>
        <w:pBdr>
          <w:top w:val="nil"/>
          <w:left w:val="nil"/>
          <w:bottom w:val="nil"/>
          <w:right w:val="nil"/>
          <w:between w:val="nil"/>
        </w:pBdr>
        <w:shd w:val="clear" w:color="auto" w:fill="D9D9D9"/>
        <w:spacing w:after="0" w:line="240" w:lineRule="auto"/>
        <w:ind w:hanging="720"/>
        <w:jc w:val="both"/>
        <w:rPr>
          <w:rFonts w:ascii="Cambria" w:hAnsi="Cambria"/>
          <w:lang w:val="es-MX"/>
        </w:rPr>
      </w:pPr>
      <w:r w:rsidRPr="004E3E07">
        <w:rPr>
          <w:rFonts w:ascii="Cambria" w:eastAsia="Cambria" w:hAnsi="Cambria" w:cs="Cambria"/>
          <w:sz w:val="20"/>
          <w:szCs w:val="20"/>
          <w:lang w:val="es-MX"/>
        </w:rPr>
        <w:t>Adoptar medidas para hacer frente a la prisión preventiva y a los altos niveles de hacinamiento. Las medidas a adoptar pueden consistir, entre otras, en el incremento de jueces de ejecución penal y el establecimiento de brigadas periódicas de revisión de expedientes que permitan identificar casos de duración excesiva de la prisión preventiva.</w:t>
      </w:r>
    </w:p>
    <w:p w14:paraId="14606ACF" w14:textId="77777777" w:rsidR="002277F5" w:rsidRPr="004E3E07" w:rsidRDefault="007E25FF">
      <w:pPr>
        <w:numPr>
          <w:ilvl w:val="0"/>
          <w:numId w:val="4"/>
        </w:numPr>
        <w:pBdr>
          <w:top w:val="nil"/>
          <w:left w:val="nil"/>
          <w:bottom w:val="nil"/>
          <w:right w:val="nil"/>
          <w:between w:val="nil"/>
        </w:pBdr>
        <w:shd w:val="clear" w:color="auto" w:fill="D9D9D9"/>
        <w:spacing w:after="0" w:line="240" w:lineRule="auto"/>
        <w:ind w:hanging="720"/>
        <w:jc w:val="both"/>
        <w:rPr>
          <w:rFonts w:ascii="Cambria" w:hAnsi="Cambria"/>
          <w:lang w:val="es-MX"/>
        </w:rPr>
      </w:pPr>
      <w:r w:rsidRPr="004E3E07">
        <w:rPr>
          <w:rFonts w:ascii="Cambria" w:eastAsia="Cambria" w:hAnsi="Cambria" w:cs="Cambria"/>
          <w:sz w:val="20"/>
          <w:szCs w:val="20"/>
          <w:lang w:val="es-MX"/>
        </w:rPr>
        <w:t xml:space="preserve">Asegurar que la Ley Nacional de Ejecución Penal incluya los estándares internacionales que garanticen los derechos de las personas privadas de libertad, tanto procesadas como sentenciadas, con énfasis en un debido proceso penal y reinserción social. </w:t>
      </w:r>
    </w:p>
    <w:p w14:paraId="14606AD0" w14:textId="7278D071" w:rsidR="00CC6C4B" w:rsidRPr="004E3E07" w:rsidRDefault="00CC6C4B" w:rsidP="00CC6C4B">
      <w:pPr>
        <w:shd w:val="clear" w:color="auto" w:fill="FFFFFF"/>
        <w:spacing w:after="0" w:line="240" w:lineRule="auto"/>
        <w:jc w:val="both"/>
        <w:rPr>
          <w:rFonts w:ascii="Cambria" w:eastAsia="Cambria" w:hAnsi="Cambria" w:cs="Cambria"/>
          <w:sz w:val="20"/>
          <w:szCs w:val="20"/>
          <w:lang w:val="es-MX"/>
        </w:rPr>
      </w:pPr>
    </w:p>
    <w:p w14:paraId="0207FFF0" w14:textId="1A5BAA27" w:rsidR="00CC6C4B" w:rsidRPr="004E3E07" w:rsidRDefault="00CC6C4B" w:rsidP="00596661">
      <w:pPr>
        <w:numPr>
          <w:ilvl w:val="0"/>
          <w:numId w:val="5"/>
        </w:numPr>
        <w:shd w:val="clear" w:color="auto" w:fill="FFFFFF"/>
        <w:spacing w:after="240" w:line="240" w:lineRule="auto"/>
        <w:ind w:left="0" w:firstLine="720"/>
        <w:jc w:val="both"/>
        <w:rPr>
          <w:rFonts w:ascii="Cambria" w:eastAsia="Cambria" w:hAnsi="Cambria" w:cs="Cambria"/>
          <w:sz w:val="20"/>
          <w:szCs w:val="20"/>
          <w:lang w:val="es-MX"/>
        </w:rPr>
      </w:pPr>
      <w:r w:rsidRPr="004E3E07">
        <w:rPr>
          <w:rFonts w:ascii="Cambria" w:eastAsia="Cambria" w:hAnsi="Cambria" w:cs="Cambria"/>
          <w:sz w:val="20"/>
          <w:szCs w:val="20"/>
          <w:lang w:val="es-MX"/>
        </w:rPr>
        <w:t xml:space="preserve">Respecto de la recomendación atinente a </w:t>
      </w:r>
      <w:r w:rsidRPr="004E3E07">
        <w:rPr>
          <w:rFonts w:ascii="Cambria" w:eastAsia="Cambria" w:hAnsi="Cambria" w:cs="Cambria"/>
          <w:b/>
          <w:sz w:val="20"/>
          <w:szCs w:val="20"/>
          <w:lang w:val="es-MX"/>
        </w:rPr>
        <w:t>corregir la excesiva aplicación de la prisión preventiva</w:t>
      </w:r>
      <w:r w:rsidRPr="004E3E07">
        <w:rPr>
          <w:rFonts w:ascii="Cambria" w:eastAsia="Cambria" w:hAnsi="Cambria" w:cs="Cambria"/>
          <w:sz w:val="20"/>
          <w:szCs w:val="20"/>
          <w:lang w:val="es-MX"/>
        </w:rPr>
        <w:t>, el Estado reportó que el Sistema Integral de Seguimiento de Expedientes (SISE) del Consejo de la Judicatura Federal registra un total de “2.196 causas penales radicadas en distintos Centros de Justicia Penal Federal en los que se dictó la medida cautelar de prisión preventiva”</w:t>
      </w:r>
      <w:r w:rsidRPr="004E3E07">
        <w:rPr>
          <w:rFonts w:ascii="Cambria" w:eastAsia="Cambria" w:hAnsi="Cambria" w:cs="Cambria"/>
          <w:sz w:val="20"/>
          <w:szCs w:val="20"/>
          <w:vertAlign w:val="superscript"/>
          <w:lang w:val="es-MX"/>
        </w:rPr>
        <w:footnoteReference w:id="333"/>
      </w:r>
      <w:r w:rsidRPr="004E3E07">
        <w:rPr>
          <w:rFonts w:ascii="Cambria" w:eastAsia="Cambria" w:hAnsi="Cambria" w:cs="Cambria"/>
          <w:sz w:val="20"/>
          <w:szCs w:val="20"/>
          <w:lang w:val="es-MX"/>
        </w:rPr>
        <w:t>.</w:t>
      </w:r>
    </w:p>
    <w:p w14:paraId="08720E56" w14:textId="5A88EBB6" w:rsidR="00596661" w:rsidRPr="004E3E07" w:rsidRDefault="00CC6C4B" w:rsidP="00596661">
      <w:pPr>
        <w:numPr>
          <w:ilvl w:val="0"/>
          <w:numId w:val="5"/>
        </w:numPr>
        <w:shd w:val="clear" w:color="auto" w:fill="FFFFFF"/>
        <w:spacing w:after="240" w:line="240" w:lineRule="auto"/>
        <w:ind w:left="0" w:firstLine="720"/>
        <w:jc w:val="both"/>
        <w:rPr>
          <w:rFonts w:ascii="Cambria" w:eastAsia="Cambria" w:hAnsi="Cambria" w:cs="Cambria"/>
          <w:sz w:val="20"/>
          <w:szCs w:val="20"/>
          <w:lang w:val="es-MX"/>
        </w:rPr>
      </w:pPr>
      <w:r w:rsidRPr="004E3E07">
        <w:rPr>
          <w:rFonts w:ascii="Cambria" w:eastAsia="Cambria" w:hAnsi="Cambria" w:cs="Cambria"/>
          <w:sz w:val="20"/>
          <w:szCs w:val="20"/>
          <w:lang w:val="es-MX"/>
        </w:rPr>
        <w:t xml:space="preserve">Por su parte, la CIDH observa con preocupación que, según las cifras más recientes de la </w:t>
      </w:r>
      <w:r w:rsidR="00220665">
        <w:rPr>
          <w:rFonts w:ascii="Cambria" w:eastAsia="Cambria" w:hAnsi="Cambria" w:cs="Cambria"/>
          <w:sz w:val="20"/>
          <w:szCs w:val="20"/>
          <w:lang w:val="es-MX"/>
        </w:rPr>
        <w:t>SSPC</w:t>
      </w:r>
      <w:r w:rsidRPr="004E3E07">
        <w:rPr>
          <w:rFonts w:ascii="Cambria" w:eastAsia="Cambria" w:hAnsi="Cambria" w:cs="Cambria"/>
          <w:sz w:val="20"/>
          <w:szCs w:val="20"/>
          <w:lang w:val="es-MX"/>
        </w:rPr>
        <w:t xml:space="preserve"> más del 40% de las personas privadas de libertad se encuentran en detención preventiva. En particular, la tasa de aplicación de prisión preventiva es del 42.48% en el fuero común, y del 45.48% en el fuero federal</w:t>
      </w:r>
      <w:r w:rsidRPr="004E3E07">
        <w:rPr>
          <w:rFonts w:ascii="Cambria" w:eastAsia="Cambria" w:hAnsi="Cambria" w:cs="Cambria"/>
          <w:sz w:val="20"/>
          <w:szCs w:val="20"/>
          <w:vertAlign w:val="superscript"/>
          <w:lang w:val="es-MX"/>
        </w:rPr>
        <w:footnoteReference w:id="334"/>
      </w:r>
      <w:r w:rsidRPr="004E3E07">
        <w:rPr>
          <w:rFonts w:ascii="Cambria" w:eastAsia="Cambria" w:hAnsi="Cambria" w:cs="Cambria"/>
          <w:sz w:val="20"/>
          <w:szCs w:val="20"/>
          <w:lang w:val="es-MX"/>
        </w:rPr>
        <w:t>. Al respecto, la CIDH advierte que la elevada utilización de prisión preventiva demuestra que esta medida cautelar no es aplicada conforme su naturaleza excepcional. En este sentido, la CIDH recuerda que el uso de la prisión preventiva debe partir de la consideración al derecho a la presunción de inocencia; tener en cuenta su naturaleza excepcional; regirse por los principios de legalidad, necesidad y proporcionalidad; y sólo puede fundamentarse para evitar razonablemente el peligro de fuga o impedir el entorpecimiento de las investigaciones</w:t>
      </w:r>
      <w:r w:rsidRPr="004E3E07">
        <w:rPr>
          <w:rFonts w:ascii="Cambria" w:eastAsia="Cambria" w:hAnsi="Cambria" w:cs="Cambria"/>
          <w:sz w:val="20"/>
          <w:szCs w:val="20"/>
          <w:vertAlign w:val="superscript"/>
          <w:lang w:val="es-MX"/>
        </w:rPr>
        <w:footnoteReference w:id="335"/>
      </w:r>
      <w:r w:rsidRPr="004E3E07">
        <w:rPr>
          <w:rFonts w:ascii="Cambria" w:eastAsia="Cambria" w:hAnsi="Cambria" w:cs="Cambria"/>
          <w:sz w:val="20"/>
          <w:szCs w:val="20"/>
          <w:lang w:val="es-MX"/>
        </w:rPr>
        <w:t xml:space="preserve">. </w:t>
      </w:r>
    </w:p>
    <w:p w14:paraId="7B04198A" w14:textId="15E1427A" w:rsidR="00596661" w:rsidRPr="004E3E07" w:rsidRDefault="00CC6C4B" w:rsidP="00596661">
      <w:pPr>
        <w:numPr>
          <w:ilvl w:val="0"/>
          <w:numId w:val="5"/>
        </w:numPr>
        <w:shd w:val="clear" w:color="auto" w:fill="FFFFFF"/>
        <w:spacing w:after="240" w:line="240" w:lineRule="auto"/>
        <w:ind w:left="0" w:firstLine="720"/>
        <w:jc w:val="both"/>
        <w:rPr>
          <w:rFonts w:ascii="Cambria" w:eastAsia="Cambria" w:hAnsi="Cambria" w:cs="Cambria"/>
          <w:sz w:val="20"/>
          <w:szCs w:val="20"/>
          <w:lang w:val="es-MX"/>
        </w:rPr>
      </w:pPr>
      <w:r w:rsidRPr="004E3E07">
        <w:rPr>
          <w:rFonts w:ascii="Cambria" w:eastAsia="Cambria" w:hAnsi="Cambria" w:cs="Cambria"/>
          <w:sz w:val="20"/>
          <w:szCs w:val="20"/>
          <w:lang w:val="es-MX"/>
        </w:rPr>
        <w:t xml:space="preserve">Por otro lado, la Comisión toma nota de que, mediante </w:t>
      </w:r>
      <w:r w:rsidR="00220665">
        <w:rPr>
          <w:rFonts w:ascii="Cambria" w:eastAsia="Cambria" w:hAnsi="Cambria" w:cs="Cambria"/>
          <w:sz w:val="20"/>
          <w:szCs w:val="20"/>
          <w:lang w:val="es-MX"/>
        </w:rPr>
        <w:t>d</w:t>
      </w:r>
      <w:r w:rsidRPr="004E3E07">
        <w:rPr>
          <w:rFonts w:ascii="Cambria" w:eastAsia="Cambria" w:hAnsi="Cambria" w:cs="Cambria"/>
          <w:sz w:val="20"/>
          <w:szCs w:val="20"/>
          <w:lang w:val="es-MX"/>
        </w:rPr>
        <w:t>ecreto de 19 de febrero de 2021, entraron en vigor las modificaciones al Código Penal Federal, al Código Nacional de Procedimientos Penales y leyes especiales</w:t>
      </w:r>
      <w:r w:rsidRPr="004E3E07">
        <w:rPr>
          <w:rFonts w:ascii="Cambria" w:hAnsi="Cambria"/>
          <w:vertAlign w:val="superscript"/>
          <w:lang w:val="es-MX"/>
        </w:rPr>
        <w:footnoteReference w:id="336"/>
      </w:r>
      <w:r w:rsidRPr="004E3E07">
        <w:rPr>
          <w:rFonts w:ascii="Cambria" w:eastAsia="Cambria" w:hAnsi="Cambria" w:cs="Cambria"/>
          <w:sz w:val="20"/>
          <w:szCs w:val="20"/>
          <w:lang w:val="es-MX"/>
        </w:rPr>
        <w:t>, en cumplimiento del mandato de la reforma constitucional al artículo 19</w:t>
      </w:r>
      <w:r w:rsidRPr="004E3E07">
        <w:rPr>
          <w:rFonts w:ascii="Cambria" w:hAnsi="Cambria"/>
          <w:vertAlign w:val="superscript"/>
          <w:lang w:val="es-MX"/>
        </w:rPr>
        <w:footnoteReference w:id="337"/>
      </w:r>
      <w:r w:rsidRPr="004E3E07">
        <w:rPr>
          <w:rFonts w:ascii="Cambria" w:eastAsia="Cambria" w:hAnsi="Cambria" w:cs="Cambria"/>
          <w:sz w:val="20"/>
          <w:szCs w:val="20"/>
          <w:lang w:val="es-MX"/>
        </w:rPr>
        <w:t>, mediante el cual se amplió el catálogo de delitos que ameritan prisión preventiva oficiosa</w:t>
      </w:r>
      <w:r w:rsidRPr="004E3E07">
        <w:rPr>
          <w:rFonts w:ascii="Cambria" w:hAnsi="Cambria"/>
          <w:vertAlign w:val="superscript"/>
          <w:lang w:val="es-MX"/>
        </w:rPr>
        <w:footnoteReference w:id="338"/>
      </w:r>
      <w:r w:rsidRPr="004E3E07">
        <w:rPr>
          <w:rFonts w:ascii="Cambria" w:eastAsia="Cambria" w:hAnsi="Cambria" w:cs="Cambria"/>
          <w:sz w:val="20"/>
          <w:szCs w:val="20"/>
          <w:lang w:val="es-MX"/>
        </w:rPr>
        <w:t>. De esta forma, en armonía con el artículo 19 constitucional, estas modificaciones amplían la prisión preventiva automática en la legislación correspondiente, permitiendo así la aplicación plena de esta medida cautelar y evitando interpretaciones contrarias de los operadores de justicia causadas</w:t>
      </w:r>
      <w:r w:rsidRPr="004E3E07">
        <w:rPr>
          <w:rFonts w:ascii="Cambria" w:hAnsi="Cambria"/>
          <w:vertAlign w:val="superscript"/>
          <w:lang w:val="es-MX"/>
        </w:rPr>
        <w:footnoteReference w:id="339"/>
      </w:r>
      <w:r w:rsidRPr="004E3E07">
        <w:rPr>
          <w:rFonts w:ascii="Cambria" w:eastAsia="Cambria" w:hAnsi="Cambria" w:cs="Cambria"/>
          <w:sz w:val="20"/>
          <w:szCs w:val="20"/>
          <w:lang w:val="es-MX"/>
        </w:rPr>
        <w:t>. A pesar de que la legislación mantiene la regulación de delitos inexcarcelables para diversos delitos, la CIDH saluda la sentencia de la Suprema Corte de Justicia de la Nación (SCJN) de 25 de octubre, mediante la cual se invalida la aplicación de la prisión preventiva oficiosa para los delitos de contrabando, defraudación fiscal y uso de facturas falsas</w:t>
      </w:r>
      <w:r w:rsidRPr="004E3E07">
        <w:rPr>
          <w:rFonts w:ascii="Cambria" w:hAnsi="Cambria"/>
          <w:vertAlign w:val="superscript"/>
          <w:lang w:val="es-MX"/>
        </w:rPr>
        <w:footnoteReference w:id="340"/>
      </w:r>
      <w:r w:rsidR="00596661" w:rsidRPr="004E3E07">
        <w:rPr>
          <w:rFonts w:ascii="Cambria" w:eastAsia="Cambria" w:hAnsi="Cambria" w:cs="Cambria"/>
          <w:sz w:val="20"/>
          <w:szCs w:val="20"/>
          <w:lang w:val="es-MX"/>
        </w:rPr>
        <w:t>.</w:t>
      </w:r>
    </w:p>
    <w:p w14:paraId="05824B30" w14:textId="75E4F34D" w:rsidR="00596661" w:rsidRPr="004E3E07" w:rsidRDefault="00CC6C4B" w:rsidP="00596661">
      <w:pPr>
        <w:numPr>
          <w:ilvl w:val="0"/>
          <w:numId w:val="5"/>
        </w:numPr>
        <w:shd w:val="clear" w:color="auto" w:fill="FFFFFF"/>
        <w:spacing w:after="240" w:line="240" w:lineRule="auto"/>
        <w:ind w:left="0" w:firstLine="720"/>
        <w:jc w:val="both"/>
        <w:rPr>
          <w:rFonts w:ascii="Cambria" w:eastAsia="Cambria" w:hAnsi="Cambria" w:cs="Cambria"/>
          <w:sz w:val="20"/>
          <w:szCs w:val="20"/>
          <w:lang w:val="es-MX"/>
        </w:rPr>
      </w:pPr>
      <w:r w:rsidRPr="004E3E07">
        <w:rPr>
          <w:rFonts w:ascii="Cambria" w:eastAsia="Cambria" w:hAnsi="Cambria" w:cs="Cambria"/>
          <w:sz w:val="20"/>
          <w:szCs w:val="20"/>
          <w:lang w:val="es-MX"/>
        </w:rPr>
        <w:t>En este contexto, la Comisión reitera que la aplicación de la prisión preventiva obligatoria por tipo de delito constituye una violación al derecho a la libertad personal en los términos del artículo 7.3 de la Convención Americana. Además, convierte la prisión preventiva en una pena anticipada</w:t>
      </w:r>
      <w:r w:rsidRPr="004E3E07">
        <w:rPr>
          <w:rFonts w:ascii="Cambria" w:hAnsi="Cambria"/>
          <w:vertAlign w:val="superscript"/>
          <w:lang w:val="es-MX"/>
        </w:rPr>
        <w:footnoteReference w:id="341"/>
      </w:r>
      <w:r w:rsidRPr="004E3E07">
        <w:rPr>
          <w:rFonts w:ascii="Cambria" w:eastAsia="Cambria" w:hAnsi="Cambria" w:cs="Cambria"/>
          <w:sz w:val="20"/>
          <w:szCs w:val="20"/>
          <w:lang w:val="es-MX"/>
        </w:rPr>
        <w:t>, lo que implica una interferencia ilegítima del legislador en las facultades de valoración que competen a la autoridad judicial</w:t>
      </w:r>
      <w:r w:rsidRPr="004E3E07">
        <w:rPr>
          <w:rFonts w:ascii="Cambria" w:hAnsi="Cambria"/>
          <w:vertAlign w:val="superscript"/>
          <w:lang w:val="es-MX"/>
        </w:rPr>
        <w:footnoteReference w:id="342"/>
      </w:r>
      <w:r w:rsidRPr="004E3E07">
        <w:rPr>
          <w:rFonts w:ascii="Cambria" w:eastAsia="Cambria" w:hAnsi="Cambria" w:cs="Cambria"/>
          <w:sz w:val="20"/>
          <w:szCs w:val="20"/>
          <w:lang w:val="es-MX"/>
        </w:rPr>
        <w:t>.</w:t>
      </w:r>
    </w:p>
    <w:p w14:paraId="6A240759" w14:textId="1B041B0F" w:rsidR="00596661" w:rsidRPr="004E3E07" w:rsidRDefault="00CC6C4B" w:rsidP="00596661">
      <w:pPr>
        <w:numPr>
          <w:ilvl w:val="0"/>
          <w:numId w:val="5"/>
        </w:numPr>
        <w:shd w:val="clear" w:color="auto" w:fill="FFFFFF"/>
        <w:spacing w:after="240" w:line="240" w:lineRule="auto"/>
        <w:ind w:left="0" w:firstLine="720"/>
        <w:jc w:val="both"/>
        <w:rPr>
          <w:rFonts w:ascii="Cambria" w:eastAsia="Cambria" w:hAnsi="Cambria" w:cs="Cambria"/>
          <w:sz w:val="20"/>
          <w:szCs w:val="20"/>
          <w:lang w:val="es-MX"/>
        </w:rPr>
      </w:pPr>
      <w:r w:rsidRPr="004E3E07">
        <w:rPr>
          <w:rFonts w:ascii="Cambria" w:eastAsia="Cambria" w:hAnsi="Cambria" w:cs="Cambria"/>
          <w:sz w:val="20"/>
          <w:szCs w:val="20"/>
          <w:lang w:val="es-MX"/>
        </w:rPr>
        <w:t xml:space="preserve">En consecuencia, la CIDH reitera su llamado a México para que la prisión preventiva se utilice de conformidad con los estándares internacionales en la materia, </w:t>
      </w:r>
      <w:r w:rsidR="008016E7" w:rsidRPr="004E3E07">
        <w:rPr>
          <w:rFonts w:ascii="Cambria" w:eastAsia="Cambria" w:hAnsi="Cambria" w:cs="Cambria"/>
          <w:sz w:val="20"/>
          <w:szCs w:val="20"/>
          <w:lang w:val="es-MX"/>
        </w:rPr>
        <w:t>y,</w:t>
      </w:r>
      <w:r w:rsidRPr="004E3E07">
        <w:rPr>
          <w:rFonts w:ascii="Cambria" w:eastAsia="Cambria" w:hAnsi="Cambria" w:cs="Cambria"/>
          <w:sz w:val="20"/>
          <w:szCs w:val="20"/>
          <w:lang w:val="es-MX"/>
        </w:rPr>
        <w:t xml:space="preserve"> en consecuencia, se eliminen los delitos </w:t>
      </w:r>
      <w:r w:rsidRPr="00843AA0">
        <w:rPr>
          <w:rFonts w:ascii="Cambria" w:eastAsia="Cambria" w:hAnsi="Cambria" w:cs="Cambria"/>
          <w:sz w:val="20"/>
          <w:szCs w:val="20"/>
          <w:lang w:val="es-MX"/>
        </w:rPr>
        <w:t xml:space="preserve">inexcarcelables en su ordenamiento jurídico. Con base en lo analizado, la CIDH observa que la recomendación se encuentra </w:t>
      </w:r>
      <w:r w:rsidRPr="00C3732E">
        <w:rPr>
          <w:rFonts w:ascii="Cambria" w:eastAsia="Cambria" w:hAnsi="Cambria" w:cs="Cambria"/>
          <w:sz w:val="20"/>
          <w:szCs w:val="20"/>
          <w:lang w:val="es-MX"/>
        </w:rPr>
        <w:t>pendiente de cumplimiento</w:t>
      </w:r>
      <w:r w:rsidRPr="00843AA0">
        <w:rPr>
          <w:rFonts w:ascii="Cambria" w:eastAsia="Cambria" w:hAnsi="Cambria" w:cs="Cambria"/>
          <w:sz w:val="20"/>
          <w:szCs w:val="20"/>
          <w:lang w:val="es-MX"/>
        </w:rPr>
        <w:t>.</w:t>
      </w:r>
      <w:r w:rsidR="00220665" w:rsidRPr="00220665">
        <w:rPr>
          <w:rFonts w:ascii="Cambria" w:eastAsia="Cambria" w:hAnsi="Cambria" w:cs="Cambria"/>
          <w:b/>
          <w:bCs/>
          <w:sz w:val="20"/>
          <w:szCs w:val="20"/>
          <w:lang w:val="es-MX"/>
        </w:rPr>
        <w:t xml:space="preserve"> </w:t>
      </w:r>
    </w:p>
    <w:p w14:paraId="5E59F467" w14:textId="30367108" w:rsidR="00596661" w:rsidRPr="004E3E07" w:rsidRDefault="00CC6C4B" w:rsidP="00596661">
      <w:pPr>
        <w:numPr>
          <w:ilvl w:val="0"/>
          <w:numId w:val="5"/>
        </w:numPr>
        <w:shd w:val="clear" w:color="auto" w:fill="FFFFFF"/>
        <w:spacing w:after="240" w:line="240" w:lineRule="auto"/>
        <w:ind w:left="0" w:firstLine="720"/>
        <w:jc w:val="both"/>
        <w:rPr>
          <w:rFonts w:ascii="Cambria" w:eastAsia="Cambria" w:hAnsi="Cambria" w:cs="Cambria"/>
          <w:sz w:val="20"/>
          <w:szCs w:val="20"/>
          <w:lang w:val="es-MX"/>
        </w:rPr>
      </w:pPr>
      <w:r w:rsidRPr="004E3E07">
        <w:rPr>
          <w:rFonts w:ascii="Cambria" w:eastAsia="Cambria" w:hAnsi="Cambria" w:cs="Cambria"/>
          <w:sz w:val="20"/>
          <w:szCs w:val="20"/>
          <w:lang w:val="es-MX"/>
        </w:rPr>
        <w:t xml:space="preserve">En cuanto a la recomendación relativa a </w:t>
      </w:r>
      <w:r w:rsidRPr="004E3E07">
        <w:rPr>
          <w:rFonts w:ascii="Cambria" w:eastAsia="Cambria" w:hAnsi="Cambria" w:cs="Cambria"/>
          <w:b/>
          <w:sz w:val="20"/>
          <w:szCs w:val="20"/>
          <w:lang w:val="es-MX"/>
        </w:rPr>
        <w:t>adoptar to</w:t>
      </w:r>
      <w:r w:rsidR="00596661" w:rsidRPr="004E3E07">
        <w:rPr>
          <w:rFonts w:ascii="Cambria" w:eastAsia="Cambria" w:hAnsi="Cambria" w:cs="Cambria"/>
          <w:b/>
          <w:sz w:val="20"/>
          <w:szCs w:val="20"/>
          <w:lang w:val="es-MX"/>
        </w:rPr>
        <w:t xml:space="preserve">das las medidas necesarias para </w:t>
      </w:r>
      <w:r w:rsidRPr="004E3E07">
        <w:rPr>
          <w:rFonts w:ascii="Cambria" w:eastAsia="Cambria" w:hAnsi="Cambria" w:cs="Cambria"/>
          <w:b/>
          <w:sz w:val="20"/>
          <w:szCs w:val="20"/>
          <w:lang w:val="es-MX"/>
        </w:rPr>
        <w:t>garantizar una estrategia de reinserción social</w:t>
      </w:r>
      <w:r w:rsidRPr="004E3E07">
        <w:rPr>
          <w:rFonts w:ascii="Cambria" w:eastAsia="Cambria" w:hAnsi="Cambria" w:cs="Cambria"/>
          <w:sz w:val="20"/>
          <w:szCs w:val="20"/>
          <w:lang w:val="es-MX"/>
        </w:rPr>
        <w:t>, el Estado señaló que el Sistema Penitenciario Federal promueve la integración de las personas privadas de la libertad con discapacidad y aquéllas pertenecientes a grupos vulnerables en diversas actividades laborales, educativas, culturales, deportivas de bajo impacto</w:t>
      </w:r>
      <w:r w:rsidRPr="004E3E07">
        <w:rPr>
          <w:rFonts w:ascii="Cambria" w:hAnsi="Cambria"/>
          <w:vertAlign w:val="superscript"/>
          <w:lang w:val="es-MX"/>
        </w:rPr>
        <w:footnoteReference w:id="343"/>
      </w:r>
      <w:r w:rsidRPr="004E3E07">
        <w:rPr>
          <w:rFonts w:ascii="Cambria" w:eastAsia="Cambria" w:hAnsi="Cambria" w:cs="Cambria"/>
          <w:sz w:val="20"/>
          <w:szCs w:val="20"/>
          <w:lang w:val="es-MX"/>
        </w:rPr>
        <w:t>. Asimismo, reportó la existencia de un catálogo de programas de reinserción que abarca actividades en todas las áreas técnicas al interior de los centros penitenciarios y de servicios pospenales</w:t>
      </w:r>
      <w:r w:rsidRPr="004E3E07">
        <w:rPr>
          <w:rFonts w:ascii="Cambria" w:hAnsi="Cambria"/>
          <w:vertAlign w:val="superscript"/>
          <w:lang w:val="es-MX"/>
        </w:rPr>
        <w:footnoteReference w:id="344"/>
      </w:r>
      <w:r w:rsidRPr="004E3E07">
        <w:rPr>
          <w:rFonts w:ascii="Cambria" w:eastAsia="Cambria" w:hAnsi="Cambria" w:cs="Cambria"/>
          <w:sz w:val="20"/>
          <w:szCs w:val="20"/>
          <w:lang w:val="es-MX"/>
        </w:rPr>
        <w:t>.</w:t>
      </w:r>
    </w:p>
    <w:p w14:paraId="353CBDB6" w14:textId="012C1A2A" w:rsidR="00596661" w:rsidRPr="004E3E07" w:rsidRDefault="00CC6C4B" w:rsidP="00596661">
      <w:pPr>
        <w:numPr>
          <w:ilvl w:val="0"/>
          <w:numId w:val="5"/>
        </w:numPr>
        <w:shd w:val="clear" w:color="auto" w:fill="FFFFFF"/>
        <w:spacing w:after="240" w:line="240" w:lineRule="auto"/>
        <w:ind w:left="0" w:firstLine="720"/>
        <w:jc w:val="both"/>
        <w:rPr>
          <w:rFonts w:ascii="Cambria" w:eastAsia="Cambria" w:hAnsi="Cambria" w:cs="Cambria"/>
          <w:sz w:val="20"/>
          <w:szCs w:val="20"/>
          <w:lang w:val="es-MX"/>
        </w:rPr>
      </w:pPr>
      <w:r w:rsidRPr="004E3E07">
        <w:rPr>
          <w:rFonts w:ascii="Cambria" w:eastAsia="Cambria" w:hAnsi="Cambria" w:cs="Cambria"/>
          <w:sz w:val="20"/>
          <w:szCs w:val="20"/>
          <w:lang w:val="es-MX"/>
        </w:rPr>
        <w:t>Por su parte, la CIDH toma nota de las medidas adoptadas por el Estado mexicano para favorecer la reinserción social de las personas privadas de libertad. Entre estas destacan: i) los trabajos de la Comisión Intersecretarial para la Reinserción Socia</w:t>
      </w:r>
      <w:r w:rsidR="007B1781" w:rsidRPr="004E3E07">
        <w:rPr>
          <w:rFonts w:ascii="Cambria" w:eastAsia="Cambria" w:hAnsi="Cambria" w:cs="Cambria"/>
          <w:sz w:val="20"/>
          <w:szCs w:val="20"/>
          <w:lang w:val="es-MX"/>
        </w:rPr>
        <w:t xml:space="preserve">l y Servicios Postpenales; ii) </w:t>
      </w:r>
      <w:r w:rsidRPr="004E3E07">
        <w:rPr>
          <w:rFonts w:ascii="Cambria" w:eastAsia="Cambria" w:hAnsi="Cambria" w:cs="Cambria"/>
          <w:sz w:val="20"/>
          <w:szCs w:val="20"/>
          <w:lang w:val="es-MX"/>
        </w:rPr>
        <w:t xml:space="preserve">la propuesta de 10 ejes de acción para reformar el sistema penitenciario; iii) un programa posiberación; y, iv) el fortalecimiento de los servicios educativos. </w:t>
      </w:r>
      <w:r w:rsidR="00D93564">
        <w:rPr>
          <w:rFonts w:ascii="Cambria" w:eastAsia="Cambria" w:hAnsi="Cambria" w:cs="Cambria"/>
          <w:sz w:val="20"/>
          <w:szCs w:val="20"/>
          <w:lang w:val="es-MX"/>
        </w:rPr>
        <w:t>S</w:t>
      </w:r>
      <w:r w:rsidR="007B1781" w:rsidRPr="00BA6325">
        <w:rPr>
          <w:rFonts w:ascii="Cambria" w:eastAsia="Cambria" w:hAnsi="Cambria" w:cs="Cambria"/>
          <w:sz w:val="20"/>
          <w:szCs w:val="20"/>
          <w:lang w:val="es-MX"/>
        </w:rPr>
        <w:t>egún</w:t>
      </w:r>
      <w:r w:rsidR="007B1781" w:rsidRPr="004E3E07">
        <w:rPr>
          <w:rFonts w:ascii="Cambria" w:eastAsia="Cambria" w:hAnsi="Cambria" w:cs="Cambria"/>
          <w:sz w:val="20"/>
          <w:szCs w:val="20"/>
          <w:lang w:val="es-MX"/>
        </w:rPr>
        <w:t xml:space="preserve"> información oficial, en octubre se </w:t>
      </w:r>
      <w:r w:rsidRPr="004E3E07">
        <w:rPr>
          <w:rFonts w:ascii="Cambria" w:eastAsia="Cambria" w:hAnsi="Cambria" w:cs="Cambria"/>
          <w:sz w:val="20"/>
          <w:szCs w:val="20"/>
          <w:lang w:val="es-MX"/>
        </w:rPr>
        <w:t>iniciaron los trabajos de las subcomisiones de la Comisión Intersecretarial en centros de detención federales</w:t>
      </w:r>
      <w:r w:rsidR="002C0835">
        <w:rPr>
          <w:rFonts w:ascii="Cambria" w:eastAsia="Cambria" w:hAnsi="Cambria" w:cs="Cambria"/>
          <w:sz w:val="20"/>
          <w:szCs w:val="20"/>
          <w:lang w:val="es-MX"/>
        </w:rPr>
        <w:t>, los cuales</w:t>
      </w:r>
      <w:r w:rsidRPr="004E3E07">
        <w:rPr>
          <w:rFonts w:ascii="Cambria" w:eastAsia="Cambria" w:hAnsi="Cambria" w:cs="Cambria"/>
          <w:sz w:val="20"/>
          <w:szCs w:val="20"/>
          <w:lang w:val="es-MX"/>
        </w:rPr>
        <w:t xml:space="preserve"> proponen abordar diversas materias para alcanzar una efectiva reinserción social, tales como salud, bienestar, economía, educación, trabajo, capacitación y cultura.</w:t>
      </w:r>
      <w:r w:rsidRPr="004E3E07">
        <w:rPr>
          <w:rFonts w:ascii="Cambria" w:hAnsi="Cambria"/>
          <w:vertAlign w:val="superscript"/>
          <w:lang w:val="es-MX"/>
        </w:rPr>
        <w:footnoteReference w:id="345"/>
      </w:r>
      <w:r w:rsidRPr="004E3E07">
        <w:rPr>
          <w:rFonts w:ascii="Cambria" w:eastAsia="Cambria" w:hAnsi="Cambria" w:cs="Cambria"/>
          <w:sz w:val="20"/>
          <w:szCs w:val="20"/>
          <w:lang w:val="es-MX"/>
        </w:rPr>
        <w:t>.</w:t>
      </w:r>
      <w:bookmarkStart w:id="2" w:name="_heading=h.gjdgxs" w:colFirst="0" w:colLast="0"/>
      <w:bookmarkEnd w:id="2"/>
    </w:p>
    <w:p w14:paraId="323A3347" w14:textId="67918620" w:rsidR="00392F84" w:rsidRPr="004E3E07" w:rsidRDefault="00392F84" w:rsidP="00596661">
      <w:pPr>
        <w:numPr>
          <w:ilvl w:val="0"/>
          <w:numId w:val="5"/>
        </w:numPr>
        <w:shd w:val="clear" w:color="auto" w:fill="FFFFFF"/>
        <w:spacing w:after="240" w:line="240" w:lineRule="auto"/>
        <w:ind w:left="0" w:firstLine="720"/>
        <w:jc w:val="both"/>
        <w:rPr>
          <w:rFonts w:ascii="Cambria" w:eastAsia="Cambria" w:hAnsi="Cambria" w:cs="Cambria"/>
          <w:sz w:val="20"/>
          <w:szCs w:val="20"/>
          <w:lang w:val="es-MX"/>
        </w:rPr>
      </w:pPr>
      <w:r>
        <w:rPr>
          <w:rFonts w:ascii="Cambria" w:eastAsia="Cambria" w:hAnsi="Cambria" w:cs="Cambria"/>
          <w:sz w:val="20"/>
          <w:szCs w:val="20"/>
          <w:lang w:val="es-MX"/>
        </w:rPr>
        <w:t xml:space="preserve">Por su parte la CNDH informó sobre la adopción de la </w:t>
      </w:r>
      <w:r w:rsidR="00D4184B" w:rsidRPr="00D4184B">
        <w:rPr>
          <w:rFonts w:ascii="Cambria" w:eastAsia="Cambria" w:hAnsi="Cambria" w:cs="Cambria"/>
          <w:sz w:val="20"/>
          <w:szCs w:val="20"/>
          <w:lang w:val="es-MX"/>
        </w:rPr>
        <w:t>Recomendación General 44/2021 para garantizar el derecho al trabajo digno de las personas privadas de la libertad en los centros penitenciarios de la República Mexicana</w:t>
      </w:r>
      <w:r w:rsidR="00D4184B">
        <w:rPr>
          <w:rFonts w:ascii="Cambria" w:eastAsia="Cambria" w:hAnsi="Cambria" w:cs="Cambria"/>
          <w:sz w:val="20"/>
          <w:szCs w:val="20"/>
          <w:lang w:val="es-MX"/>
        </w:rPr>
        <w:t>, de</w:t>
      </w:r>
      <w:r w:rsidR="00D4184B" w:rsidRPr="00D4184B">
        <w:rPr>
          <w:rFonts w:ascii="Cambria" w:eastAsia="Cambria" w:hAnsi="Cambria" w:cs="Cambria"/>
          <w:sz w:val="20"/>
          <w:szCs w:val="20"/>
          <w:lang w:val="es-MX"/>
        </w:rPr>
        <w:t xml:space="preserve"> noviembre de 2021</w:t>
      </w:r>
      <w:r w:rsidR="0066315D">
        <w:rPr>
          <w:rStyle w:val="FootnoteReference"/>
          <w:rFonts w:ascii="Cambria" w:eastAsia="Cambria" w:hAnsi="Cambria" w:cs="Cambria"/>
          <w:sz w:val="20"/>
          <w:szCs w:val="20"/>
          <w:lang w:val="es-MX"/>
        </w:rPr>
        <w:footnoteReference w:id="346"/>
      </w:r>
      <w:r w:rsidR="00D4184B">
        <w:rPr>
          <w:rFonts w:ascii="Cambria" w:eastAsia="Cambria" w:hAnsi="Cambria" w:cs="Cambria"/>
          <w:sz w:val="20"/>
          <w:szCs w:val="20"/>
          <w:lang w:val="es-MX"/>
        </w:rPr>
        <w:t>.</w:t>
      </w:r>
    </w:p>
    <w:p w14:paraId="18BE4CA6" w14:textId="036532F9" w:rsidR="00596661" w:rsidRPr="004E3E07" w:rsidRDefault="00CC6C4B" w:rsidP="00596661">
      <w:pPr>
        <w:numPr>
          <w:ilvl w:val="0"/>
          <w:numId w:val="5"/>
        </w:numPr>
        <w:shd w:val="clear" w:color="auto" w:fill="FFFFFF"/>
        <w:spacing w:after="240" w:line="240" w:lineRule="auto"/>
        <w:ind w:left="0" w:firstLine="720"/>
        <w:jc w:val="both"/>
        <w:rPr>
          <w:rFonts w:ascii="Cambria" w:eastAsia="Cambria" w:hAnsi="Cambria" w:cs="Cambria"/>
          <w:sz w:val="20"/>
          <w:szCs w:val="20"/>
          <w:lang w:val="es-MX"/>
        </w:rPr>
      </w:pPr>
      <w:r w:rsidRPr="004E3E07">
        <w:rPr>
          <w:rFonts w:ascii="Cambria" w:eastAsia="Cambria" w:hAnsi="Cambria" w:cs="Cambria"/>
          <w:sz w:val="20"/>
          <w:szCs w:val="20"/>
          <w:lang w:val="es-MX"/>
        </w:rPr>
        <w:t xml:space="preserve">En este sentido, la CIDH llama al Estado a implementar y dar seguimiento a las acciones adoptadas en materia de reinserción social. La Comisión concluye que la recomendación se encuentra en </w:t>
      </w:r>
      <w:r w:rsidRPr="00C3732E">
        <w:rPr>
          <w:rFonts w:ascii="Cambria" w:eastAsia="Cambria" w:hAnsi="Cambria" w:cs="Cambria"/>
          <w:sz w:val="20"/>
          <w:szCs w:val="20"/>
          <w:lang w:val="es-MX"/>
        </w:rPr>
        <w:t>cumplimiento parcial</w:t>
      </w:r>
      <w:r w:rsidRPr="004E3E07">
        <w:rPr>
          <w:rFonts w:ascii="Cambria" w:eastAsia="Cambria" w:hAnsi="Cambria" w:cs="Cambria"/>
          <w:sz w:val="20"/>
          <w:szCs w:val="20"/>
          <w:lang w:val="es-MX"/>
        </w:rPr>
        <w:t xml:space="preserve">. </w:t>
      </w:r>
    </w:p>
    <w:p w14:paraId="3FAF2C77" w14:textId="466D8CD4" w:rsidR="00596661" w:rsidRPr="004E3E07" w:rsidRDefault="00CC6C4B" w:rsidP="00596661">
      <w:pPr>
        <w:numPr>
          <w:ilvl w:val="0"/>
          <w:numId w:val="5"/>
        </w:numPr>
        <w:shd w:val="clear" w:color="auto" w:fill="FFFFFF"/>
        <w:spacing w:after="240" w:line="240" w:lineRule="auto"/>
        <w:ind w:left="0" w:firstLine="720"/>
        <w:jc w:val="both"/>
        <w:rPr>
          <w:rFonts w:ascii="Cambria" w:eastAsia="Cambria" w:hAnsi="Cambria" w:cs="Cambria"/>
          <w:sz w:val="20"/>
          <w:szCs w:val="20"/>
          <w:lang w:val="es-MX"/>
        </w:rPr>
      </w:pPr>
      <w:r w:rsidRPr="004E3E07">
        <w:rPr>
          <w:rFonts w:ascii="Cambria" w:eastAsia="Cambria" w:hAnsi="Cambria" w:cs="Cambria"/>
          <w:sz w:val="20"/>
          <w:szCs w:val="20"/>
          <w:lang w:val="es-MX"/>
        </w:rPr>
        <w:t xml:space="preserve">En relación con la recomendación sobre </w:t>
      </w:r>
      <w:r w:rsidRPr="004E3E07">
        <w:rPr>
          <w:rFonts w:ascii="Cambria" w:eastAsia="Cambria" w:hAnsi="Cambria" w:cs="Cambria"/>
          <w:b/>
          <w:sz w:val="20"/>
          <w:szCs w:val="20"/>
          <w:lang w:val="es-MX"/>
        </w:rPr>
        <w:t>hacer pública la información sobre los estándares de la ACA para acreditar centros penales,</w:t>
      </w:r>
      <w:r w:rsidRPr="004E3E07">
        <w:rPr>
          <w:rFonts w:ascii="Cambria" w:eastAsia="Cambria" w:hAnsi="Cambria" w:cs="Cambria"/>
          <w:sz w:val="20"/>
          <w:szCs w:val="20"/>
          <w:lang w:val="es-MX"/>
        </w:rPr>
        <w:t xml:space="preserve"> el Estado indicó que a pesar de que informa sobre la acreditación de algún centro y los beneficios que ello implica, los datos relacionados con el cumplimiento de cada estándar no son compartidos. Ello, debido a que se “vulneraría la seguridad de los centros”, y a que los Estándares Internacionales Centrales son “propiedad registrada de ACA”</w:t>
      </w:r>
      <w:r w:rsidRPr="004E3E07">
        <w:rPr>
          <w:rFonts w:ascii="Cambria" w:hAnsi="Cambria"/>
          <w:vertAlign w:val="superscript"/>
          <w:lang w:val="es-MX"/>
        </w:rPr>
        <w:footnoteReference w:id="347"/>
      </w:r>
      <w:r w:rsidRPr="004E3E07">
        <w:rPr>
          <w:rFonts w:ascii="Cambria" w:eastAsia="Cambria" w:hAnsi="Cambria" w:cs="Cambria"/>
          <w:sz w:val="20"/>
          <w:szCs w:val="20"/>
          <w:lang w:val="es-MX"/>
        </w:rPr>
        <w:t xml:space="preserve">. Al respecto, la Comisión nota </w:t>
      </w:r>
      <w:r w:rsidR="008016E7" w:rsidRPr="004E3E07">
        <w:rPr>
          <w:rFonts w:ascii="Cambria" w:eastAsia="Cambria" w:hAnsi="Cambria" w:cs="Cambria"/>
          <w:sz w:val="20"/>
          <w:szCs w:val="20"/>
          <w:lang w:val="es-MX"/>
        </w:rPr>
        <w:t>que,</w:t>
      </w:r>
      <w:r w:rsidRPr="004E3E07">
        <w:rPr>
          <w:rFonts w:ascii="Cambria" w:eastAsia="Cambria" w:hAnsi="Cambria" w:cs="Cambria"/>
          <w:sz w:val="20"/>
          <w:szCs w:val="20"/>
          <w:lang w:val="es-MX"/>
        </w:rPr>
        <w:t xml:space="preserve"> de acuerdo con la información disponible, el Estado continúa sin dar publicidad a los criterios de dicha certificación. Por ello, la CIDH concluye que la presente recomendación se encuentra </w:t>
      </w:r>
      <w:r w:rsidRPr="005229D4">
        <w:rPr>
          <w:rFonts w:ascii="Cambria" w:eastAsia="Cambria" w:hAnsi="Cambria" w:cs="Cambria"/>
          <w:sz w:val="20"/>
          <w:szCs w:val="20"/>
          <w:lang w:val="es-MX"/>
        </w:rPr>
        <w:t>pendiente de cumplimiento</w:t>
      </w:r>
      <w:r w:rsidRPr="004E3E07">
        <w:rPr>
          <w:rFonts w:ascii="Cambria" w:eastAsia="Cambria" w:hAnsi="Cambria" w:cs="Cambria"/>
          <w:sz w:val="20"/>
          <w:szCs w:val="20"/>
          <w:lang w:val="es-MX"/>
        </w:rPr>
        <w:t>.</w:t>
      </w:r>
    </w:p>
    <w:p w14:paraId="6ADE8BFE" w14:textId="2D0EDBDE" w:rsidR="00596661" w:rsidRPr="004E3E07" w:rsidRDefault="00CC6C4B" w:rsidP="00596661">
      <w:pPr>
        <w:numPr>
          <w:ilvl w:val="0"/>
          <w:numId w:val="5"/>
        </w:numPr>
        <w:shd w:val="clear" w:color="auto" w:fill="FFFFFF"/>
        <w:spacing w:after="240" w:line="240" w:lineRule="auto"/>
        <w:ind w:left="0" w:firstLine="720"/>
        <w:jc w:val="both"/>
        <w:rPr>
          <w:rFonts w:ascii="Cambria" w:eastAsia="Cambria" w:hAnsi="Cambria" w:cs="Cambria"/>
          <w:sz w:val="20"/>
          <w:szCs w:val="20"/>
          <w:lang w:val="es-MX"/>
        </w:rPr>
      </w:pPr>
      <w:r w:rsidRPr="004E3E07">
        <w:rPr>
          <w:rFonts w:ascii="Cambria" w:eastAsia="Cambria" w:hAnsi="Cambria" w:cs="Cambria"/>
          <w:sz w:val="20"/>
          <w:szCs w:val="20"/>
          <w:lang w:val="es-MX"/>
        </w:rPr>
        <w:t xml:space="preserve">Respecto de la recomendación dirigida a </w:t>
      </w:r>
      <w:r w:rsidRPr="004E3E07">
        <w:rPr>
          <w:rFonts w:ascii="Cambria" w:eastAsia="Cambria" w:hAnsi="Cambria" w:cs="Cambria"/>
          <w:b/>
          <w:sz w:val="20"/>
          <w:szCs w:val="20"/>
          <w:lang w:val="es-MX"/>
        </w:rPr>
        <w:t>implementar medidas para garantizar condiciones de detención adecuadas, especialmente para grupos en especial situación de vulnerabilidad, políticas penitenciarias con un enfoque de género y la eliminación de barreras para las personas con discapacidad</w:t>
      </w:r>
      <w:r w:rsidRPr="004E3E07">
        <w:rPr>
          <w:rFonts w:ascii="Cambria" w:eastAsia="Cambria" w:hAnsi="Cambria" w:cs="Cambria"/>
          <w:sz w:val="20"/>
          <w:szCs w:val="20"/>
          <w:lang w:val="es-MX"/>
        </w:rPr>
        <w:t>, el Estado mexicano se refirió al Programa Integral para Prevenir, Atender, Sancionar y Erradicar la Violencia contra las Mujeres 2021-2024 (PIPASEVM), que contiene acciones en beneficio de diversos grupos de mujeres, entre ellas, las privadas de libertad</w:t>
      </w:r>
      <w:r w:rsidRPr="004E3E07">
        <w:rPr>
          <w:rFonts w:ascii="Cambria" w:hAnsi="Cambria"/>
          <w:vertAlign w:val="superscript"/>
          <w:lang w:val="es-MX"/>
        </w:rPr>
        <w:footnoteReference w:id="348"/>
      </w:r>
      <w:r w:rsidRPr="004E3E07">
        <w:rPr>
          <w:rFonts w:ascii="Cambria" w:eastAsia="Cambria" w:hAnsi="Cambria" w:cs="Cambria"/>
          <w:sz w:val="20"/>
          <w:szCs w:val="20"/>
          <w:lang w:val="es-MX"/>
        </w:rPr>
        <w:t xml:space="preserve">. Además, reportó </w:t>
      </w:r>
      <w:r w:rsidR="008016E7" w:rsidRPr="004E3E07">
        <w:rPr>
          <w:rFonts w:ascii="Cambria" w:eastAsia="Cambria" w:hAnsi="Cambria" w:cs="Cambria"/>
          <w:sz w:val="20"/>
          <w:szCs w:val="20"/>
          <w:lang w:val="es-MX"/>
        </w:rPr>
        <w:t>que,</w:t>
      </w:r>
      <w:r w:rsidRPr="004E3E07">
        <w:rPr>
          <w:rFonts w:ascii="Cambria" w:eastAsia="Cambria" w:hAnsi="Cambria" w:cs="Cambria"/>
          <w:sz w:val="20"/>
          <w:szCs w:val="20"/>
          <w:lang w:val="es-MX"/>
        </w:rPr>
        <w:t xml:space="preserve"> en el marco del cumplimiento de la sentencia de la Corte Interamericana en el Caso </w:t>
      </w:r>
      <w:r w:rsidRPr="00220665">
        <w:rPr>
          <w:rFonts w:ascii="Cambria" w:eastAsia="Cambria" w:hAnsi="Cambria" w:cs="Cambria"/>
          <w:iCs/>
          <w:sz w:val="20"/>
          <w:szCs w:val="20"/>
          <w:lang w:val="es-MX"/>
        </w:rPr>
        <w:t>Mujeres Víctimas de Tortura Sexual en Atenco Vs. México,</w:t>
      </w:r>
      <w:r w:rsidRPr="004E3E07">
        <w:rPr>
          <w:rFonts w:ascii="Cambria" w:eastAsia="Cambria" w:hAnsi="Cambria" w:cs="Cambria"/>
          <w:sz w:val="20"/>
          <w:szCs w:val="20"/>
          <w:lang w:val="es-MX"/>
        </w:rPr>
        <w:t xml:space="preserve"> la Comisión Nacional para Prevenir y Erradicar la violencia contra las mujeres (CONAVIM) elaboró los lineamientos para la organización y funcionamiento del “Grupo de Apoyo Técnico del Mecanismo de Seguimiento de Casos de Tortura Sexual cometida contra Mujeres”. Dichos lineamientos establecen la realización de un diagnóstico con perspectiva de género sobre tortura sexual en perjuicio de mujeres, con el propósito de elaborar políticas públicas de prevención, atención, sanción y erradicación de la tortura sexual</w:t>
      </w:r>
      <w:r w:rsidRPr="004E3E07">
        <w:rPr>
          <w:rFonts w:ascii="Cambria" w:hAnsi="Cambria"/>
          <w:vertAlign w:val="superscript"/>
          <w:lang w:val="es-MX"/>
        </w:rPr>
        <w:footnoteReference w:id="349"/>
      </w:r>
      <w:r w:rsidRPr="004E3E07">
        <w:rPr>
          <w:rFonts w:ascii="Cambria" w:eastAsia="Cambria" w:hAnsi="Cambria" w:cs="Cambria"/>
          <w:sz w:val="20"/>
          <w:szCs w:val="20"/>
          <w:lang w:val="es-MX"/>
        </w:rPr>
        <w:t xml:space="preserve">. </w:t>
      </w:r>
    </w:p>
    <w:p w14:paraId="02DA00F0" w14:textId="2BFEAFD0" w:rsidR="00BA47FA" w:rsidRPr="004E3E07" w:rsidRDefault="00BA47FA" w:rsidP="00596661">
      <w:pPr>
        <w:numPr>
          <w:ilvl w:val="0"/>
          <w:numId w:val="5"/>
        </w:numPr>
        <w:shd w:val="clear" w:color="auto" w:fill="FFFFFF"/>
        <w:spacing w:after="240" w:line="240" w:lineRule="auto"/>
        <w:ind w:left="0" w:firstLine="720"/>
        <w:jc w:val="both"/>
        <w:rPr>
          <w:rFonts w:ascii="Cambria" w:eastAsia="Cambria" w:hAnsi="Cambria" w:cs="Cambria"/>
          <w:sz w:val="20"/>
          <w:szCs w:val="20"/>
          <w:lang w:val="es-MX"/>
        </w:rPr>
      </w:pPr>
      <w:r>
        <w:rPr>
          <w:rFonts w:ascii="Cambria" w:eastAsia="Cambria" w:hAnsi="Cambria" w:cs="Cambria"/>
          <w:sz w:val="20"/>
          <w:szCs w:val="20"/>
          <w:lang w:val="es-MX"/>
        </w:rPr>
        <w:t xml:space="preserve">Por su parte, la CNDH indicó que adoptó la </w:t>
      </w:r>
      <w:r w:rsidR="00A42F55" w:rsidRPr="00A42F55">
        <w:rPr>
          <w:rFonts w:ascii="Cambria" w:eastAsia="Cambria" w:hAnsi="Cambria" w:cs="Cambria"/>
          <w:sz w:val="20"/>
          <w:szCs w:val="20"/>
          <w:lang w:val="es-MX"/>
        </w:rPr>
        <w:t>Recomendación 32/2021</w:t>
      </w:r>
      <w:r w:rsidR="00A42F55">
        <w:rPr>
          <w:rFonts w:ascii="Cambria" w:eastAsia="Cambria" w:hAnsi="Cambria" w:cs="Cambria"/>
          <w:sz w:val="20"/>
          <w:szCs w:val="20"/>
          <w:lang w:val="es-MX"/>
        </w:rPr>
        <w:t>,</w:t>
      </w:r>
      <w:r w:rsidR="00A42F55" w:rsidRPr="00A42F55">
        <w:t xml:space="preserve"> </w:t>
      </w:r>
      <w:r w:rsidR="00A42F55">
        <w:t>s</w:t>
      </w:r>
      <w:r w:rsidR="00A42F55" w:rsidRPr="00A42F55">
        <w:rPr>
          <w:rFonts w:ascii="Cambria" w:eastAsia="Cambria" w:hAnsi="Cambria" w:cs="Cambria"/>
          <w:sz w:val="20"/>
          <w:szCs w:val="20"/>
          <w:lang w:val="es-MX"/>
        </w:rPr>
        <w:t>obre Gestión Menstrual Digna a las Mujeres Privadas de la Libertad</w:t>
      </w:r>
      <w:r w:rsidR="00A42F55">
        <w:rPr>
          <w:rFonts w:ascii="Cambria" w:eastAsia="Cambria" w:hAnsi="Cambria" w:cs="Cambria"/>
          <w:sz w:val="20"/>
          <w:szCs w:val="20"/>
          <w:lang w:val="es-MX"/>
        </w:rPr>
        <w:t xml:space="preserve"> para la </w:t>
      </w:r>
      <w:r w:rsidR="00A42F55" w:rsidRPr="00A42F55">
        <w:rPr>
          <w:rFonts w:ascii="Cambria" w:eastAsia="Cambria" w:hAnsi="Cambria" w:cs="Cambria"/>
          <w:sz w:val="20"/>
          <w:szCs w:val="20"/>
          <w:lang w:val="es-MX"/>
        </w:rPr>
        <w:t>garant</w:t>
      </w:r>
      <w:r w:rsidR="00A42F55">
        <w:rPr>
          <w:rFonts w:ascii="Cambria" w:eastAsia="Cambria" w:hAnsi="Cambria" w:cs="Cambria"/>
          <w:sz w:val="20"/>
          <w:szCs w:val="20"/>
          <w:lang w:val="es-MX"/>
        </w:rPr>
        <w:t>ía</w:t>
      </w:r>
      <w:r w:rsidR="00A42F55" w:rsidRPr="00A42F55">
        <w:rPr>
          <w:rFonts w:ascii="Cambria" w:eastAsia="Cambria" w:hAnsi="Cambria" w:cs="Cambria"/>
          <w:sz w:val="20"/>
          <w:szCs w:val="20"/>
          <w:lang w:val="es-MX"/>
        </w:rPr>
        <w:t xml:space="preserve"> </w:t>
      </w:r>
      <w:r w:rsidR="00A42F55">
        <w:rPr>
          <w:rFonts w:ascii="Cambria" w:eastAsia="Cambria" w:hAnsi="Cambria" w:cs="Cambria"/>
          <w:sz w:val="20"/>
          <w:szCs w:val="20"/>
          <w:lang w:val="es-MX"/>
        </w:rPr>
        <w:t xml:space="preserve">de </w:t>
      </w:r>
      <w:r w:rsidR="00A42F55" w:rsidRPr="00A42F55">
        <w:rPr>
          <w:rFonts w:ascii="Cambria" w:eastAsia="Cambria" w:hAnsi="Cambria" w:cs="Cambria"/>
          <w:sz w:val="20"/>
          <w:szCs w:val="20"/>
          <w:lang w:val="es-MX"/>
        </w:rPr>
        <w:t>las mujeres y personas menstruantes privadas de la libertad el derecho a la gestión e higiene menstrual digna en los centros penitenciarios del país.</w:t>
      </w:r>
      <w:r w:rsidR="00A42F55">
        <w:rPr>
          <w:rFonts w:ascii="Cambria" w:eastAsia="Cambria" w:hAnsi="Cambria" w:cs="Cambria"/>
          <w:sz w:val="20"/>
          <w:szCs w:val="20"/>
          <w:lang w:val="es-MX"/>
        </w:rPr>
        <w:t xml:space="preserve"> Asi también, informó de la adopción de </w:t>
      </w:r>
      <w:r w:rsidR="00940BA6">
        <w:rPr>
          <w:rFonts w:ascii="Cambria" w:eastAsia="Cambria" w:hAnsi="Cambria" w:cs="Cambria"/>
          <w:sz w:val="20"/>
          <w:szCs w:val="20"/>
          <w:lang w:val="es-MX"/>
        </w:rPr>
        <w:t>la R</w:t>
      </w:r>
      <w:r w:rsidR="00940BA6" w:rsidRPr="00940BA6">
        <w:rPr>
          <w:rFonts w:ascii="Cambria" w:eastAsia="Cambria" w:hAnsi="Cambria" w:cs="Cambria"/>
          <w:sz w:val="20"/>
          <w:szCs w:val="20"/>
          <w:lang w:val="es-MX"/>
        </w:rPr>
        <w:t>ecomendación 84/2021 sobre la falta de detección oportuna de cáncer de mama a una persona privada de la libertad en el Centro Federal de Readaptación Social en Coatlán del Río, Morelos</w:t>
      </w:r>
      <w:r w:rsidR="00940BA6">
        <w:rPr>
          <w:rStyle w:val="FootnoteReference"/>
          <w:rFonts w:ascii="Cambria" w:eastAsia="Cambria" w:hAnsi="Cambria" w:cs="Cambria"/>
          <w:sz w:val="20"/>
          <w:szCs w:val="20"/>
          <w:lang w:val="es-MX"/>
        </w:rPr>
        <w:footnoteReference w:id="350"/>
      </w:r>
      <w:r w:rsidR="00940BA6">
        <w:rPr>
          <w:rFonts w:ascii="Cambria" w:eastAsia="Cambria" w:hAnsi="Cambria" w:cs="Cambria"/>
          <w:sz w:val="20"/>
          <w:szCs w:val="20"/>
          <w:lang w:val="es-MX"/>
        </w:rPr>
        <w:t>.</w:t>
      </w:r>
    </w:p>
    <w:p w14:paraId="74B2F6B0" w14:textId="4306E5CD" w:rsidR="00596661" w:rsidRPr="004E3E07" w:rsidRDefault="00CC6C4B" w:rsidP="00596661">
      <w:pPr>
        <w:numPr>
          <w:ilvl w:val="0"/>
          <w:numId w:val="5"/>
        </w:numPr>
        <w:shd w:val="clear" w:color="auto" w:fill="FFFFFF"/>
        <w:spacing w:after="240" w:line="240" w:lineRule="auto"/>
        <w:ind w:left="0" w:firstLine="720"/>
        <w:jc w:val="both"/>
        <w:rPr>
          <w:rFonts w:ascii="Cambria" w:eastAsia="Cambria" w:hAnsi="Cambria" w:cs="Cambria"/>
          <w:sz w:val="20"/>
          <w:szCs w:val="20"/>
          <w:lang w:val="es-MX"/>
        </w:rPr>
      </w:pPr>
      <w:r w:rsidRPr="004E3E07">
        <w:rPr>
          <w:rFonts w:ascii="Cambria" w:eastAsia="Cambria" w:hAnsi="Cambria" w:cs="Cambria"/>
          <w:sz w:val="20"/>
          <w:szCs w:val="20"/>
          <w:lang w:val="es-MX"/>
        </w:rPr>
        <w:t>Respecto de la presente reco</w:t>
      </w:r>
      <w:r w:rsidR="00596661" w:rsidRPr="004E3E07">
        <w:rPr>
          <w:rFonts w:ascii="Cambria" w:eastAsia="Cambria" w:hAnsi="Cambria" w:cs="Cambria"/>
          <w:sz w:val="20"/>
          <w:szCs w:val="20"/>
          <w:lang w:val="es-MX"/>
        </w:rPr>
        <w:t xml:space="preserve">mendación, la Comisión nota que, </w:t>
      </w:r>
      <w:r w:rsidRPr="004E3E07">
        <w:rPr>
          <w:rFonts w:ascii="Cambria" w:eastAsia="Cambria" w:hAnsi="Cambria" w:cs="Cambria"/>
          <w:sz w:val="20"/>
          <w:szCs w:val="20"/>
          <w:lang w:val="es-MX"/>
        </w:rPr>
        <w:t>de acuerdo con datos oficiales, hasta septiembre de 2021</w:t>
      </w:r>
      <w:r w:rsidR="00AB70D4">
        <w:rPr>
          <w:rFonts w:ascii="Cambria" w:eastAsia="Cambria" w:hAnsi="Cambria" w:cs="Cambria"/>
          <w:sz w:val="20"/>
          <w:szCs w:val="20"/>
          <w:lang w:val="es-MX"/>
        </w:rPr>
        <w:t>,</w:t>
      </w:r>
      <w:r w:rsidRPr="004E3E07">
        <w:rPr>
          <w:rFonts w:ascii="Cambria" w:eastAsia="Cambria" w:hAnsi="Cambria" w:cs="Cambria"/>
          <w:sz w:val="20"/>
          <w:szCs w:val="20"/>
          <w:lang w:val="es-MX"/>
        </w:rPr>
        <w:t xml:space="preserve"> el sistema penitenciario mexicano albergaba a un total de 12.613 mujeres privadas de libertad. A pesar de integrarse por 288 centros de detención, sólo 22 de ellos estarían destinados a la detención exclusiva de mujeres</w:t>
      </w:r>
      <w:r w:rsidRPr="004E3E07">
        <w:rPr>
          <w:rFonts w:ascii="Cambria" w:hAnsi="Cambria"/>
          <w:vertAlign w:val="superscript"/>
          <w:lang w:val="es-MX"/>
        </w:rPr>
        <w:footnoteReference w:id="351"/>
      </w:r>
      <w:r w:rsidRPr="004E3E07">
        <w:rPr>
          <w:rFonts w:ascii="Cambria" w:eastAsia="Cambria" w:hAnsi="Cambria" w:cs="Cambria"/>
          <w:sz w:val="20"/>
          <w:szCs w:val="20"/>
          <w:lang w:val="es-MX"/>
        </w:rPr>
        <w:t>. Adicionalmente, la CIDH observa con preocupación que cerca del 50% de las mujeres privadas de libertad se encontraría en centros de detención mixtos</w:t>
      </w:r>
      <w:r w:rsidRPr="004E3E07">
        <w:rPr>
          <w:rFonts w:ascii="Cambria" w:hAnsi="Cambria"/>
          <w:vertAlign w:val="superscript"/>
          <w:lang w:val="es-MX"/>
        </w:rPr>
        <w:footnoteReference w:id="352"/>
      </w:r>
      <w:r w:rsidRPr="004E3E07">
        <w:rPr>
          <w:rFonts w:ascii="Cambria" w:eastAsia="Cambria" w:hAnsi="Cambria" w:cs="Cambria"/>
          <w:sz w:val="20"/>
          <w:szCs w:val="20"/>
          <w:lang w:val="es-MX"/>
        </w:rPr>
        <w:t>. Respecto de las condiciones de detención, la CNDH reportó vulneraciones que abarcan: i) insuficiente separación entre hombres y mujeres</w:t>
      </w:r>
      <w:r w:rsidRPr="004E3E07">
        <w:rPr>
          <w:rFonts w:ascii="Cambria" w:hAnsi="Cambria"/>
          <w:vertAlign w:val="superscript"/>
          <w:lang w:val="es-MX"/>
        </w:rPr>
        <w:footnoteReference w:id="353"/>
      </w:r>
      <w:r w:rsidRPr="004E3E07">
        <w:rPr>
          <w:rFonts w:ascii="Cambria" w:eastAsia="Cambria" w:hAnsi="Cambria" w:cs="Cambria"/>
          <w:sz w:val="20"/>
          <w:szCs w:val="20"/>
          <w:lang w:val="es-MX"/>
        </w:rPr>
        <w:t>; ii) deficiencias en la atención a mujeres y a niñas y niños que viven con sus madres en el 26.5% de los casos en los 113 centros de detención observados</w:t>
      </w:r>
      <w:r w:rsidRPr="004E3E07">
        <w:rPr>
          <w:rFonts w:ascii="Cambria" w:hAnsi="Cambria"/>
          <w:vertAlign w:val="superscript"/>
          <w:lang w:val="es-MX"/>
        </w:rPr>
        <w:footnoteReference w:id="354"/>
      </w:r>
      <w:r w:rsidRPr="004E3E07">
        <w:rPr>
          <w:rFonts w:ascii="Cambria" w:eastAsia="Cambria" w:hAnsi="Cambria" w:cs="Cambria"/>
          <w:sz w:val="20"/>
          <w:szCs w:val="20"/>
          <w:lang w:val="es-MX"/>
        </w:rPr>
        <w:t>; y iii) obstáculos en el acceso a toallas femeninas debido a la falta de partida presupuestaria para su adquisición</w:t>
      </w:r>
      <w:r w:rsidRPr="004E3E07">
        <w:rPr>
          <w:rFonts w:ascii="Cambria" w:hAnsi="Cambria"/>
          <w:vertAlign w:val="superscript"/>
          <w:lang w:val="es-MX"/>
        </w:rPr>
        <w:footnoteReference w:id="355"/>
      </w:r>
      <w:r w:rsidRPr="004E3E07">
        <w:rPr>
          <w:rFonts w:ascii="Cambria" w:eastAsia="Cambria" w:hAnsi="Cambria" w:cs="Cambria"/>
          <w:sz w:val="20"/>
          <w:szCs w:val="20"/>
          <w:lang w:val="es-MX"/>
        </w:rPr>
        <w:t>. Respecto de lo anterior</w:t>
      </w:r>
      <w:r w:rsidR="008016E7" w:rsidRPr="004E3E07">
        <w:rPr>
          <w:rFonts w:ascii="Cambria" w:eastAsia="Cambria" w:hAnsi="Cambria" w:cs="Cambria"/>
          <w:sz w:val="20"/>
          <w:szCs w:val="20"/>
          <w:lang w:val="es-MX"/>
        </w:rPr>
        <w:t>, la Comisión toma nota de la</w:t>
      </w:r>
      <w:r w:rsidRPr="004E3E07">
        <w:rPr>
          <w:rFonts w:ascii="Cambria" w:eastAsia="Cambria" w:hAnsi="Cambria" w:cs="Cambria"/>
          <w:sz w:val="20"/>
          <w:szCs w:val="20"/>
          <w:lang w:val="es-MX"/>
        </w:rPr>
        <w:t xml:space="preserve"> Recomendación 35/2021 emitida por la CNDH para que los Centros Penitenciarios de todos los Estados que conforman México y de la Ciudad de México; el Centro Federal de Readaptación Social en Coatlán del Río (Morelos); las Prisiones Militares de la Ciudad de México, Sinaloa y Jalisco; los locales de las entidades federativas mexicanas donde se alojan adolescentes; y los centros de detención que reciben visitas de mujeres cuenten con el presupuesto específico para la adquisición de toallas femeninas y elementos de higiene menstrual. Ello, a fin de que tanto las mujeres detenidas como las mujeres que ingresan como visita familiar puedan acceder gratuitamente estos productos</w:t>
      </w:r>
      <w:r w:rsidRPr="004E3E07">
        <w:rPr>
          <w:rFonts w:ascii="Cambria" w:hAnsi="Cambria"/>
          <w:vertAlign w:val="superscript"/>
          <w:lang w:val="es-MX"/>
        </w:rPr>
        <w:footnoteReference w:id="356"/>
      </w:r>
      <w:r w:rsidRPr="004E3E07">
        <w:rPr>
          <w:rFonts w:ascii="Cambria" w:eastAsia="Cambria" w:hAnsi="Cambria" w:cs="Cambria"/>
          <w:sz w:val="20"/>
          <w:szCs w:val="20"/>
          <w:lang w:val="es-MX"/>
        </w:rPr>
        <w:t xml:space="preserve">. </w:t>
      </w:r>
    </w:p>
    <w:p w14:paraId="31DDF046" w14:textId="2F81283B" w:rsidR="00596661" w:rsidRPr="004E3E07" w:rsidRDefault="00CC6C4B" w:rsidP="00596661">
      <w:pPr>
        <w:numPr>
          <w:ilvl w:val="0"/>
          <w:numId w:val="5"/>
        </w:numPr>
        <w:shd w:val="clear" w:color="auto" w:fill="FFFFFF"/>
        <w:spacing w:after="240" w:line="240" w:lineRule="auto"/>
        <w:ind w:left="0" w:firstLine="720"/>
        <w:jc w:val="both"/>
        <w:rPr>
          <w:rFonts w:ascii="Cambria" w:eastAsia="Cambria" w:hAnsi="Cambria" w:cs="Cambria"/>
          <w:sz w:val="20"/>
          <w:szCs w:val="20"/>
          <w:lang w:val="es-MX"/>
        </w:rPr>
      </w:pPr>
      <w:r w:rsidRPr="004E3E07">
        <w:rPr>
          <w:rFonts w:ascii="Cambria" w:eastAsia="Cambria" w:hAnsi="Cambria" w:cs="Cambria"/>
          <w:sz w:val="20"/>
          <w:szCs w:val="20"/>
          <w:lang w:val="es-MX"/>
        </w:rPr>
        <w:t>Por otra parte, sobre las medidas adoptadas para eliminar las barreras para las personas privadas de libertad con discapacidad, la Comisión observa que en esta oportunidad el Estado no envió información sobre las medidas implementadas en 2021. En atención a la información disponible,</w:t>
      </w:r>
      <w:r w:rsidR="00596661" w:rsidRPr="004E3E07">
        <w:rPr>
          <w:rFonts w:ascii="Cambria" w:eastAsia="Cambria" w:hAnsi="Cambria" w:cs="Cambria"/>
          <w:sz w:val="20"/>
          <w:szCs w:val="20"/>
          <w:lang w:val="es-MX"/>
        </w:rPr>
        <w:t xml:space="preserve"> la CIDH advierte que no habría</w:t>
      </w:r>
      <w:r w:rsidRPr="004E3E07">
        <w:rPr>
          <w:rFonts w:ascii="Cambria" w:eastAsia="Cambria" w:hAnsi="Cambria" w:cs="Cambria"/>
          <w:sz w:val="20"/>
          <w:szCs w:val="20"/>
          <w:lang w:val="es-MX"/>
        </w:rPr>
        <w:t xml:space="preserve"> avances para asegurar condiciones de detención diferenciadas de grupos en situación de riesgo. Por ello, la Comisión concluye que la recomendación en análisis se encuentra </w:t>
      </w:r>
      <w:r w:rsidRPr="005229D4">
        <w:rPr>
          <w:rFonts w:ascii="Cambria" w:eastAsia="Cambria" w:hAnsi="Cambria" w:cs="Cambria"/>
          <w:sz w:val="20"/>
          <w:szCs w:val="20"/>
          <w:lang w:val="es-MX"/>
        </w:rPr>
        <w:t>pendiente de cumplimiento</w:t>
      </w:r>
      <w:r w:rsidRPr="004E3E07">
        <w:rPr>
          <w:rFonts w:ascii="Cambria" w:eastAsia="Cambria" w:hAnsi="Cambria" w:cs="Cambria"/>
          <w:sz w:val="20"/>
          <w:szCs w:val="20"/>
          <w:lang w:val="es-MX"/>
        </w:rPr>
        <w:t xml:space="preserve">. </w:t>
      </w:r>
    </w:p>
    <w:p w14:paraId="7AD552F2" w14:textId="77777777" w:rsidR="00596661" w:rsidRPr="004E3E07" w:rsidRDefault="00CC6C4B" w:rsidP="00596661">
      <w:pPr>
        <w:numPr>
          <w:ilvl w:val="0"/>
          <w:numId w:val="5"/>
        </w:numPr>
        <w:shd w:val="clear" w:color="auto" w:fill="FFFFFF"/>
        <w:spacing w:after="240" w:line="240" w:lineRule="auto"/>
        <w:ind w:left="0" w:firstLine="720"/>
        <w:jc w:val="both"/>
        <w:rPr>
          <w:rFonts w:ascii="Cambria" w:eastAsia="Cambria" w:hAnsi="Cambria" w:cs="Cambria"/>
          <w:sz w:val="20"/>
          <w:szCs w:val="20"/>
          <w:lang w:val="es-MX"/>
        </w:rPr>
      </w:pPr>
      <w:r w:rsidRPr="004E3E07">
        <w:rPr>
          <w:rFonts w:ascii="Cambria" w:eastAsia="Cambria" w:hAnsi="Cambria" w:cs="Cambria"/>
          <w:sz w:val="20"/>
          <w:szCs w:val="20"/>
          <w:lang w:val="es-MX"/>
        </w:rPr>
        <w:t xml:space="preserve">Sobre la recomendación relativa a </w:t>
      </w:r>
      <w:r w:rsidRPr="004E3E07">
        <w:rPr>
          <w:rFonts w:ascii="Cambria" w:eastAsia="Cambria" w:hAnsi="Cambria" w:cs="Cambria"/>
          <w:b/>
          <w:sz w:val="20"/>
          <w:szCs w:val="20"/>
          <w:lang w:val="es-MX"/>
        </w:rPr>
        <w:t>adoptar medidas para hacer frente a la prisión preventiva y a los altos niveles de hacinamiento</w:t>
      </w:r>
      <w:r w:rsidRPr="004E3E07">
        <w:rPr>
          <w:rFonts w:ascii="Cambria" w:eastAsia="Cambria" w:hAnsi="Cambria" w:cs="Cambria"/>
          <w:sz w:val="20"/>
          <w:szCs w:val="20"/>
          <w:lang w:val="es-MX"/>
        </w:rPr>
        <w:t>, el Estado informó que el Gobierno Federal incorporó a las juezas y jueces que fungían como “administradores” a labores estrictamente jurisdiccionales. Como consecuencia de ello, actualmente habría un total de 127 juzgadoras y juzgadores en funciones de control y enjuiciamiento, y un total de 41 exclusivamente para la fase de ejecución</w:t>
      </w:r>
      <w:r w:rsidRPr="004E3E07">
        <w:rPr>
          <w:rFonts w:ascii="Cambria" w:hAnsi="Cambria"/>
          <w:vertAlign w:val="superscript"/>
          <w:lang w:val="es-MX"/>
        </w:rPr>
        <w:footnoteReference w:id="357"/>
      </w:r>
      <w:r w:rsidRPr="004E3E07">
        <w:rPr>
          <w:rFonts w:ascii="Cambria" w:eastAsia="Cambria" w:hAnsi="Cambria" w:cs="Cambria"/>
          <w:sz w:val="20"/>
          <w:szCs w:val="20"/>
          <w:lang w:val="es-MX"/>
        </w:rPr>
        <w:t xml:space="preserve">. </w:t>
      </w:r>
    </w:p>
    <w:p w14:paraId="72334056" w14:textId="082E2DEB" w:rsidR="00596661" w:rsidRPr="004E3E07" w:rsidRDefault="00CC6C4B" w:rsidP="00596661">
      <w:pPr>
        <w:numPr>
          <w:ilvl w:val="0"/>
          <w:numId w:val="5"/>
        </w:numPr>
        <w:shd w:val="clear" w:color="auto" w:fill="FFFFFF"/>
        <w:spacing w:after="240" w:line="240" w:lineRule="auto"/>
        <w:ind w:left="0" w:firstLine="720"/>
        <w:jc w:val="both"/>
        <w:rPr>
          <w:rFonts w:ascii="Cambria" w:eastAsia="Cambria" w:hAnsi="Cambria" w:cs="Cambria"/>
          <w:sz w:val="20"/>
          <w:szCs w:val="20"/>
          <w:lang w:val="es-MX"/>
        </w:rPr>
      </w:pPr>
      <w:r w:rsidRPr="004E3E07">
        <w:rPr>
          <w:rFonts w:ascii="Cambria" w:eastAsia="Cambria" w:hAnsi="Cambria" w:cs="Cambria"/>
          <w:sz w:val="20"/>
          <w:szCs w:val="20"/>
          <w:lang w:val="es-MX"/>
        </w:rPr>
        <w:t>Por su parte, la CIDH observa que el 25 de agosto de 2021 fue publicado el decreto que establece las acciones para que la</w:t>
      </w:r>
      <w:r w:rsidRPr="004E3E07">
        <w:rPr>
          <w:rFonts w:ascii="Cambria" w:eastAsia="Cambria" w:hAnsi="Cambria" w:cs="Cambria"/>
          <w:sz w:val="18"/>
          <w:szCs w:val="18"/>
          <w:lang w:val="es-MX"/>
        </w:rPr>
        <w:t xml:space="preserve"> </w:t>
      </w:r>
      <w:r w:rsidR="00220665">
        <w:rPr>
          <w:rFonts w:ascii="Cambria" w:eastAsia="Cambria" w:hAnsi="Cambria" w:cs="Cambria"/>
          <w:sz w:val="20"/>
          <w:szCs w:val="20"/>
          <w:lang w:val="es-MX"/>
        </w:rPr>
        <w:t>SEGOB</w:t>
      </w:r>
      <w:r w:rsidRPr="004E3E07">
        <w:rPr>
          <w:rFonts w:ascii="Cambria" w:eastAsia="Cambria" w:hAnsi="Cambria" w:cs="Cambria"/>
          <w:sz w:val="20"/>
          <w:szCs w:val="20"/>
          <w:lang w:val="es-MX"/>
        </w:rPr>
        <w:t xml:space="preserve"> y la </w:t>
      </w:r>
      <w:r w:rsidR="00220665">
        <w:rPr>
          <w:rFonts w:ascii="Cambria" w:eastAsia="Cambria" w:hAnsi="Cambria" w:cs="Cambria"/>
          <w:sz w:val="20"/>
          <w:szCs w:val="20"/>
          <w:lang w:val="es-MX"/>
        </w:rPr>
        <w:t>SSPPC</w:t>
      </w:r>
      <w:r w:rsidRPr="004E3E07">
        <w:rPr>
          <w:rFonts w:ascii="Cambria" w:eastAsia="Cambria" w:hAnsi="Cambria" w:cs="Cambria"/>
          <w:sz w:val="20"/>
          <w:szCs w:val="20"/>
          <w:lang w:val="es-MX"/>
        </w:rPr>
        <w:t xml:space="preserve"> </w:t>
      </w:r>
      <w:r w:rsidR="00AB70D4">
        <w:rPr>
          <w:rFonts w:ascii="Symbol" w:eastAsia="Symbol" w:hAnsi="Symbol" w:cs="Symbol"/>
          <w:lang w:val="es-MX"/>
        </w:rPr>
        <w:t>¾</w:t>
      </w:r>
      <w:r w:rsidRPr="004E3E07">
        <w:rPr>
          <w:rFonts w:ascii="Cambria" w:eastAsia="Cambria" w:hAnsi="Cambria" w:cs="Cambria"/>
          <w:sz w:val="20"/>
          <w:szCs w:val="20"/>
          <w:lang w:val="es-MX"/>
        </w:rPr>
        <w:t>a través del Órgano Administrativo Desconcentrado Prevención y Readaptación Social</w:t>
      </w:r>
      <w:r w:rsidR="00AB70D4">
        <w:rPr>
          <w:rFonts w:ascii="Symbol" w:eastAsia="Symbol" w:hAnsi="Symbol" w:cs="Symbol"/>
          <w:lang w:val="es-MX"/>
        </w:rPr>
        <w:t>¾</w:t>
      </w:r>
      <w:r w:rsidRPr="004E3E07">
        <w:rPr>
          <w:rFonts w:ascii="Cambria" w:eastAsia="Cambria" w:hAnsi="Cambria" w:cs="Cambria"/>
          <w:sz w:val="20"/>
          <w:szCs w:val="20"/>
          <w:lang w:val="es-MX"/>
        </w:rPr>
        <w:t xml:space="preserve"> gestionen las solicitudes de preliberación respecto de: i) personas mayores sentenciadas; ii) personas en prisión preventiva cuyos plazos hayan excedido los establecidos en la legislación; y iii) víctimas de tortura, siempre que el acto haya sido acreditado y se haya obtenido prueba incriminatoria en el proceso penal</w:t>
      </w:r>
      <w:r w:rsidRPr="004E3E07">
        <w:rPr>
          <w:rFonts w:ascii="Cambria" w:hAnsi="Cambria"/>
          <w:vertAlign w:val="superscript"/>
          <w:lang w:val="es-MX"/>
        </w:rPr>
        <w:footnoteReference w:id="358"/>
      </w:r>
      <w:r w:rsidRPr="004E3E07">
        <w:rPr>
          <w:rFonts w:ascii="Cambria" w:eastAsia="Cambria" w:hAnsi="Cambria" w:cs="Cambria"/>
          <w:sz w:val="20"/>
          <w:szCs w:val="20"/>
          <w:lang w:val="es-MX"/>
        </w:rPr>
        <w:t>. De acuerdo con información pública, a mediados de septiembre al menos 682 personas habrían recuperado su libertad como resultado de la aplicación de este acuerdo</w:t>
      </w:r>
      <w:r w:rsidRPr="004E3E07">
        <w:rPr>
          <w:rFonts w:ascii="Cambria" w:hAnsi="Cambria"/>
          <w:vertAlign w:val="superscript"/>
          <w:lang w:val="es-MX"/>
        </w:rPr>
        <w:footnoteReference w:id="359"/>
      </w:r>
      <w:r w:rsidRPr="004E3E07">
        <w:rPr>
          <w:rFonts w:ascii="Cambria" w:eastAsia="Cambria" w:hAnsi="Cambria" w:cs="Cambria"/>
          <w:sz w:val="20"/>
          <w:szCs w:val="20"/>
          <w:lang w:val="es-MX"/>
        </w:rPr>
        <w:t>. Además, se habrían identificado 4.233 expedientes de personas que podrían beneficiarse</w:t>
      </w:r>
      <w:r w:rsidRPr="004E3E07">
        <w:rPr>
          <w:rFonts w:ascii="Cambria" w:hAnsi="Cambria"/>
          <w:vertAlign w:val="superscript"/>
          <w:lang w:val="es-MX"/>
        </w:rPr>
        <w:footnoteReference w:id="360"/>
      </w:r>
      <w:r w:rsidRPr="004E3E07">
        <w:rPr>
          <w:rFonts w:ascii="Cambria" w:eastAsia="Cambria" w:hAnsi="Cambria" w:cs="Cambria"/>
          <w:sz w:val="20"/>
          <w:szCs w:val="20"/>
          <w:lang w:val="es-MX"/>
        </w:rPr>
        <w:t>. Aunado a ello, la CIDH toma nota que, según información oficial, hasta septiembre de 2021 un total de 85.261 personas fueron beneficiadas con libertad anticipada; y 105.336 personas con sustitutivos de pena</w:t>
      </w:r>
      <w:r w:rsidRPr="004E3E07">
        <w:rPr>
          <w:rFonts w:ascii="Cambria" w:hAnsi="Cambria"/>
          <w:vertAlign w:val="superscript"/>
          <w:lang w:val="es-MX"/>
        </w:rPr>
        <w:footnoteReference w:id="361"/>
      </w:r>
      <w:r w:rsidRPr="004E3E07">
        <w:rPr>
          <w:rFonts w:ascii="Cambria" w:eastAsia="Cambria" w:hAnsi="Cambria" w:cs="Cambria"/>
          <w:sz w:val="20"/>
          <w:szCs w:val="20"/>
          <w:lang w:val="es-MX"/>
        </w:rPr>
        <w:t xml:space="preserve">. </w:t>
      </w:r>
    </w:p>
    <w:p w14:paraId="629BBF1C" w14:textId="1EB4BA2A" w:rsidR="00596661" w:rsidRPr="004E3E07" w:rsidRDefault="00CC6C4B" w:rsidP="00596661">
      <w:pPr>
        <w:numPr>
          <w:ilvl w:val="0"/>
          <w:numId w:val="5"/>
        </w:numPr>
        <w:shd w:val="clear" w:color="auto" w:fill="FFFFFF"/>
        <w:spacing w:after="240" w:line="240" w:lineRule="auto"/>
        <w:ind w:left="0" w:firstLine="720"/>
        <w:jc w:val="both"/>
        <w:rPr>
          <w:rFonts w:ascii="Cambria" w:eastAsia="Cambria" w:hAnsi="Cambria" w:cs="Cambria"/>
          <w:sz w:val="20"/>
          <w:szCs w:val="20"/>
          <w:lang w:val="es-MX"/>
        </w:rPr>
      </w:pPr>
      <w:r w:rsidRPr="004E3E07">
        <w:rPr>
          <w:rFonts w:ascii="Cambria" w:eastAsia="Cambria" w:hAnsi="Cambria" w:cs="Cambria"/>
          <w:sz w:val="20"/>
          <w:szCs w:val="20"/>
          <w:lang w:val="es-MX"/>
        </w:rPr>
        <w:t>Por otro lado, la CIDH fue informada de diversos desafíos para la aplicación de la Ley de Amnistía, y de que de un total de 1.560 casos recibidos al 10 de agosto, solo 568 fueron conocidos</w:t>
      </w:r>
      <w:r w:rsidRPr="004E3E07">
        <w:rPr>
          <w:rFonts w:ascii="Cambria" w:hAnsi="Cambria"/>
          <w:vertAlign w:val="superscript"/>
          <w:lang w:val="es-MX"/>
        </w:rPr>
        <w:footnoteReference w:id="362"/>
      </w:r>
      <w:r w:rsidRPr="004E3E07">
        <w:rPr>
          <w:rFonts w:ascii="Cambria" w:eastAsia="Cambria" w:hAnsi="Cambria" w:cs="Cambria"/>
          <w:sz w:val="20"/>
          <w:szCs w:val="20"/>
          <w:lang w:val="es-MX"/>
        </w:rPr>
        <w:t>, lo que representaría únicamente el 37% del número total. En part</w:t>
      </w:r>
      <w:r w:rsidR="00596661" w:rsidRPr="004E3E07">
        <w:rPr>
          <w:rFonts w:ascii="Cambria" w:eastAsia="Cambria" w:hAnsi="Cambria" w:cs="Cambria"/>
          <w:sz w:val="20"/>
          <w:szCs w:val="20"/>
          <w:lang w:val="es-MX"/>
        </w:rPr>
        <w:t xml:space="preserve">icular, la Comisión observa que, </w:t>
      </w:r>
      <w:r w:rsidRPr="004E3E07">
        <w:rPr>
          <w:rFonts w:ascii="Cambria" w:eastAsia="Cambria" w:hAnsi="Cambria" w:cs="Cambria"/>
          <w:sz w:val="20"/>
          <w:szCs w:val="20"/>
          <w:lang w:val="es-MX"/>
        </w:rPr>
        <w:t xml:space="preserve">según los datos publicados en el primer informe anual de la Comisión de Amnistía, a la fecha indicada, de los </w:t>
      </w:r>
      <w:r w:rsidR="007B1781" w:rsidRPr="004E3E07">
        <w:rPr>
          <w:rFonts w:ascii="Cambria" w:eastAsia="Cambria" w:hAnsi="Cambria" w:cs="Cambria"/>
          <w:sz w:val="20"/>
          <w:szCs w:val="20"/>
          <w:lang w:val="es-MX"/>
        </w:rPr>
        <w:t xml:space="preserve">1.560 casos recibidos </w:t>
      </w:r>
      <w:r w:rsidRPr="004E3E07">
        <w:rPr>
          <w:rFonts w:ascii="Cambria" w:eastAsia="Cambria" w:hAnsi="Cambria" w:cs="Cambria"/>
          <w:sz w:val="20"/>
          <w:szCs w:val="20"/>
          <w:lang w:val="es-MX"/>
        </w:rPr>
        <w:t>al menos 245 carecerían de datos, 747 se encontrarían en revisión y 568 fueron sesionados. De estos últimos, sólo 47 fueron declarados procedentes y 521 fueron rechazados</w:t>
      </w:r>
      <w:r w:rsidRPr="004E3E07">
        <w:rPr>
          <w:rFonts w:ascii="Cambria" w:hAnsi="Cambria"/>
          <w:vertAlign w:val="superscript"/>
          <w:lang w:val="es-MX"/>
        </w:rPr>
        <w:footnoteReference w:id="363"/>
      </w:r>
      <w:r w:rsidRPr="004E3E07">
        <w:rPr>
          <w:rFonts w:ascii="Cambria" w:eastAsia="Cambria" w:hAnsi="Cambria" w:cs="Cambria"/>
          <w:sz w:val="20"/>
          <w:szCs w:val="20"/>
          <w:lang w:val="es-MX"/>
        </w:rPr>
        <w:t xml:space="preserve">. Al respecto, la CIDH nota con preocupación que la cifra de casos declarados procedentes representa solamente el 3% del total de solicitudes presentadas. </w:t>
      </w:r>
      <w:bookmarkStart w:id="3" w:name="_heading=h.g48fr9ff9bfl" w:colFirst="0" w:colLast="0"/>
      <w:bookmarkStart w:id="4" w:name="_heading=h.j6km2bpg67vl" w:colFirst="0" w:colLast="0"/>
      <w:bookmarkEnd w:id="3"/>
      <w:bookmarkEnd w:id="4"/>
    </w:p>
    <w:p w14:paraId="5CE09CC9" w14:textId="2CF1905A" w:rsidR="00596661" w:rsidRPr="004E3E07" w:rsidRDefault="00CC6C4B" w:rsidP="00596661">
      <w:pPr>
        <w:numPr>
          <w:ilvl w:val="0"/>
          <w:numId w:val="5"/>
        </w:numPr>
        <w:shd w:val="clear" w:color="auto" w:fill="FFFFFF"/>
        <w:spacing w:after="240" w:line="240" w:lineRule="auto"/>
        <w:ind w:left="0" w:firstLine="720"/>
        <w:jc w:val="both"/>
        <w:rPr>
          <w:rFonts w:ascii="Cambria" w:eastAsia="Cambria" w:hAnsi="Cambria" w:cs="Cambria"/>
          <w:sz w:val="20"/>
          <w:szCs w:val="20"/>
          <w:lang w:val="es-MX"/>
        </w:rPr>
      </w:pPr>
      <w:r w:rsidRPr="004E3E07">
        <w:rPr>
          <w:rFonts w:ascii="Cambria" w:eastAsia="Cambria" w:hAnsi="Cambria" w:cs="Cambria"/>
          <w:sz w:val="20"/>
          <w:szCs w:val="20"/>
          <w:lang w:val="es-MX"/>
        </w:rPr>
        <w:t>Respecto a los desafíos vinculados con el proceso, organizaciones de sociedad civil reportaron, entre otras cuestiones: i) el requerimiento a las personas solicitantes de presentar sus expedientes penales o documentación adicional para que avance el trámite la solicitud; ii) el incumplimiento de los plazos previstos en la legislación para resolver; iii) falta de acceso a la información respecto del trámite de las solicitudes presentadas; y iv) la ausencia de claridad respecto a los recursos de impugnación, la forma en que se asignan los casos y los plazos para resolver</w:t>
      </w:r>
      <w:r w:rsidRPr="004E3E07">
        <w:rPr>
          <w:rFonts w:ascii="Cambria" w:hAnsi="Cambria"/>
          <w:vertAlign w:val="superscript"/>
          <w:lang w:val="es-MX"/>
        </w:rPr>
        <w:footnoteReference w:id="364"/>
      </w:r>
      <w:r w:rsidRPr="004E3E07">
        <w:rPr>
          <w:rFonts w:ascii="Cambria" w:eastAsia="Cambria" w:hAnsi="Cambria" w:cs="Cambria"/>
          <w:sz w:val="20"/>
          <w:szCs w:val="20"/>
          <w:lang w:val="es-MX"/>
        </w:rPr>
        <w:t>. Adicionalmente, la CIDH fue informada sobre la falta de publicidad de las sesiones de la Comisión de Amnistía debido a que no serían anunciadas con anticipación ni existiría información pública sobre todos los temas discutidos</w:t>
      </w:r>
      <w:r w:rsidRPr="004E3E07">
        <w:rPr>
          <w:rFonts w:ascii="Cambria" w:hAnsi="Cambria"/>
          <w:vertAlign w:val="superscript"/>
          <w:lang w:val="es-MX"/>
        </w:rPr>
        <w:footnoteReference w:id="365"/>
      </w:r>
      <w:r w:rsidRPr="004E3E07">
        <w:rPr>
          <w:rFonts w:ascii="Cambria" w:eastAsia="Cambria" w:hAnsi="Cambria" w:cs="Cambria"/>
          <w:sz w:val="20"/>
          <w:szCs w:val="20"/>
          <w:lang w:val="es-MX"/>
        </w:rPr>
        <w:t>.</w:t>
      </w:r>
      <w:bookmarkStart w:id="5" w:name="_heading=h.g84qqja6lfzk" w:colFirst="0" w:colLast="0"/>
      <w:bookmarkEnd w:id="5"/>
    </w:p>
    <w:p w14:paraId="3DF1B7E9" w14:textId="28AEFC59" w:rsidR="00596661" w:rsidRPr="004E3E07" w:rsidRDefault="00CC6C4B" w:rsidP="00596661">
      <w:pPr>
        <w:numPr>
          <w:ilvl w:val="0"/>
          <w:numId w:val="5"/>
        </w:numPr>
        <w:shd w:val="clear" w:color="auto" w:fill="FFFFFF"/>
        <w:spacing w:after="240" w:line="240" w:lineRule="auto"/>
        <w:ind w:left="0" w:firstLine="720"/>
        <w:jc w:val="both"/>
        <w:rPr>
          <w:rFonts w:ascii="Cambria" w:eastAsia="Cambria" w:hAnsi="Cambria" w:cs="Cambria"/>
          <w:sz w:val="20"/>
          <w:szCs w:val="20"/>
          <w:lang w:val="es-MX"/>
        </w:rPr>
      </w:pPr>
      <w:r w:rsidRPr="004E3E07">
        <w:rPr>
          <w:rFonts w:ascii="Cambria" w:eastAsia="Cambria" w:hAnsi="Cambria" w:cs="Cambria"/>
          <w:sz w:val="20"/>
          <w:szCs w:val="20"/>
          <w:lang w:val="es-MX"/>
        </w:rPr>
        <w:t xml:space="preserve">La Comisión valora las medidas implementadas por el Estado para hacer frente a los niveles de hacinamiento. No obstante, observa con preocupación la baja tasa de aplicación de la ley de Amnistía, y los desafíos para su aplicación. En virtud de lo analizado, la CIDH concluye que la recomendación se mantiene </w:t>
      </w:r>
      <w:r w:rsidRPr="005229D4">
        <w:rPr>
          <w:rFonts w:ascii="Cambria" w:eastAsia="Cambria" w:hAnsi="Cambria" w:cs="Cambria"/>
          <w:sz w:val="20"/>
          <w:szCs w:val="20"/>
          <w:lang w:val="es-MX"/>
        </w:rPr>
        <w:t>pendiente de</w:t>
      </w:r>
      <w:r w:rsidRPr="004E3E07">
        <w:rPr>
          <w:rFonts w:ascii="Cambria" w:eastAsia="Cambria" w:hAnsi="Cambria" w:cs="Cambria"/>
          <w:sz w:val="20"/>
          <w:szCs w:val="20"/>
          <w:lang w:val="es-MX"/>
        </w:rPr>
        <w:t xml:space="preserve"> </w:t>
      </w:r>
      <w:r w:rsidRPr="005229D4">
        <w:rPr>
          <w:rFonts w:ascii="Cambria" w:eastAsia="Cambria" w:hAnsi="Cambria" w:cs="Cambria"/>
          <w:sz w:val="20"/>
          <w:szCs w:val="20"/>
          <w:lang w:val="es-MX"/>
        </w:rPr>
        <w:t>cumplimiento</w:t>
      </w:r>
      <w:r w:rsidRPr="004E3E07">
        <w:rPr>
          <w:rFonts w:ascii="Cambria" w:eastAsia="Cambria" w:hAnsi="Cambria" w:cs="Cambria"/>
          <w:sz w:val="20"/>
          <w:szCs w:val="20"/>
          <w:lang w:val="es-MX"/>
        </w:rPr>
        <w:t xml:space="preserve">. </w:t>
      </w:r>
    </w:p>
    <w:p w14:paraId="14606AD2" w14:textId="250D414B" w:rsidR="002277F5" w:rsidRPr="004E3E07" w:rsidRDefault="00CC6C4B" w:rsidP="005677F4">
      <w:pPr>
        <w:numPr>
          <w:ilvl w:val="0"/>
          <w:numId w:val="5"/>
        </w:numPr>
        <w:shd w:val="clear" w:color="auto" w:fill="FFFFFF"/>
        <w:spacing w:after="240" w:line="240" w:lineRule="auto"/>
        <w:ind w:left="0" w:firstLine="720"/>
        <w:jc w:val="both"/>
        <w:rPr>
          <w:rFonts w:ascii="Cambria" w:eastAsia="Cambria" w:hAnsi="Cambria" w:cs="Cambria"/>
          <w:sz w:val="20"/>
          <w:szCs w:val="20"/>
          <w:lang w:val="es-MX"/>
        </w:rPr>
      </w:pPr>
      <w:r w:rsidRPr="004E3E07">
        <w:rPr>
          <w:rFonts w:ascii="Cambria" w:eastAsia="Cambria" w:hAnsi="Cambria" w:cs="Cambria"/>
          <w:sz w:val="20"/>
          <w:szCs w:val="20"/>
          <w:lang w:val="es-MX"/>
        </w:rPr>
        <w:t>Por último, en lo atinente a asegurar que la</w:t>
      </w:r>
      <w:r w:rsidRPr="004E3E07">
        <w:rPr>
          <w:rFonts w:ascii="Cambria" w:eastAsia="Cambria" w:hAnsi="Cambria" w:cs="Cambria"/>
          <w:b/>
          <w:sz w:val="20"/>
          <w:szCs w:val="20"/>
          <w:lang w:val="es-MX"/>
        </w:rPr>
        <w:t xml:space="preserve"> Ley Nacional de Ejecución Penal incluya los estándares internacionales que garanticen los derechos de las personas privadas de libertad con énfasis en un debido proceso penal y reinserción social,</w:t>
      </w:r>
      <w:r w:rsidRPr="004E3E07">
        <w:rPr>
          <w:rFonts w:ascii="Cambria" w:eastAsia="Cambria" w:hAnsi="Cambria" w:cs="Cambria"/>
          <w:sz w:val="20"/>
          <w:szCs w:val="20"/>
          <w:lang w:val="es-MX"/>
        </w:rPr>
        <w:t xml:space="preserve"> la Comisión reitera que en 2018 la calificó como de </w:t>
      </w:r>
      <w:r w:rsidRPr="005229D4">
        <w:rPr>
          <w:rFonts w:ascii="Cambria" w:eastAsia="Cambria" w:hAnsi="Cambria" w:cs="Cambria"/>
          <w:sz w:val="20"/>
          <w:szCs w:val="20"/>
          <w:lang w:val="es-MX"/>
        </w:rPr>
        <w:t>cumplimiento total</w:t>
      </w:r>
      <w:r w:rsidRPr="004E3E07">
        <w:rPr>
          <w:rFonts w:ascii="Cambria" w:hAnsi="Cambria"/>
          <w:vertAlign w:val="superscript"/>
          <w:lang w:val="es-MX"/>
        </w:rPr>
        <w:footnoteReference w:id="366"/>
      </w:r>
      <w:r w:rsidRPr="004E3E07">
        <w:rPr>
          <w:rFonts w:ascii="Cambria" w:eastAsia="Cambria" w:hAnsi="Cambria" w:cs="Cambria"/>
          <w:sz w:val="20"/>
          <w:szCs w:val="20"/>
          <w:lang w:val="es-MX"/>
        </w:rPr>
        <w:t>. Adicionalmente, el Estado informó que el Consejo de la Judicatura Federal mantiene un total de 24 jueces de ejecución penal encargados de garantizar su aplicación</w:t>
      </w:r>
      <w:r w:rsidRPr="004E3E07">
        <w:rPr>
          <w:rFonts w:ascii="Cambria" w:hAnsi="Cambria"/>
          <w:vertAlign w:val="superscript"/>
          <w:lang w:val="es-MX"/>
        </w:rPr>
        <w:footnoteReference w:id="367"/>
      </w:r>
      <w:r w:rsidRPr="004E3E07">
        <w:rPr>
          <w:rFonts w:ascii="Cambria" w:eastAsia="Cambria" w:hAnsi="Cambria" w:cs="Cambria"/>
          <w:sz w:val="20"/>
          <w:szCs w:val="20"/>
          <w:lang w:val="es-MX"/>
        </w:rPr>
        <w:t xml:space="preserve">. </w:t>
      </w:r>
    </w:p>
    <w:p w14:paraId="14606AF9" w14:textId="77777777" w:rsidR="002277F5" w:rsidRPr="004E3E07" w:rsidRDefault="007E25FF">
      <w:pPr>
        <w:pStyle w:val="Heading3"/>
        <w:numPr>
          <w:ilvl w:val="2"/>
          <w:numId w:val="11"/>
        </w:numPr>
        <w:shd w:val="clear" w:color="auto" w:fill="auto"/>
        <w:spacing w:before="0"/>
        <w:ind w:left="1440" w:hanging="720"/>
        <w:rPr>
          <w:sz w:val="20"/>
          <w:szCs w:val="20"/>
        </w:rPr>
      </w:pPr>
      <w:r w:rsidRPr="004E3E07">
        <w:rPr>
          <w:sz w:val="20"/>
          <w:szCs w:val="20"/>
        </w:rPr>
        <w:t>Migrantes y desplazamiento interno forzado</w:t>
      </w:r>
    </w:p>
    <w:p w14:paraId="14606AFA" w14:textId="77777777" w:rsidR="002277F5" w:rsidRPr="004E3E07" w:rsidRDefault="007E25FF">
      <w:pPr>
        <w:numPr>
          <w:ilvl w:val="0"/>
          <w:numId w:val="8"/>
        </w:numPr>
        <w:pBdr>
          <w:top w:val="nil"/>
          <w:left w:val="nil"/>
          <w:bottom w:val="nil"/>
          <w:right w:val="nil"/>
          <w:between w:val="nil"/>
        </w:pBdr>
        <w:shd w:val="clear" w:color="auto" w:fill="D9D9D9"/>
        <w:spacing w:after="0" w:line="240" w:lineRule="auto"/>
        <w:ind w:left="1440" w:hanging="720"/>
        <w:jc w:val="both"/>
        <w:rPr>
          <w:rFonts w:ascii="Cambria" w:eastAsia="Cambria" w:hAnsi="Cambria" w:cs="Cambria"/>
          <w:sz w:val="20"/>
          <w:szCs w:val="20"/>
          <w:lang w:val="es-MX"/>
        </w:rPr>
      </w:pPr>
      <w:r w:rsidRPr="004E3E07">
        <w:rPr>
          <w:rFonts w:ascii="Cambria" w:eastAsia="Cambria" w:hAnsi="Cambria" w:cs="Cambria"/>
          <w:sz w:val="20"/>
          <w:szCs w:val="20"/>
          <w:lang w:val="es-MX"/>
        </w:rPr>
        <w:t>Cumplir el conjunto de recomendaciones formuladas en el Informe Derechos humanos de los migrantes y otras personas en el contexto de la movilidad humana en México.</w:t>
      </w:r>
    </w:p>
    <w:p w14:paraId="14606AFB" w14:textId="77777777" w:rsidR="002277F5" w:rsidRPr="004E3E07" w:rsidRDefault="007E25FF">
      <w:pPr>
        <w:numPr>
          <w:ilvl w:val="0"/>
          <w:numId w:val="8"/>
        </w:numPr>
        <w:pBdr>
          <w:top w:val="nil"/>
          <w:left w:val="nil"/>
          <w:bottom w:val="nil"/>
          <w:right w:val="nil"/>
          <w:between w:val="nil"/>
        </w:pBdr>
        <w:shd w:val="clear" w:color="auto" w:fill="D9D9D9"/>
        <w:spacing w:after="0" w:line="240" w:lineRule="auto"/>
        <w:ind w:left="1440" w:hanging="720"/>
        <w:jc w:val="both"/>
        <w:rPr>
          <w:rFonts w:ascii="Cambria" w:eastAsia="Cambria" w:hAnsi="Cambria" w:cs="Cambria"/>
          <w:sz w:val="20"/>
          <w:szCs w:val="20"/>
          <w:lang w:val="es-MX"/>
        </w:rPr>
      </w:pPr>
      <w:r w:rsidRPr="004E3E07">
        <w:rPr>
          <w:rFonts w:ascii="Cambria" w:eastAsia="Cambria" w:hAnsi="Cambria" w:cs="Cambria"/>
          <w:sz w:val="20"/>
          <w:szCs w:val="20"/>
          <w:lang w:val="es-MX"/>
        </w:rPr>
        <w:t>Elaborar un diagnóstico nacional para “caracterizar” el desplazamiento interno en México y, consecuentemente, adoptar una política nacional y las medidas tendientes a prestar una respuesta conforme a los estándares internacionales en la materia, en particular los Principios Rectores del Desplazamiento Interno.</w:t>
      </w:r>
    </w:p>
    <w:p w14:paraId="14606AFC" w14:textId="77777777" w:rsidR="002277F5" w:rsidRPr="004E3E07" w:rsidRDefault="007E25FF">
      <w:pPr>
        <w:numPr>
          <w:ilvl w:val="0"/>
          <w:numId w:val="8"/>
        </w:numPr>
        <w:pBdr>
          <w:top w:val="nil"/>
          <w:left w:val="nil"/>
          <w:bottom w:val="nil"/>
          <w:right w:val="nil"/>
          <w:between w:val="nil"/>
        </w:pBdr>
        <w:shd w:val="clear" w:color="auto" w:fill="D9D9D9"/>
        <w:spacing w:after="0" w:line="240" w:lineRule="auto"/>
        <w:ind w:left="1440" w:hanging="720"/>
        <w:jc w:val="both"/>
        <w:rPr>
          <w:rFonts w:ascii="Cambria" w:eastAsia="Cambria" w:hAnsi="Cambria" w:cs="Cambria"/>
          <w:sz w:val="20"/>
          <w:szCs w:val="20"/>
          <w:lang w:val="es-MX"/>
        </w:rPr>
      </w:pPr>
      <w:r w:rsidRPr="004E3E07">
        <w:rPr>
          <w:rFonts w:ascii="Cambria" w:eastAsia="Cambria" w:hAnsi="Cambria" w:cs="Cambria"/>
          <w:sz w:val="20"/>
          <w:szCs w:val="20"/>
          <w:lang w:val="es-MX"/>
        </w:rPr>
        <w:t>Adoptar legislación específica a nivel federal y estatal para abordar el desplazamiento interno, de conformidad con los Principios Rectores del Desplazamiento Interno.</w:t>
      </w:r>
    </w:p>
    <w:p w14:paraId="14606AFD" w14:textId="77777777" w:rsidR="002277F5" w:rsidRPr="004E3E07" w:rsidRDefault="007E25FF">
      <w:pPr>
        <w:numPr>
          <w:ilvl w:val="0"/>
          <w:numId w:val="8"/>
        </w:numPr>
        <w:pBdr>
          <w:top w:val="nil"/>
          <w:left w:val="nil"/>
          <w:bottom w:val="nil"/>
          <w:right w:val="nil"/>
          <w:between w:val="nil"/>
        </w:pBdr>
        <w:shd w:val="clear" w:color="auto" w:fill="D9D9D9"/>
        <w:spacing w:after="0" w:line="240" w:lineRule="auto"/>
        <w:ind w:left="1440" w:hanging="720"/>
        <w:jc w:val="both"/>
        <w:rPr>
          <w:rFonts w:ascii="Cambria" w:hAnsi="Cambria"/>
          <w:lang w:val="es-MX"/>
        </w:rPr>
      </w:pPr>
      <w:r w:rsidRPr="004E3E07">
        <w:rPr>
          <w:rFonts w:ascii="Cambria" w:eastAsia="Cambria" w:hAnsi="Cambria" w:cs="Cambria"/>
          <w:sz w:val="20"/>
          <w:szCs w:val="20"/>
          <w:lang w:val="es-MX"/>
        </w:rPr>
        <w:t>Asegurar que a nivel federal haya una institución a cargo de la protección de las personas contra el desplazamiento forzado.</w:t>
      </w:r>
    </w:p>
    <w:p w14:paraId="14606AFE" w14:textId="77777777" w:rsidR="00B8656B" w:rsidRPr="004E3E07" w:rsidRDefault="00B8656B" w:rsidP="00B8656B">
      <w:pPr>
        <w:shd w:val="clear" w:color="auto" w:fill="FFFFFF"/>
        <w:spacing w:after="0" w:line="240" w:lineRule="auto"/>
        <w:jc w:val="both"/>
        <w:rPr>
          <w:rFonts w:ascii="Cambria" w:eastAsia="Cambria" w:hAnsi="Cambria" w:cs="Cambria"/>
          <w:sz w:val="20"/>
          <w:szCs w:val="20"/>
          <w:lang w:val="es-MX"/>
        </w:rPr>
      </w:pPr>
    </w:p>
    <w:p w14:paraId="57A7F3BF" w14:textId="77777777" w:rsidR="00B8656B" w:rsidRPr="004E3E07" w:rsidRDefault="00B8656B" w:rsidP="00DA338A">
      <w:pPr>
        <w:numPr>
          <w:ilvl w:val="0"/>
          <w:numId w:val="5"/>
        </w:numPr>
        <w:shd w:val="clear" w:color="auto" w:fill="FFFFFF"/>
        <w:spacing w:after="240" w:line="240" w:lineRule="auto"/>
        <w:ind w:left="0" w:firstLine="720"/>
        <w:jc w:val="both"/>
        <w:rPr>
          <w:rFonts w:ascii="Cambria" w:eastAsia="Cambria" w:hAnsi="Cambria" w:cs="Cambria"/>
          <w:sz w:val="20"/>
          <w:szCs w:val="20"/>
          <w:lang w:val="es-MX"/>
        </w:rPr>
      </w:pPr>
      <w:r w:rsidRPr="004E3E07">
        <w:rPr>
          <w:rFonts w:ascii="Cambria" w:eastAsia="Cambria" w:hAnsi="Cambria" w:cs="Cambria"/>
          <w:sz w:val="20"/>
          <w:szCs w:val="20"/>
          <w:lang w:val="es-MX"/>
        </w:rPr>
        <w:t xml:space="preserve">La Comisión recomendó al Estado </w:t>
      </w:r>
      <w:r w:rsidRPr="004E3E07">
        <w:rPr>
          <w:rFonts w:ascii="Cambria" w:eastAsia="Cambria" w:hAnsi="Cambria" w:cs="Cambria"/>
          <w:b/>
          <w:sz w:val="20"/>
          <w:szCs w:val="20"/>
          <w:lang w:val="es-MX"/>
        </w:rPr>
        <w:t>cumplir el conjunto de recomendaciones formuladas en el Informe Derechos humanos de los migrantes y otras personas en el contexto de la movilidad humana en México.</w:t>
      </w:r>
      <w:r w:rsidRPr="004E3E07">
        <w:rPr>
          <w:rFonts w:ascii="Cambria" w:eastAsia="Cambria" w:hAnsi="Cambria" w:cs="Cambria"/>
          <w:sz w:val="20"/>
          <w:szCs w:val="20"/>
          <w:lang w:val="es-MX"/>
        </w:rPr>
        <w:t xml:space="preserve"> Al respecto, el Estado informó sobre medidas relativas a: i) revisión, verificación y control migratorio; ii) detención migratoria; iii) condiciones de detención; iv) garantías judiciales y protección judicial; y, v) violencia y discriminación en contra de personas migrantes y otras en el contexto de la movilidad humana en México.</w:t>
      </w:r>
    </w:p>
    <w:p w14:paraId="50EBECDF" w14:textId="32DD4D92" w:rsidR="00B8656B" w:rsidRPr="004E3E07" w:rsidRDefault="00B8656B" w:rsidP="00DA338A">
      <w:pPr>
        <w:numPr>
          <w:ilvl w:val="0"/>
          <w:numId w:val="5"/>
        </w:numPr>
        <w:shd w:val="clear" w:color="auto" w:fill="FFFFFF"/>
        <w:spacing w:after="240" w:line="240" w:lineRule="auto"/>
        <w:ind w:left="0" w:firstLine="720"/>
        <w:jc w:val="both"/>
        <w:rPr>
          <w:rFonts w:ascii="Cambria" w:eastAsia="Cambria" w:hAnsi="Cambria" w:cs="Cambria"/>
          <w:sz w:val="20"/>
          <w:szCs w:val="20"/>
          <w:lang w:val="es-MX"/>
        </w:rPr>
      </w:pPr>
      <w:r w:rsidRPr="004E3E07">
        <w:rPr>
          <w:rFonts w:ascii="Cambria" w:eastAsia="Cambria" w:hAnsi="Cambria" w:cs="Cambria"/>
          <w:sz w:val="20"/>
          <w:szCs w:val="20"/>
          <w:lang w:val="es-MX"/>
        </w:rPr>
        <w:t xml:space="preserve">En lo que respecta a las acciones de revisión, verificación y control migratorio, el Estado reportó sobre la elaboración de la “Guía para la prevención de prácticas de perfilamiento racial”, que se habría dado a conocer a las personas </w:t>
      </w:r>
      <w:r w:rsidR="00E63463">
        <w:rPr>
          <w:rFonts w:ascii="Cambria" w:eastAsia="Cambria" w:hAnsi="Cambria" w:cs="Cambria"/>
          <w:sz w:val="20"/>
          <w:szCs w:val="20"/>
          <w:lang w:val="es-MX"/>
        </w:rPr>
        <w:t>funcionarias</w:t>
      </w:r>
      <w:r w:rsidR="00E63463" w:rsidRPr="004E3E07">
        <w:rPr>
          <w:rFonts w:ascii="Cambria" w:eastAsia="Cambria" w:hAnsi="Cambria" w:cs="Cambria"/>
          <w:sz w:val="20"/>
          <w:szCs w:val="20"/>
          <w:lang w:val="es-MX"/>
        </w:rPr>
        <w:t xml:space="preserve"> </w:t>
      </w:r>
      <w:r w:rsidRPr="004E3E07">
        <w:rPr>
          <w:rFonts w:ascii="Cambria" w:eastAsia="Cambria" w:hAnsi="Cambria" w:cs="Cambria"/>
          <w:sz w:val="20"/>
          <w:szCs w:val="20"/>
          <w:lang w:val="es-MX"/>
        </w:rPr>
        <w:t>públicas a través de cursos de capacitación</w:t>
      </w:r>
      <w:r w:rsidRPr="004E3E07">
        <w:rPr>
          <w:rFonts w:ascii="Cambria" w:eastAsia="Cambria" w:hAnsi="Cambria" w:cs="Cambria"/>
          <w:sz w:val="20"/>
          <w:szCs w:val="20"/>
          <w:vertAlign w:val="superscript"/>
          <w:lang w:val="es-MX"/>
        </w:rPr>
        <w:footnoteReference w:id="368"/>
      </w:r>
      <w:r w:rsidRPr="004E3E07">
        <w:rPr>
          <w:rFonts w:ascii="Cambria" w:eastAsia="Cambria" w:hAnsi="Cambria" w:cs="Cambria"/>
          <w:sz w:val="20"/>
          <w:szCs w:val="20"/>
          <w:lang w:val="es-MX"/>
        </w:rPr>
        <w:t>.</w:t>
      </w:r>
    </w:p>
    <w:p w14:paraId="11390BEC" w14:textId="73610119" w:rsidR="00B8656B" w:rsidRPr="004E3E07" w:rsidRDefault="00B8656B" w:rsidP="00DA338A">
      <w:pPr>
        <w:numPr>
          <w:ilvl w:val="0"/>
          <w:numId w:val="5"/>
        </w:numPr>
        <w:shd w:val="clear" w:color="auto" w:fill="FFFFFF"/>
        <w:spacing w:after="240" w:line="240" w:lineRule="auto"/>
        <w:ind w:left="0" w:firstLine="720"/>
        <w:jc w:val="both"/>
        <w:rPr>
          <w:rFonts w:ascii="Cambria" w:eastAsia="Cambria" w:hAnsi="Cambria" w:cs="Cambria"/>
          <w:sz w:val="20"/>
          <w:szCs w:val="20"/>
          <w:lang w:val="es-MX"/>
        </w:rPr>
      </w:pPr>
      <w:r w:rsidRPr="004E3E07">
        <w:rPr>
          <w:rFonts w:ascii="Cambria" w:eastAsia="Cambria" w:hAnsi="Cambria" w:cs="Cambria"/>
          <w:sz w:val="20"/>
          <w:szCs w:val="20"/>
          <w:lang w:val="es-MX"/>
        </w:rPr>
        <w:t xml:space="preserve">En cuanto a la detención migratoria, el Estado informó respecto de la elaboración de la “Guía para la Atención de Niñas, Niños y Adolescentes migrantes a disposición del INM”. Dicho documento contiene actualizaciones sobre el procedimiento administrativo migratorio, acorde con las reformas a la Ley de Migración y de la Ley sobre Refugiados, Protección Complementaria y Asilo Político en materia de niñez y adolescencia en contextos migratorios. Asimismo, señaló que el procedimiento en referencia es de aplicación obligatoria para todas las oficinas de representación del </w:t>
      </w:r>
      <w:r w:rsidR="00220665">
        <w:rPr>
          <w:rFonts w:ascii="Cambria" w:eastAsia="Cambria" w:hAnsi="Cambria" w:cs="Cambria"/>
          <w:sz w:val="20"/>
          <w:szCs w:val="20"/>
          <w:lang w:val="es-MX"/>
        </w:rPr>
        <w:t>INM</w:t>
      </w:r>
      <w:r w:rsidRPr="004E3E07">
        <w:rPr>
          <w:rFonts w:ascii="Cambria" w:eastAsia="Cambria" w:hAnsi="Cambria" w:cs="Cambria"/>
          <w:sz w:val="20"/>
          <w:szCs w:val="20"/>
          <w:vertAlign w:val="superscript"/>
          <w:lang w:val="es-MX"/>
        </w:rPr>
        <w:footnoteReference w:id="369"/>
      </w:r>
      <w:r w:rsidRPr="004E3E07">
        <w:rPr>
          <w:rFonts w:ascii="Cambria" w:eastAsia="Cambria" w:hAnsi="Cambria" w:cs="Cambria"/>
          <w:sz w:val="20"/>
          <w:szCs w:val="20"/>
          <w:lang w:val="es-MX"/>
        </w:rPr>
        <w:t xml:space="preserve">. </w:t>
      </w:r>
    </w:p>
    <w:p w14:paraId="39270843" w14:textId="4F4FE9F6" w:rsidR="00B8656B" w:rsidRPr="004E3E07" w:rsidRDefault="00B8656B" w:rsidP="00DA338A">
      <w:pPr>
        <w:numPr>
          <w:ilvl w:val="0"/>
          <w:numId w:val="5"/>
        </w:numPr>
        <w:shd w:val="clear" w:color="auto" w:fill="FFFFFF"/>
        <w:spacing w:after="240" w:line="240" w:lineRule="auto"/>
        <w:ind w:left="0" w:firstLine="720"/>
        <w:jc w:val="both"/>
        <w:rPr>
          <w:rFonts w:ascii="Cambria" w:eastAsia="Cambria" w:hAnsi="Cambria" w:cs="Cambria"/>
          <w:sz w:val="20"/>
          <w:szCs w:val="20"/>
          <w:lang w:val="es-MX"/>
        </w:rPr>
      </w:pPr>
      <w:r w:rsidRPr="004E3E07">
        <w:rPr>
          <w:rFonts w:ascii="Cambria" w:eastAsia="Cambria" w:hAnsi="Cambria" w:cs="Cambria"/>
          <w:sz w:val="20"/>
          <w:szCs w:val="20"/>
          <w:lang w:val="es-MX"/>
        </w:rPr>
        <w:t>Respecto de la prohibición de detención de niñas, niños y adolescentes</w:t>
      </w:r>
      <w:r w:rsidRPr="004E3E07">
        <w:rPr>
          <w:rFonts w:ascii="Cambria" w:eastAsia="Cambria" w:hAnsi="Cambria" w:cs="Cambria"/>
          <w:sz w:val="20"/>
          <w:szCs w:val="20"/>
          <w:vertAlign w:val="superscript"/>
          <w:lang w:val="es-MX"/>
        </w:rPr>
        <w:footnoteReference w:id="370"/>
      </w:r>
      <w:r w:rsidRPr="004E3E07">
        <w:rPr>
          <w:rFonts w:ascii="Cambria" w:eastAsia="Cambria" w:hAnsi="Cambria" w:cs="Cambria"/>
          <w:sz w:val="20"/>
          <w:szCs w:val="20"/>
          <w:lang w:val="es-MX"/>
        </w:rPr>
        <w:t>, el Estado informó que en seguimiento a la implementación de las reformas a la Ley de migración y la Ley sobre refugiados, protección complementaria y asilo político respecto de la prohibición de detención de niñas, niños y adolescentes, se actualizó el Directorio General de Centros de Asistencia Social a nivel nacional. De acuerdo con lo informado por el Estado, dicha actualización permitiría fortalecer la vinculación con actores sociales, públicos y privados, con el fin de ampliar las opciones de espacios de alojamiento y habilitar Centros Temporales para la atención específica de niñas, niños y adolescentes y sus familias en contexto de migración en los Estados con mayor flujo migratorio</w:t>
      </w:r>
      <w:r w:rsidRPr="004E3E07">
        <w:rPr>
          <w:rFonts w:ascii="Cambria" w:eastAsia="Cambria" w:hAnsi="Cambria" w:cs="Cambria"/>
          <w:sz w:val="20"/>
          <w:szCs w:val="20"/>
          <w:vertAlign w:val="superscript"/>
          <w:lang w:val="es-MX"/>
        </w:rPr>
        <w:footnoteReference w:id="371"/>
      </w:r>
      <w:r w:rsidRPr="004E3E07">
        <w:rPr>
          <w:rFonts w:ascii="Cambria" w:eastAsia="Cambria" w:hAnsi="Cambria" w:cs="Cambria"/>
          <w:sz w:val="20"/>
          <w:szCs w:val="20"/>
          <w:lang w:val="es-MX"/>
        </w:rPr>
        <w:t>.</w:t>
      </w:r>
      <w:sdt>
        <w:sdtPr>
          <w:rPr>
            <w:rFonts w:ascii="Cambria" w:hAnsi="Cambria"/>
            <w:sz w:val="20"/>
            <w:szCs w:val="20"/>
            <w:lang w:val="es-MX"/>
          </w:rPr>
          <w:tag w:val="goog_rdk_1"/>
          <w:id w:val="264351371"/>
        </w:sdtPr>
        <w:sdtEndPr/>
        <w:sdtContent/>
      </w:sdt>
    </w:p>
    <w:p w14:paraId="2C0342A1" w14:textId="32F2A1BE" w:rsidR="00B8656B" w:rsidRPr="002F50F7" w:rsidRDefault="00B8656B" w:rsidP="002F1A6A">
      <w:pPr>
        <w:numPr>
          <w:ilvl w:val="0"/>
          <w:numId w:val="5"/>
        </w:numPr>
        <w:shd w:val="clear" w:color="auto" w:fill="FFFFFF"/>
        <w:spacing w:after="240" w:line="240" w:lineRule="auto"/>
        <w:ind w:left="0" w:firstLine="720"/>
        <w:jc w:val="both"/>
        <w:rPr>
          <w:rFonts w:ascii="Cambria" w:eastAsia="Cambria" w:hAnsi="Cambria" w:cs="Cambria"/>
          <w:sz w:val="20"/>
          <w:szCs w:val="20"/>
          <w:lang w:val="es-MX"/>
        </w:rPr>
      </w:pPr>
      <w:r w:rsidRPr="004E3E07">
        <w:rPr>
          <w:rFonts w:ascii="Cambria" w:eastAsia="Cambria" w:hAnsi="Cambria" w:cs="Cambria"/>
          <w:sz w:val="20"/>
          <w:szCs w:val="20"/>
          <w:lang w:val="es-MX"/>
        </w:rPr>
        <w:t xml:space="preserve">Sobre las condiciones de detención migratoria, el Estado apuntó que en seguimiento al proyecto de certificación de las estaciones migratorias y estancias provisionales que tiene como objeto generar </w:t>
      </w:r>
      <w:r w:rsidRPr="002F50F7">
        <w:rPr>
          <w:rFonts w:ascii="Cambria" w:eastAsia="Cambria" w:hAnsi="Cambria" w:cs="Cambria"/>
          <w:sz w:val="20"/>
          <w:szCs w:val="20"/>
          <w:lang w:val="es-MX"/>
        </w:rPr>
        <w:t>mejores condiciones de estancia con apego a los derechos humanos</w:t>
      </w:r>
      <w:r w:rsidRPr="002F50F7">
        <w:rPr>
          <w:rFonts w:ascii="Cambria" w:eastAsia="Cambria" w:hAnsi="Cambria" w:cs="Cambria"/>
          <w:sz w:val="20"/>
          <w:szCs w:val="20"/>
          <w:vertAlign w:val="superscript"/>
          <w:lang w:val="es-MX"/>
        </w:rPr>
        <w:footnoteReference w:id="372"/>
      </w:r>
      <w:r w:rsidRPr="002F50F7">
        <w:rPr>
          <w:rFonts w:ascii="Cambria" w:eastAsia="Cambria" w:hAnsi="Cambria" w:cs="Cambria"/>
          <w:sz w:val="20"/>
          <w:szCs w:val="20"/>
          <w:lang w:val="es-MX"/>
        </w:rPr>
        <w:t>, en junio de 2021 se emitió un oficio de reclasificación de dichos centros. Ello, de conformidad con los artículos 107 de la Ley de Migración; y artículos 4 y 5 del Acuerdo por el que se emiten las Normas para su funcionamiento.</w:t>
      </w:r>
      <w:r w:rsidR="002F1A6A" w:rsidRPr="002F50F7">
        <w:rPr>
          <w:rFonts w:ascii="Cambria" w:eastAsia="Cambria" w:hAnsi="Cambria" w:cs="Cambria"/>
          <w:sz w:val="20"/>
          <w:szCs w:val="20"/>
          <w:lang w:val="es-MX"/>
        </w:rPr>
        <w:t xml:space="preserve"> En sus observaciones al proyecto al presente informe, el Estado informó la reclasificación de las estaciones migratorias y estancias provisiónales realizada, consiste en catalogar dichas instalaciones migratorias de acuerdo con su capacidad, los espacios de alojamiento y servicios básicos con los que cuentan.  En ese sentido, el Proyecto de  Certificación  de  Estaciones  Migratorias  y  Estancias Provisionales,  pretende  garantizar  que  la  infraestructura  de   las   instalaciones migratorias, su operación y funcionamiento, se apeguen a lo establecido en la Ley de Migración y su Reglamento, para estar en  posibilidad de  brindar  a las personas en contexto de migración la debida atención y en el caso de flujos migratorios extraordinarios; respetando sus derechos humanos, con especial procuración a grupos vulnerables</w:t>
      </w:r>
      <w:r w:rsidR="002F1A6A" w:rsidRPr="002F50F7">
        <w:rPr>
          <w:rStyle w:val="FootnoteReference"/>
          <w:rFonts w:ascii="Cambria" w:eastAsia="Cambria" w:hAnsi="Cambria" w:cs="Cambria"/>
          <w:sz w:val="20"/>
          <w:szCs w:val="20"/>
          <w:lang w:val="es-MX"/>
        </w:rPr>
        <w:footnoteReference w:id="373"/>
      </w:r>
      <w:r w:rsidR="002F1A6A" w:rsidRPr="002F50F7">
        <w:rPr>
          <w:rFonts w:ascii="Cambria" w:eastAsia="Cambria" w:hAnsi="Cambria" w:cs="Cambria"/>
          <w:sz w:val="20"/>
          <w:szCs w:val="20"/>
          <w:lang w:val="es-MX"/>
        </w:rPr>
        <w:t xml:space="preserve">. </w:t>
      </w:r>
      <w:r w:rsidRPr="002F50F7">
        <w:rPr>
          <w:rFonts w:ascii="Cambria" w:eastAsia="Cambria" w:hAnsi="Cambria" w:cs="Cambria"/>
          <w:sz w:val="20"/>
          <w:szCs w:val="20"/>
          <w:lang w:val="es-MX"/>
        </w:rPr>
        <w:t xml:space="preserve"> </w:t>
      </w:r>
    </w:p>
    <w:p w14:paraId="3418F1FB" w14:textId="7A7A23DA" w:rsidR="00B8656B" w:rsidRPr="004E3E07" w:rsidRDefault="00B8656B" w:rsidP="00DA338A">
      <w:pPr>
        <w:numPr>
          <w:ilvl w:val="0"/>
          <w:numId w:val="5"/>
        </w:numPr>
        <w:shd w:val="clear" w:color="auto" w:fill="FFFFFF"/>
        <w:spacing w:after="240" w:line="240" w:lineRule="auto"/>
        <w:ind w:left="0" w:firstLine="720"/>
        <w:jc w:val="both"/>
        <w:rPr>
          <w:rFonts w:ascii="Cambria" w:eastAsia="Cambria" w:hAnsi="Cambria" w:cs="Cambria"/>
          <w:sz w:val="20"/>
          <w:szCs w:val="20"/>
          <w:lang w:val="es-MX"/>
        </w:rPr>
      </w:pPr>
      <w:r w:rsidRPr="004E3E07">
        <w:rPr>
          <w:rFonts w:ascii="Cambria" w:eastAsia="Cambria" w:hAnsi="Cambria" w:cs="Cambria"/>
          <w:sz w:val="20"/>
          <w:szCs w:val="20"/>
          <w:lang w:val="es-MX"/>
        </w:rPr>
        <w:t>En lo atinente a la violencia y discriminación en contra de personas migrantes en el contexto de la movilidad humana en México, el Estado informó sobre la implementación del Programa Anual de Capacitación 2021, el cual incorpora temas relativos a derechos humanos, procedimientos administrativos migratorios y atención a personas extranjeras. Asimismo, resaltó que los contenidos del programa son actualizados conforme a las necesidades de capacitación, y a las fichas pedagógicas correspondientes</w:t>
      </w:r>
      <w:r w:rsidRPr="004E3E07">
        <w:rPr>
          <w:rFonts w:ascii="Cambria" w:eastAsia="Cambria" w:hAnsi="Cambria" w:cs="Cambria"/>
          <w:sz w:val="20"/>
          <w:szCs w:val="20"/>
          <w:vertAlign w:val="superscript"/>
          <w:lang w:val="es-MX"/>
        </w:rPr>
        <w:footnoteReference w:id="374"/>
      </w:r>
      <w:r w:rsidRPr="004E3E07">
        <w:rPr>
          <w:rFonts w:ascii="Cambria" w:eastAsia="Cambria" w:hAnsi="Cambria" w:cs="Cambria"/>
          <w:sz w:val="20"/>
          <w:szCs w:val="20"/>
          <w:lang w:val="es-MX"/>
        </w:rPr>
        <w:t>.</w:t>
      </w:r>
    </w:p>
    <w:p w14:paraId="2DD2134A" w14:textId="31FAA375" w:rsidR="00B8656B" w:rsidRPr="004E3E07" w:rsidRDefault="00B8656B" w:rsidP="00DA338A">
      <w:pPr>
        <w:numPr>
          <w:ilvl w:val="0"/>
          <w:numId w:val="5"/>
        </w:numPr>
        <w:shd w:val="clear" w:color="auto" w:fill="FFFFFF"/>
        <w:spacing w:after="240" w:line="240" w:lineRule="auto"/>
        <w:ind w:left="0" w:firstLine="720"/>
        <w:jc w:val="both"/>
        <w:rPr>
          <w:rFonts w:ascii="Cambria" w:eastAsia="Cambria" w:hAnsi="Cambria" w:cs="Cambria"/>
          <w:sz w:val="20"/>
          <w:szCs w:val="20"/>
          <w:lang w:val="es-MX"/>
        </w:rPr>
      </w:pPr>
      <w:r w:rsidRPr="004E3E07">
        <w:rPr>
          <w:rFonts w:ascii="Cambria" w:eastAsia="Cambria" w:hAnsi="Cambria" w:cs="Cambria"/>
          <w:sz w:val="20"/>
          <w:szCs w:val="20"/>
          <w:lang w:val="es-MX"/>
        </w:rPr>
        <w:t>En ese marco, la CIDH se pronunciará sobre aquellas medidas que requieren la atención del Estado para superar la situación de vulnerabilidad en la que se encuentran las personas en el contexto de la movilidad humana. En particular: i) medidas tendientes a facilitar el tránsito por México a través de canales regulares; ii) uso excesivo de la fuerza; iii) acceso a procedimientos de asilo o protección; iv) situación de extrema violencia que enfrentan las personas en movilidad humana en tránsito por México; v) investigaciones por violaciones a derechos humanos; vi) personas mexicanas retornadas o deportadas; vii) causas estructurales que generan los desplazamientos forzados de personas; viii) detención migratoria; procedimientos de devolución o expulsión; ix) personas defensoras de derechos humanos.</w:t>
      </w:r>
    </w:p>
    <w:p w14:paraId="3E8892B3" w14:textId="27527060" w:rsidR="00B8656B" w:rsidRPr="004E3E07" w:rsidRDefault="00B8656B" w:rsidP="00DA338A">
      <w:pPr>
        <w:numPr>
          <w:ilvl w:val="0"/>
          <w:numId w:val="5"/>
        </w:numPr>
        <w:shd w:val="clear" w:color="auto" w:fill="FFFFFF"/>
        <w:spacing w:after="240" w:line="240" w:lineRule="auto"/>
        <w:ind w:left="0" w:firstLine="720"/>
        <w:jc w:val="both"/>
        <w:rPr>
          <w:rFonts w:ascii="Cambria" w:eastAsia="Cambria" w:hAnsi="Cambria" w:cs="Cambria"/>
          <w:sz w:val="20"/>
          <w:szCs w:val="20"/>
          <w:lang w:val="es-MX"/>
        </w:rPr>
      </w:pPr>
      <w:r w:rsidRPr="004E3E07">
        <w:rPr>
          <w:rFonts w:ascii="Cambria" w:eastAsia="Cambria" w:hAnsi="Cambria" w:cs="Cambria"/>
          <w:sz w:val="20"/>
          <w:szCs w:val="20"/>
          <w:lang w:val="es-MX"/>
        </w:rPr>
        <w:t>A través de sus distintos mecanismos de monitoreo, la Comisión ha resaltado que México es un país de origen, tránsito, destino y retorno para movimientos migratorios mixtos de la región y de otras partes del mundo, sobre todo de personas que buscan llegar a Estados Unidos. En años recientes, además de la migración de personas mexicanas hacia Estados Unidos, se ha identificado un aumento en el número de personas mexicanas y de otras nacionalidades que son retornadas hacia México. A ello, se suma el incremento de personas en situación de movilidad para quienes México es o se convierte en país de destino. Al respecto, la CIDH ha observado que la complejidad de estas dinámicas migratorias presenta retos para la protección y garantía de los derechos humanos de las personas en movilidad humana.</w:t>
      </w:r>
      <w:r w:rsidRPr="004E3E07">
        <w:rPr>
          <w:rFonts w:ascii="Cambria" w:eastAsia="Cambria" w:hAnsi="Cambria" w:cs="Cambria"/>
          <w:sz w:val="20"/>
          <w:szCs w:val="20"/>
          <w:vertAlign w:val="superscript"/>
          <w:lang w:val="es-MX"/>
        </w:rPr>
        <w:footnoteReference w:id="375"/>
      </w:r>
    </w:p>
    <w:p w14:paraId="71FE4256" w14:textId="7436D407" w:rsidR="00B8656B" w:rsidRPr="004E3E07" w:rsidRDefault="00B8656B" w:rsidP="00DA338A">
      <w:pPr>
        <w:numPr>
          <w:ilvl w:val="0"/>
          <w:numId w:val="5"/>
        </w:numPr>
        <w:shd w:val="clear" w:color="auto" w:fill="FFFFFF"/>
        <w:spacing w:after="240" w:line="240" w:lineRule="auto"/>
        <w:ind w:left="0" w:firstLine="720"/>
        <w:jc w:val="both"/>
        <w:rPr>
          <w:rFonts w:ascii="Cambria" w:eastAsia="Cambria" w:hAnsi="Cambria" w:cs="Cambria"/>
          <w:sz w:val="20"/>
          <w:szCs w:val="20"/>
          <w:lang w:val="es-MX"/>
        </w:rPr>
      </w:pPr>
      <w:r w:rsidRPr="004E3E07">
        <w:rPr>
          <w:rFonts w:ascii="Cambria" w:eastAsia="Cambria" w:hAnsi="Cambria" w:cs="Cambria"/>
          <w:sz w:val="20"/>
          <w:szCs w:val="20"/>
          <w:lang w:val="es-MX"/>
        </w:rPr>
        <w:t xml:space="preserve">En relación con la </w:t>
      </w:r>
      <w:r w:rsidRPr="004E3E07">
        <w:rPr>
          <w:rFonts w:ascii="Cambria" w:eastAsia="Cambria" w:hAnsi="Cambria" w:cs="Cambria"/>
          <w:b/>
          <w:sz w:val="20"/>
          <w:szCs w:val="20"/>
          <w:lang w:val="es-MX"/>
        </w:rPr>
        <w:t>adopción de medidas tendientes a facilitar que las personas puedan ingresar y transitar por México a través de canales regulares</w:t>
      </w:r>
      <w:r w:rsidRPr="004E3E07">
        <w:rPr>
          <w:rFonts w:ascii="Cambria" w:eastAsia="Cambria" w:hAnsi="Cambria" w:cs="Cambria"/>
          <w:sz w:val="20"/>
          <w:szCs w:val="20"/>
          <w:vertAlign w:val="superscript"/>
          <w:lang w:val="es-MX"/>
        </w:rPr>
        <w:footnoteReference w:id="376"/>
      </w:r>
      <w:r w:rsidRPr="004E3E07">
        <w:rPr>
          <w:rFonts w:ascii="Cambria" w:eastAsia="Cambria" w:hAnsi="Cambria" w:cs="Cambria"/>
          <w:sz w:val="20"/>
          <w:szCs w:val="20"/>
          <w:lang w:val="es-MX"/>
        </w:rPr>
        <w:t>, la Organización Internacional para las Migraciones (OIM) señaló que México se está convirtiendo cada vez más en un país de destino para personas migrantes, incluso de aquellas que no han podido ingresar a los Estados Unidos</w:t>
      </w:r>
      <w:r w:rsidRPr="004E3E07">
        <w:rPr>
          <w:rFonts w:ascii="Cambria" w:eastAsia="Cambria" w:hAnsi="Cambria" w:cs="Cambria"/>
          <w:sz w:val="20"/>
          <w:szCs w:val="20"/>
          <w:vertAlign w:val="superscript"/>
          <w:lang w:val="es-MX"/>
        </w:rPr>
        <w:footnoteReference w:id="377"/>
      </w:r>
      <w:r w:rsidRPr="004E3E07">
        <w:rPr>
          <w:rFonts w:ascii="Cambria" w:eastAsia="Cambria" w:hAnsi="Cambria" w:cs="Cambria"/>
          <w:sz w:val="20"/>
          <w:szCs w:val="20"/>
          <w:lang w:val="es-MX"/>
        </w:rPr>
        <w:t>. En igual sentido, las cifras más actualizadas del Departamento de Asuntos Económicos y Sociales, División de Población de la Organización de las Naciones Unidas señalan que el número de personas migrantes en México, como país de destino, aumentó en un 72% entre 1990 y 2020</w:t>
      </w:r>
      <w:r w:rsidRPr="004E3E07">
        <w:rPr>
          <w:rFonts w:ascii="Cambria" w:eastAsia="Cambria" w:hAnsi="Cambria" w:cs="Cambria"/>
          <w:sz w:val="20"/>
          <w:szCs w:val="20"/>
          <w:vertAlign w:val="superscript"/>
          <w:lang w:val="es-MX"/>
        </w:rPr>
        <w:footnoteReference w:id="378"/>
      </w:r>
      <w:r w:rsidRPr="004E3E07">
        <w:rPr>
          <w:rFonts w:ascii="Cambria" w:eastAsia="Cambria" w:hAnsi="Cambria" w:cs="Cambria"/>
          <w:sz w:val="20"/>
          <w:szCs w:val="20"/>
          <w:lang w:val="es-MX"/>
        </w:rPr>
        <w:t>.</w:t>
      </w:r>
    </w:p>
    <w:p w14:paraId="5CC47402" w14:textId="637DD44A" w:rsidR="00B8656B" w:rsidRPr="004E3E07" w:rsidRDefault="00B8656B" w:rsidP="00DA338A">
      <w:pPr>
        <w:numPr>
          <w:ilvl w:val="0"/>
          <w:numId w:val="5"/>
        </w:numPr>
        <w:shd w:val="clear" w:color="auto" w:fill="FFFFFF"/>
        <w:spacing w:after="240" w:line="240" w:lineRule="auto"/>
        <w:ind w:left="0" w:firstLine="720"/>
        <w:jc w:val="both"/>
        <w:rPr>
          <w:rFonts w:ascii="Cambria" w:eastAsia="Cambria" w:hAnsi="Cambria" w:cs="Cambria"/>
          <w:sz w:val="20"/>
          <w:szCs w:val="20"/>
          <w:lang w:val="es-MX"/>
        </w:rPr>
      </w:pPr>
      <w:r w:rsidRPr="004E3E07">
        <w:rPr>
          <w:rFonts w:ascii="Cambria" w:eastAsia="Cambria" w:hAnsi="Cambria" w:cs="Cambria"/>
          <w:sz w:val="20"/>
          <w:szCs w:val="20"/>
          <w:lang w:val="es-MX"/>
        </w:rPr>
        <w:t>En lo que respecta a las personas solicitantes de asilo, refugiadas o con necesidades de protección complementaria, los datos oficiales de la Comisión Mexicana de Ayuda a Refugiados (COMAR) señalan que la presentación de solicitudes de asilo aumentó en más del 5.400% entre 2013 y 2019</w:t>
      </w:r>
      <w:r w:rsidRPr="004E3E07">
        <w:rPr>
          <w:rFonts w:ascii="Cambria" w:eastAsia="Cambria" w:hAnsi="Cambria" w:cs="Cambria"/>
          <w:sz w:val="20"/>
          <w:szCs w:val="20"/>
          <w:vertAlign w:val="superscript"/>
          <w:lang w:val="es-MX"/>
        </w:rPr>
        <w:footnoteReference w:id="379"/>
      </w:r>
      <w:r w:rsidRPr="004E3E07">
        <w:rPr>
          <w:rFonts w:ascii="Cambria" w:eastAsia="Cambria" w:hAnsi="Cambria" w:cs="Cambria"/>
          <w:sz w:val="20"/>
          <w:szCs w:val="20"/>
          <w:lang w:val="es-MX"/>
        </w:rPr>
        <w:t>. Asimismo, la CIDH nota que durante 2021 continuó la tendencia al alza, registrándose un total de 77.559 nuevas solicitudes de asilo hasta finales de agosto. Dicha cifra representa un aumento de más del 200% respecto del mismo periodo durante el 2020</w:t>
      </w:r>
      <w:r w:rsidRPr="004E3E07">
        <w:rPr>
          <w:rFonts w:ascii="Cambria" w:eastAsia="Cambria" w:hAnsi="Cambria" w:cs="Cambria"/>
          <w:sz w:val="20"/>
          <w:szCs w:val="20"/>
          <w:vertAlign w:val="superscript"/>
          <w:lang w:val="es-MX"/>
        </w:rPr>
        <w:footnoteReference w:id="380"/>
      </w:r>
      <w:r w:rsidRPr="004E3E07">
        <w:rPr>
          <w:rFonts w:ascii="Cambria" w:eastAsia="Cambria" w:hAnsi="Cambria" w:cs="Cambria"/>
          <w:sz w:val="20"/>
          <w:szCs w:val="20"/>
          <w:lang w:val="es-MX"/>
        </w:rPr>
        <w:t>. Del total señalado, la CIDH nota que solamente 17.172 personas habrían sido reconocidas como refugiadas durante el 2021. Lo anterior, podría estar relacionado con las limitaciones en la capacidad operativa de la COMAR para para responder al aumento de las solicitudes de asilo en los últimos años</w:t>
      </w:r>
      <w:r w:rsidRPr="004E3E07">
        <w:rPr>
          <w:rFonts w:ascii="Cambria" w:eastAsia="Cambria" w:hAnsi="Cambria" w:cs="Cambria"/>
          <w:sz w:val="20"/>
          <w:szCs w:val="20"/>
          <w:vertAlign w:val="superscript"/>
          <w:lang w:val="es-MX"/>
        </w:rPr>
        <w:footnoteReference w:id="381"/>
      </w:r>
      <w:r w:rsidRPr="004E3E07">
        <w:rPr>
          <w:rFonts w:ascii="Cambria" w:eastAsia="Cambria" w:hAnsi="Cambria" w:cs="Cambria"/>
          <w:sz w:val="20"/>
          <w:szCs w:val="20"/>
          <w:lang w:val="es-MX"/>
        </w:rPr>
        <w:t>.</w:t>
      </w:r>
    </w:p>
    <w:p w14:paraId="67514601" w14:textId="203C116F" w:rsidR="00B8656B" w:rsidRPr="004E3E07" w:rsidRDefault="00B8656B" w:rsidP="00DA338A">
      <w:pPr>
        <w:numPr>
          <w:ilvl w:val="0"/>
          <w:numId w:val="5"/>
        </w:numPr>
        <w:shd w:val="clear" w:color="auto" w:fill="FFFFFF"/>
        <w:spacing w:after="240" w:line="240" w:lineRule="auto"/>
        <w:ind w:left="0" w:firstLine="720"/>
        <w:jc w:val="both"/>
        <w:rPr>
          <w:rFonts w:ascii="Cambria" w:eastAsia="Cambria" w:hAnsi="Cambria" w:cs="Cambria"/>
          <w:sz w:val="20"/>
          <w:szCs w:val="20"/>
          <w:lang w:val="es-MX"/>
        </w:rPr>
      </w:pPr>
      <w:r w:rsidRPr="004E3E07">
        <w:rPr>
          <w:rFonts w:ascii="Cambria" w:eastAsia="Cambria" w:hAnsi="Cambria" w:cs="Cambria"/>
          <w:sz w:val="20"/>
          <w:szCs w:val="20"/>
          <w:lang w:val="es-MX"/>
        </w:rPr>
        <w:t>En cuanto a las personas con necesidades de protección complementaria, las cifras más recientes de la Unidad de Política Migratoria (UPMRIP) de la Secretaría de Gobernación de México señalan que hasta agosto de 2021 se entregaron un total de 26.266 tarjetas de visitante por razones humanitarias</w:t>
      </w:r>
      <w:r w:rsidRPr="004E3E07">
        <w:rPr>
          <w:rFonts w:ascii="Cambria" w:eastAsia="Cambria" w:hAnsi="Cambria" w:cs="Cambria"/>
          <w:sz w:val="20"/>
          <w:szCs w:val="20"/>
          <w:vertAlign w:val="superscript"/>
          <w:lang w:val="es-MX"/>
        </w:rPr>
        <w:footnoteReference w:id="382"/>
      </w:r>
      <w:r w:rsidRPr="004E3E07">
        <w:rPr>
          <w:rFonts w:ascii="Cambria" w:eastAsia="Cambria" w:hAnsi="Cambria" w:cs="Cambria"/>
          <w:sz w:val="20"/>
          <w:szCs w:val="20"/>
          <w:lang w:val="es-MX"/>
        </w:rPr>
        <w:t>. De acuerdo con información proporcionada por el Estado a la CIDH, estos documentos se entregan a personas extranjeras que han obtenido la condición de estancia por dicha razón, así como a niñas, niños y adolescentes en el contexto de la movilidad y a sus acompañantes en tanto se tramita el procedimiento de restitución de derechos</w:t>
      </w:r>
      <w:r w:rsidRPr="004E3E07">
        <w:rPr>
          <w:rFonts w:ascii="Cambria" w:eastAsia="Cambria" w:hAnsi="Cambria" w:cs="Cambria"/>
          <w:sz w:val="20"/>
          <w:szCs w:val="20"/>
          <w:vertAlign w:val="superscript"/>
          <w:lang w:val="es-MX"/>
        </w:rPr>
        <w:footnoteReference w:id="383"/>
      </w:r>
      <w:r w:rsidRPr="004E3E07">
        <w:rPr>
          <w:rFonts w:ascii="Cambria" w:eastAsia="Cambria" w:hAnsi="Cambria" w:cs="Cambria"/>
          <w:sz w:val="20"/>
          <w:szCs w:val="20"/>
          <w:lang w:val="es-MX"/>
        </w:rPr>
        <w:t>.</w:t>
      </w:r>
    </w:p>
    <w:p w14:paraId="123DF2D9" w14:textId="15B80449" w:rsidR="00DA338A" w:rsidRPr="004E3E07" w:rsidRDefault="00B8656B" w:rsidP="00DA338A">
      <w:pPr>
        <w:numPr>
          <w:ilvl w:val="0"/>
          <w:numId w:val="5"/>
        </w:numPr>
        <w:shd w:val="clear" w:color="auto" w:fill="FFFFFF"/>
        <w:spacing w:after="240" w:line="240" w:lineRule="auto"/>
        <w:ind w:left="0" w:firstLine="720"/>
        <w:jc w:val="both"/>
        <w:rPr>
          <w:rFonts w:ascii="Cambria" w:eastAsia="Cambria" w:hAnsi="Cambria" w:cs="Cambria"/>
          <w:sz w:val="20"/>
          <w:szCs w:val="20"/>
          <w:lang w:val="es-MX"/>
        </w:rPr>
      </w:pPr>
      <w:r w:rsidRPr="004E3E07">
        <w:rPr>
          <w:rFonts w:ascii="Cambria" w:eastAsia="Cambria" w:hAnsi="Cambria" w:cs="Cambria"/>
          <w:sz w:val="20"/>
          <w:szCs w:val="20"/>
          <w:lang w:val="es-MX"/>
        </w:rPr>
        <w:t>Aunado a ello, se habría identificado un aumento en el número de niñas, niños y adolescentes acompañados y no acompañados. En ese sentido, el INM informó que hasta el 31 de agosto de 2021 se identificaron un total de 34.427 habrían ingresado al territorio del Estado por fuera de los canales regulares de ingreso. Agregó, que la cifra en referencia se habría triplicado en comparación con el mismo periodo durante el 2020. Según información oficial proporcionada a la CIDH, dicho aumento estaría relacionado con la reforma a la Ley de Migración que prohíbe la detención de esta población en estaciones migratorias o estancias provisionales</w:t>
      </w:r>
      <w:r w:rsidRPr="004E3E07">
        <w:rPr>
          <w:rFonts w:ascii="Cambria" w:eastAsia="Cambria" w:hAnsi="Cambria" w:cs="Cambria"/>
          <w:sz w:val="20"/>
          <w:szCs w:val="20"/>
          <w:vertAlign w:val="superscript"/>
          <w:lang w:val="es-MX"/>
        </w:rPr>
        <w:footnoteReference w:id="384"/>
      </w:r>
      <w:r w:rsidRPr="004E3E07">
        <w:rPr>
          <w:rFonts w:ascii="Cambria" w:eastAsia="Cambria" w:hAnsi="Cambria" w:cs="Cambria"/>
          <w:sz w:val="20"/>
          <w:szCs w:val="20"/>
          <w:lang w:val="es-MX"/>
        </w:rPr>
        <w:t>.</w:t>
      </w:r>
    </w:p>
    <w:p w14:paraId="26B75F84" w14:textId="3ABE6612" w:rsidR="00DA338A" w:rsidRPr="004E3E07" w:rsidRDefault="00B8656B" w:rsidP="00DA338A">
      <w:pPr>
        <w:numPr>
          <w:ilvl w:val="0"/>
          <w:numId w:val="5"/>
        </w:numPr>
        <w:shd w:val="clear" w:color="auto" w:fill="FFFFFF"/>
        <w:spacing w:after="240" w:line="240" w:lineRule="auto"/>
        <w:ind w:left="0" w:firstLine="720"/>
        <w:jc w:val="both"/>
        <w:rPr>
          <w:rFonts w:ascii="Cambria" w:eastAsia="Cambria" w:hAnsi="Cambria" w:cs="Cambria"/>
          <w:sz w:val="20"/>
          <w:szCs w:val="20"/>
          <w:lang w:val="es-MX"/>
        </w:rPr>
      </w:pPr>
      <w:r w:rsidRPr="004E3E07">
        <w:rPr>
          <w:rFonts w:ascii="Cambria" w:eastAsia="Cambria" w:hAnsi="Cambria" w:cs="Cambria"/>
          <w:sz w:val="20"/>
          <w:szCs w:val="20"/>
          <w:lang w:val="es-MX"/>
        </w:rPr>
        <w:t>En este marco, organizaciones de la sociedad civil informaron a la CIDH que el aumento en el número de solicitudes de asilo y la falta de fortalecimiento institucional para responder al mismo habría provocado demoras prolongadas en la resolución de los procedimientos de asilo o de protección. Esta espera supondría, además, una afectación a los derechos de las personas, quienes deben esperar la resolución en la entidad federativa en donde realizaron su solicitud</w:t>
      </w:r>
      <w:r w:rsidRPr="004E3E07">
        <w:rPr>
          <w:rFonts w:ascii="Cambria" w:eastAsia="Cambria" w:hAnsi="Cambria" w:cs="Cambria"/>
          <w:sz w:val="20"/>
          <w:szCs w:val="20"/>
          <w:vertAlign w:val="superscript"/>
          <w:lang w:val="es-MX"/>
        </w:rPr>
        <w:footnoteReference w:id="385"/>
      </w:r>
      <w:r w:rsidRPr="004E3E07">
        <w:rPr>
          <w:rFonts w:ascii="Cambria" w:eastAsia="Cambria" w:hAnsi="Cambria" w:cs="Cambria"/>
          <w:sz w:val="20"/>
          <w:szCs w:val="20"/>
          <w:lang w:val="es-MX"/>
        </w:rPr>
        <w:t>.</w:t>
      </w:r>
    </w:p>
    <w:p w14:paraId="0BDB67C3" w14:textId="77777777" w:rsidR="002F1A6A" w:rsidRPr="001B3B1F" w:rsidRDefault="00B8656B" w:rsidP="002F1A6A">
      <w:pPr>
        <w:numPr>
          <w:ilvl w:val="0"/>
          <w:numId w:val="5"/>
        </w:numPr>
        <w:shd w:val="clear" w:color="auto" w:fill="FFFFFF"/>
        <w:spacing w:after="240" w:line="240" w:lineRule="auto"/>
        <w:ind w:left="0" w:firstLine="720"/>
        <w:jc w:val="both"/>
        <w:rPr>
          <w:rFonts w:ascii="Cambria" w:eastAsia="Cambria" w:hAnsi="Cambria" w:cs="Cambria"/>
          <w:sz w:val="20"/>
          <w:szCs w:val="20"/>
          <w:lang w:val="es-MX"/>
        </w:rPr>
      </w:pPr>
      <w:r w:rsidRPr="004E3E07">
        <w:rPr>
          <w:rFonts w:ascii="Cambria" w:eastAsia="Cambria" w:hAnsi="Cambria" w:cs="Cambria"/>
          <w:sz w:val="20"/>
          <w:szCs w:val="20"/>
          <w:lang w:val="es-MX"/>
        </w:rPr>
        <w:t xml:space="preserve">En lo relativo al </w:t>
      </w:r>
      <w:r w:rsidRPr="004E3E07">
        <w:rPr>
          <w:rFonts w:ascii="Cambria" w:eastAsia="Cambria" w:hAnsi="Cambria" w:cs="Cambria"/>
          <w:b/>
          <w:sz w:val="20"/>
          <w:szCs w:val="20"/>
          <w:lang w:val="es-MX"/>
        </w:rPr>
        <w:t>uso excesivo de la fuerza en contra de población en movilidad</w:t>
      </w:r>
      <w:r w:rsidRPr="004E3E07">
        <w:rPr>
          <w:rFonts w:ascii="Cambria" w:eastAsia="Cambria" w:hAnsi="Cambria" w:cs="Cambria"/>
          <w:sz w:val="20"/>
          <w:szCs w:val="20"/>
          <w:lang w:val="es-MX"/>
        </w:rPr>
        <w:t>, mediante comunicado de prensa de 1 de abril de 2021, la Comisión señaló que la participación de la Guardia Nacional en conjunto con las fuerzas armadas respondería a una posible militarización de la respuesta estatal a la migración irregular y estaría acompañada del uso excesivo de la fuerza en contra de personas en situación de movilidad, limitaciones en el acceso al territorio del Estado y a las garantías básicas en los procedimientos de asilo o protección</w:t>
      </w:r>
      <w:r w:rsidRPr="004E3E07">
        <w:rPr>
          <w:rFonts w:ascii="Cambria" w:eastAsia="Cambria" w:hAnsi="Cambria" w:cs="Cambria"/>
          <w:sz w:val="20"/>
          <w:szCs w:val="20"/>
          <w:vertAlign w:val="superscript"/>
          <w:lang w:val="es-MX"/>
        </w:rPr>
        <w:footnoteReference w:id="386"/>
      </w:r>
      <w:r w:rsidRPr="004E3E07">
        <w:rPr>
          <w:rFonts w:ascii="Cambria" w:eastAsia="Cambria" w:hAnsi="Cambria" w:cs="Cambria"/>
          <w:sz w:val="20"/>
          <w:szCs w:val="20"/>
          <w:lang w:val="es-MX"/>
        </w:rPr>
        <w:t xml:space="preserve">. Aunado a ello, en su comunicado de prensa de 27 de septiembre de 2021 la CIDH condenó los enfrentamientos que culminaron en agresiones y golpes por las autoridades estatales en contra de las caravanas de migrantes que se formaron en Chiapas. De acuerdo con organizaciones de la sociedad civil, estos movimientos se habrían formado como consecuencia de las demoras prolongadas en la resolución de los procedimientos de asilo o de protección, así como la falta de acceso a servicios estatales y al ejercicio de otros derechos humanos en los estados del </w:t>
      </w:r>
      <w:r w:rsidR="00220665">
        <w:rPr>
          <w:rFonts w:ascii="Cambria" w:eastAsia="Cambria" w:hAnsi="Cambria" w:cs="Cambria"/>
          <w:sz w:val="20"/>
          <w:szCs w:val="20"/>
          <w:lang w:val="es-MX"/>
        </w:rPr>
        <w:t>s</w:t>
      </w:r>
      <w:r w:rsidRPr="004E3E07">
        <w:rPr>
          <w:rFonts w:ascii="Cambria" w:eastAsia="Cambria" w:hAnsi="Cambria" w:cs="Cambria"/>
          <w:sz w:val="20"/>
          <w:szCs w:val="20"/>
          <w:lang w:val="es-MX"/>
        </w:rPr>
        <w:t xml:space="preserve">ur de México. Al respecto, información oficial señala que la ciudad de </w:t>
      </w:r>
      <w:r w:rsidRPr="001B3B1F">
        <w:rPr>
          <w:rFonts w:ascii="Cambria" w:eastAsia="Cambria" w:hAnsi="Cambria" w:cs="Cambria"/>
          <w:sz w:val="20"/>
          <w:szCs w:val="20"/>
          <w:lang w:val="es-MX"/>
        </w:rPr>
        <w:t xml:space="preserve">Tapachula, Chiapas, </w:t>
      </w:r>
      <w:r w:rsidR="00220665" w:rsidRPr="001B3B1F">
        <w:rPr>
          <w:rFonts w:ascii="Cambria" w:eastAsia="Cambria" w:hAnsi="Cambria" w:cs="Cambria"/>
          <w:sz w:val="20"/>
          <w:szCs w:val="20"/>
          <w:lang w:val="es-MX"/>
        </w:rPr>
        <w:t xml:space="preserve">concentra </w:t>
      </w:r>
      <w:r w:rsidRPr="001B3B1F">
        <w:rPr>
          <w:rFonts w:ascii="Cambria" w:eastAsia="Cambria" w:hAnsi="Cambria" w:cs="Cambria"/>
          <w:sz w:val="20"/>
          <w:szCs w:val="20"/>
          <w:lang w:val="es-MX"/>
        </w:rPr>
        <w:t>el 72% de las solicitudes de refugio en México</w:t>
      </w:r>
      <w:r w:rsidRPr="001B3B1F">
        <w:rPr>
          <w:rFonts w:ascii="Cambria" w:eastAsia="Cambria" w:hAnsi="Cambria" w:cs="Cambria"/>
          <w:sz w:val="20"/>
          <w:szCs w:val="20"/>
          <w:vertAlign w:val="superscript"/>
          <w:lang w:val="es-MX"/>
        </w:rPr>
        <w:footnoteReference w:id="387"/>
      </w:r>
      <w:r w:rsidRPr="001B3B1F">
        <w:rPr>
          <w:rFonts w:ascii="Cambria" w:eastAsia="Cambria" w:hAnsi="Cambria" w:cs="Cambria"/>
          <w:sz w:val="20"/>
          <w:szCs w:val="20"/>
          <w:lang w:val="es-MX"/>
        </w:rPr>
        <w:t>.</w:t>
      </w:r>
    </w:p>
    <w:p w14:paraId="1E9699C8" w14:textId="7B285DAE" w:rsidR="002F1A6A" w:rsidRPr="001B3B1F" w:rsidRDefault="002F1A6A" w:rsidP="002F1A6A">
      <w:pPr>
        <w:numPr>
          <w:ilvl w:val="0"/>
          <w:numId w:val="5"/>
        </w:numPr>
        <w:shd w:val="clear" w:color="auto" w:fill="FFFFFF"/>
        <w:spacing w:after="240" w:line="240" w:lineRule="auto"/>
        <w:ind w:left="0" w:firstLine="720"/>
        <w:jc w:val="both"/>
        <w:rPr>
          <w:rFonts w:ascii="Cambria" w:eastAsia="Cambria" w:hAnsi="Cambria" w:cs="Cambria"/>
          <w:sz w:val="20"/>
          <w:szCs w:val="20"/>
          <w:lang w:val="es-MX"/>
        </w:rPr>
      </w:pPr>
      <w:r w:rsidRPr="001B3B1F">
        <w:rPr>
          <w:rFonts w:ascii="Cambria" w:eastAsia="Cambria" w:hAnsi="Cambria" w:cs="Cambria"/>
          <w:sz w:val="20"/>
          <w:szCs w:val="20"/>
          <w:lang w:val="es-MX"/>
        </w:rPr>
        <w:t>En sus observaciones al proyecto del presente informe, el Estado indicó que en los tres años de la presente administración, al cierre de noviembre de 2021, la Comisión Mexicana de Ayuda a Refugiados (COMAR) ha resuelto el 75.1% del total de casos resueltos en los 8 años 11 meses del 2013 al final de noviembre de 2021 y ha reconocido y otorgado protección complementaria al 77.54% del total. Asimismo indicó que la COMAR ha sido reconocida internacionalmente por haber mantenido la atención a la población refugiada duranta toda la pandemia</w:t>
      </w:r>
      <w:r w:rsidRPr="001B3B1F">
        <w:rPr>
          <w:rStyle w:val="FootnoteReference"/>
          <w:rFonts w:ascii="Cambria" w:eastAsia="Cambria" w:hAnsi="Cambria" w:cs="Cambria"/>
          <w:sz w:val="20"/>
          <w:szCs w:val="20"/>
          <w:lang w:val="es-MX"/>
        </w:rPr>
        <w:footnoteReference w:id="388"/>
      </w:r>
      <w:r w:rsidRPr="001B3B1F">
        <w:rPr>
          <w:rFonts w:ascii="Cambria" w:eastAsia="Cambria" w:hAnsi="Cambria" w:cs="Cambria"/>
          <w:sz w:val="20"/>
          <w:szCs w:val="20"/>
          <w:lang w:val="es-MX"/>
        </w:rPr>
        <w:t>.</w:t>
      </w:r>
    </w:p>
    <w:p w14:paraId="509A0AAA" w14:textId="71BF9750" w:rsidR="00DA338A" w:rsidRPr="004E3E07" w:rsidRDefault="00220665" w:rsidP="00DA338A">
      <w:pPr>
        <w:numPr>
          <w:ilvl w:val="0"/>
          <w:numId w:val="5"/>
        </w:numPr>
        <w:shd w:val="clear" w:color="auto" w:fill="FFFFFF"/>
        <w:spacing w:after="240" w:line="240" w:lineRule="auto"/>
        <w:ind w:left="0" w:firstLine="720"/>
        <w:jc w:val="both"/>
        <w:rPr>
          <w:rFonts w:ascii="Cambria" w:eastAsia="Cambria" w:hAnsi="Cambria" w:cs="Cambria"/>
          <w:sz w:val="20"/>
          <w:szCs w:val="20"/>
          <w:lang w:val="es-MX"/>
        </w:rPr>
      </w:pPr>
      <w:r w:rsidRPr="001B3B1F">
        <w:rPr>
          <w:rFonts w:ascii="Cambria" w:eastAsia="Cambria" w:hAnsi="Cambria" w:cs="Cambria"/>
          <w:sz w:val="20"/>
          <w:szCs w:val="20"/>
          <w:lang w:val="es-MX"/>
        </w:rPr>
        <w:t>Respecto de lo anterior</w:t>
      </w:r>
      <w:r w:rsidR="00B8656B" w:rsidRPr="001B3B1F">
        <w:rPr>
          <w:rFonts w:ascii="Cambria" w:eastAsia="Cambria" w:hAnsi="Cambria" w:cs="Cambria"/>
          <w:sz w:val="20"/>
          <w:szCs w:val="20"/>
          <w:lang w:val="es-MX"/>
        </w:rPr>
        <w:t>, la Comisión advirtió que, con base en videos publicados en redes</w:t>
      </w:r>
      <w:r w:rsidR="00B8656B" w:rsidRPr="004E3E07">
        <w:rPr>
          <w:rFonts w:ascii="Cambria" w:eastAsia="Cambria" w:hAnsi="Cambria" w:cs="Cambria"/>
          <w:sz w:val="20"/>
          <w:szCs w:val="20"/>
          <w:lang w:val="es-MX"/>
        </w:rPr>
        <w:t xml:space="preserve"> sociales, las autoridades estatales y las fuerzas de seguridad del Estado utilizaron escudos y toletes de seguridad para golpear en la cabeza y otras partes del cuerpo a las personas que se desplazaban, incluyendo familias enteras y niñas, niños y adolescentes, sin que estas tuvieran la posibilidad de defenderse. Por ello, la CIDH urgió al Estado mexicano a investigar de oficio y con la debida diligencia los hechos de violencia contra la población en movilidad humana, sancionar a los agentes estatales que resulten responsables, reparar integralmente a las víctimas de estas violaciones a derechos humanos, y adoptar las medidas necesarias para evitar la repetición de estos hechos</w:t>
      </w:r>
      <w:r w:rsidR="00B8656B" w:rsidRPr="004E3E07">
        <w:rPr>
          <w:rFonts w:ascii="Cambria" w:eastAsia="Cambria" w:hAnsi="Cambria" w:cs="Cambria"/>
          <w:sz w:val="20"/>
          <w:szCs w:val="20"/>
          <w:vertAlign w:val="superscript"/>
          <w:lang w:val="es-MX"/>
        </w:rPr>
        <w:footnoteReference w:id="389"/>
      </w:r>
      <w:r w:rsidR="00B8656B" w:rsidRPr="004E3E07">
        <w:rPr>
          <w:rFonts w:ascii="Cambria" w:eastAsia="Cambria" w:hAnsi="Cambria" w:cs="Cambria"/>
          <w:sz w:val="20"/>
          <w:szCs w:val="20"/>
          <w:lang w:val="es-MX"/>
        </w:rPr>
        <w:t>. En igual sentido, oficinas especializadas de las Naciones Unidas hicieron un llamado al Estado para implementar medidas de prevención, no repetición y rendición de cuentas; avanzar con la investigación de los casos de uso de la fuerza y sancionar a quienes resulten responsables</w:t>
      </w:r>
      <w:r w:rsidR="00B8656B" w:rsidRPr="004E3E07">
        <w:rPr>
          <w:rFonts w:ascii="Cambria" w:eastAsia="Cambria" w:hAnsi="Cambria" w:cs="Cambria"/>
          <w:sz w:val="20"/>
          <w:szCs w:val="20"/>
          <w:vertAlign w:val="superscript"/>
          <w:lang w:val="es-MX"/>
        </w:rPr>
        <w:footnoteReference w:id="390"/>
      </w:r>
      <w:r w:rsidR="00B8656B" w:rsidRPr="004E3E07">
        <w:rPr>
          <w:rFonts w:ascii="Cambria" w:eastAsia="Cambria" w:hAnsi="Cambria" w:cs="Cambria"/>
          <w:sz w:val="20"/>
          <w:szCs w:val="20"/>
          <w:lang w:val="es-MX"/>
        </w:rPr>
        <w:t>. Además, la CNDH solicitó a diversas autoridades federales y del estado de Chiapas implementar medidas cautelares para salvaguardar la integridad y los derechos fundamentales de las personas migrantes que transitaba por esa entidad</w:t>
      </w:r>
      <w:r w:rsidR="00B8656B" w:rsidRPr="004E3E07">
        <w:rPr>
          <w:rFonts w:ascii="Cambria" w:eastAsia="Cambria" w:hAnsi="Cambria" w:cs="Cambria"/>
          <w:sz w:val="20"/>
          <w:szCs w:val="20"/>
          <w:vertAlign w:val="superscript"/>
          <w:lang w:val="es-MX"/>
        </w:rPr>
        <w:footnoteReference w:id="391"/>
      </w:r>
      <w:r w:rsidR="00B8656B" w:rsidRPr="004E3E07">
        <w:rPr>
          <w:rFonts w:ascii="Cambria" w:eastAsia="Cambria" w:hAnsi="Cambria" w:cs="Cambria"/>
          <w:sz w:val="20"/>
          <w:szCs w:val="20"/>
          <w:lang w:val="es-MX"/>
        </w:rPr>
        <w:t>.</w:t>
      </w:r>
    </w:p>
    <w:p w14:paraId="710943B6" w14:textId="44ABFFE3" w:rsidR="00DA338A" w:rsidRPr="004E3E07" w:rsidRDefault="00B8656B" w:rsidP="00DA338A">
      <w:pPr>
        <w:numPr>
          <w:ilvl w:val="0"/>
          <w:numId w:val="5"/>
        </w:numPr>
        <w:shd w:val="clear" w:color="auto" w:fill="FFFFFF"/>
        <w:spacing w:after="240" w:line="240" w:lineRule="auto"/>
        <w:ind w:left="0" w:firstLine="720"/>
        <w:jc w:val="both"/>
        <w:rPr>
          <w:rFonts w:ascii="Cambria" w:eastAsia="Cambria" w:hAnsi="Cambria" w:cs="Cambria"/>
          <w:sz w:val="20"/>
          <w:szCs w:val="20"/>
          <w:lang w:val="es-MX"/>
        </w:rPr>
      </w:pPr>
      <w:r w:rsidRPr="004E3E07">
        <w:rPr>
          <w:rFonts w:ascii="Cambria" w:eastAsia="Cambria" w:hAnsi="Cambria" w:cs="Cambria"/>
          <w:sz w:val="20"/>
          <w:szCs w:val="20"/>
          <w:lang w:val="es-MX"/>
        </w:rPr>
        <w:t xml:space="preserve">Aunado a lo anterior, la Comisión condenó el uso excesivo utilizado en los operativos </w:t>
      </w:r>
      <w:r w:rsidR="00220665">
        <w:rPr>
          <w:rFonts w:ascii="Cambria" w:eastAsia="Cambria" w:hAnsi="Cambria" w:cs="Cambria"/>
          <w:sz w:val="20"/>
          <w:szCs w:val="20"/>
          <w:lang w:val="es-MX"/>
        </w:rPr>
        <w:t>en</w:t>
      </w:r>
      <w:r w:rsidRPr="004E3E07">
        <w:rPr>
          <w:rFonts w:ascii="Cambria" w:eastAsia="Cambria" w:hAnsi="Cambria" w:cs="Cambria"/>
          <w:sz w:val="20"/>
          <w:szCs w:val="20"/>
          <w:lang w:val="es-MX"/>
        </w:rPr>
        <w:t xml:space="preserve"> Chiapas. De acuerdo con información pública, un niño resultó herido por agentes de la Guardia Nacional.</w:t>
      </w:r>
      <w:r w:rsidRPr="004E3E07">
        <w:rPr>
          <w:rFonts w:ascii="Cambria" w:eastAsia="Cambria" w:hAnsi="Cambria" w:cs="Cambria"/>
          <w:sz w:val="20"/>
          <w:szCs w:val="20"/>
          <w:vertAlign w:val="superscript"/>
          <w:lang w:val="es-MX"/>
        </w:rPr>
        <w:footnoteReference w:id="392"/>
      </w:r>
      <w:r w:rsidRPr="004E3E07">
        <w:rPr>
          <w:rFonts w:ascii="Cambria" w:eastAsia="Cambria" w:hAnsi="Cambria" w:cs="Cambria"/>
          <w:sz w:val="20"/>
          <w:szCs w:val="20"/>
          <w:lang w:val="es-MX"/>
        </w:rPr>
        <w:t xml:space="preserve"> Asimismo, la CIDH condenó la muerte de dos personas migrantes a raíz de disparos por agentes de la Guardia Nacional, el</w:t>
      </w:r>
      <w:hyperlink r:id="rId14">
        <w:r w:rsidRPr="004E3E07">
          <w:rPr>
            <w:rFonts w:ascii="Cambria" w:eastAsia="Cambria" w:hAnsi="Cambria" w:cs="Cambria"/>
            <w:sz w:val="20"/>
            <w:szCs w:val="20"/>
            <w:lang w:val="es-MX"/>
          </w:rPr>
          <w:t xml:space="preserve"> </w:t>
        </w:r>
      </w:hyperlink>
      <w:r w:rsidRPr="004E3E07">
        <w:rPr>
          <w:rFonts w:ascii="Cambria" w:eastAsia="Cambria" w:hAnsi="Cambria" w:cs="Cambria"/>
          <w:sz w:val="20"/>
          <w:szCs w:val="20"/>
          <w:lang w:val="es-MX"/>
        </w:rPr>
        <w:t>31 de octubre en Pijijiapan, Chiapas</w:t>
      </w:r>
      <w:r w:rsidRPr="004E3E07">
        <w:rPr>
          <w:rFonts w:ascii="Cambria" w:eastAsia="Cambria" w:hAnsi="Cambria" w:cs="Cambria"/>
          <w:sz w:val="20"/>
          <w:szCs w:val="20"/>
          <w:vertAlign w:val="superscript"/>
          <w:lang w:val="es-MX"/>
        </w:rPr>
        <w:footnoteReference w:id="393"/>
      </w:r>
      <w:r w:rsidRPr="004E3E07">
        <w:rPr>
          <w:rFonts w:ascii="Cambria" w:eastAsia="Cambria" w:hAnsi="Cambria" w:cs="Cambria"/>
          <w:sz w:val="20"/>
          <w:szCs w:val="20"/>
          <w:lang w:val="es-MX"/>
        </w:rPr>
        <w:t>.</w:t>
      </w:r>
    </w:p>
    <w:p w14:paraId="4C09F337" w14:textId="5B535337" w:rsidR="00DA338A" w:rsidRPr="004E3E07" w:rsidRDefault="00B8656B" w:rsidP="00DA338A">
      <w:pPr>
        <w:numPr>
          <w:ilvl w:val="0"/>
          <w:numId w:val="5"/>
        </w:numPr>
        <w:shd w:val="clear" w:color="auto" w:fill="FFFFFF"/>
        <w:spacing w:after="240" w:line="240" w:lineRule="auto"/>
        <w:ind w:left="0" w:firstLine="720"/>
        <w:jc w:val="both"/>
        <w:rPr>
          <w:rFonts w:ascii="Cambria" w:eastAsia="Cambria" w:hAnsi="Cambria" w:cs="Cambria"/>
          <w:sz w:val="20"/>
          <w:szCs w:val="20"/>
          <w:lang w:val="es-MX"/>
        </w:rPr>
      </w:pPr>
      <w:r w:rsidRPr="004E3E07">
        <w:rPr>
          <w:rFonts w:ascii="Cambria" w:eastAsia="Cambria" w:hAnsi="Cambria" w:cs="Cambria"/>
          <w:sz w:val="20"/>
          <w:szCs w:val="20"/>
          <w:lang w:val="es-MX"/>
        </w:rPr>
        <w:t>Por su parte,</w:t>
      </w:r>
      <w:r w:rsidR="00220665">
        <w:rPr>
          <w:rFonts w:ascii="Cambria" w:eastAsia="Cambria" w:hAnsi="Cambria" w:cs="Cambria"/>
          <w:sz w:val="20"/>
          <w:szCs w:val="20"/>
          <w:lang w:val="es-MX"/>
        </w:rPr>
        <w:t xml:space="preserve"> el</w:t>
      </w:r>
      <w:r w:rsidRPr="004E3E07">
        <w:rPr>
          <w:rFonts w:ascii="Cambria" w:eastAsia="Cambria" w:hAnsi="Cambria" w:cs="Cambria"/>
          <w:sz w:val="20"/>
          <w:szCs w:val="20"/>
          <w:lang w:val="es-MX"/>
        </w:rPr>
        <w:t xml:space="preserve"> Estado señaló la importancia de limitar la coacción por parte de los agentes de Migración y de las autoridades auxiliares (Guardia Nacional, Policía Federal y Ejército). Ello, de modo que no se ponga en riesgo la integridad física o psicológica de las personas migrantes. Además, señaló que el uso de la fuerza debe ser el último recurso</w:t>
      </w:r>
      <w:r w:rsidRPr="004E3E07">
        <w:rPr>
          <w:rFonts w:ascii="Cambria" w:eastAsia="Cambria" w:hAnsi="Cambria" w:cs="Cambria"/>
          <w:sz w:val="20"/>
          <w:szCs w:val="20"/>
          <w:vertAlign w:val="superscript"/>
          <w:lang w:val="es-MX"/>
        </w:rPr>
        <w:footnoteReference w:id="394"/>
      </w:r>
      <w:r w:rsidRPr="004E3E07">
        <w:rPr>
          <w:rFonts w:ascii="Cambria" w:eastAsia="Cambria" w:hAnsi="Cambria" w:cs="Cambria"/>
          <w:sz w:val="20"/>
          <w:szCs w:val="20"/>
          <w:lang w:val="es-MX"/>
        </w:rPr>
        <w:t>.</w:t>
      </w:r>
    </w:p>
    <w:p w14:paraId="0B57E1EB" w14:textId="77777777" w:rsidR="00DA338A" w:rsidRPr="004E3E07" w:rsidRDefault="00B8656B" w:rsidP="00DA338A">
      <w:pPr>
        <w:numPr>
          <w:ilvl w:val="0"/>
          <w:numId w:val="5"/>
        </w:numPr>
        <w:shd w:val="clear" w:color="auto" w:fill="FFFFFF"/>
        <w:spacing w:after="240" w:line="240" w:lineRule="auto"/>
        <w:ind w:left="0" w:firstLine="720"/>
        <w:jc w:val="both"/>
        <w:rPr>
          <w:rFonts w:ascii="Cambria" w:eastAsia="Cambria" w:hAnsi="Cambria" w:cs="Cambria"/>
          <w:sz w:val="20"/>
          <w:szCs w:val="20"/>
          <w:lang w:val="es-MX"/>
        </w:rPr>
      </w:pPr>
      <w:r w:rsidRPr="004E3E07">
        <w:rPr>
          <w:rFonts w:ascii="Cambria" w:eastAsia="Cambria" w:hAnsi="Cambria" w:cs="Cambria"/>
          <w:sz w:val="20"/>
          <w:szCs w:val="20"/>
          <w:lang w:val="es-MX"/>
        </w:rPr>
        <w:t>En este contexto, la CIDH nota que aunque se habrían implementado medidas para optimizar la atención de personas solicitantes de asilo y con necesidades de protección —en particular, mediante la posibilidad de requerir cita para formalizar la solicitud de la condición de persona refugiada vía correo electrónico</w:t>
      </w:r>
      <w:r w:rsidRPr="004E3E07">
        <w:rPr>
          <w:rFonts w:ascii="Cambria" w:eastAsia="Cambria" w:hAnsi="Cambria" w:cs="Cambria"/>
          <w:sz w:val="20"/>
          <w:szCs w:val="20"/>
          <w:vertAlign w:val="superscript"/>
          <w:lang w:val="es-MX"/>
        </w:rPr>
        <w:footnoteReference w:id="395"/>
      </w:r>
      <w:r w:rsidRPr="004E3E07">
        <w:rPr>
          <w:rFonts w:ascii="Cambria" w:eastAsia="Cambria" w:hAnsi="Cambria" w:cs="Cambria"/>
          <w:sz w:val="20"/>
          <w:szCs w:val="20"/>
          <w:lang w:val="es-MX"/>
        </w:rPr>
        <w:t>— aún persisten desafíos para responder ante el aumento de solicitudes de asilo y protección en dicha entidad federativa. Por ello, la CIDH insta al Estado a implementar medidas para dotar de capacidad a las estructuras e instituciones existentes; ello, con el fin de procesar y decidir de manera adecuada y con respeto al debido proceso la situación de los flujos masivos de personas solicitantes de asilo, refugiadas y otras formas de protección humanitaria en el contexto de los actuales movimientos migratorios mixtos en la región</w:t>
      </w:r>
      <w:r w:rsidRPr="004E3E07">
        <w:rPr>
          <w:rFonts w:ascii="Cambria" w:eastAsia="Cambria" w:hAnsi="Cambria" w:cs="Cambria"/>
          <w:sz w:val="20"/>
          <w:szCs w:val="20"/>
          <w:vertAlign w:val="superscript"/>
          <w:lang w:val="es-MX"/>
        </w:rPr>
        <w:footnoteReference w:id="396"/>
      </w:r>
      <w:r w:rsidRPr="004E3E07">
        <w:rPr>
          <w:rFonts w:ascii="Cambria" w:eastAsia="Cambria" w:hAnsi="Cambria" w:cs="Cambria"/>
          <w:sz w:val="20"/>
          <w:szCs w:val="20"/>
          <w:lang w:val="es-MX"/>
        </w:rPr>
        <w:t>. Asimismo, recuerda que el uso de la fuerza debe regirse por los principios de fin legítimo, absoluta necesidad, proporcionalidad y progresividad</w:t>
      </w:r>
      <w:r w:rsidRPr="004E3E07">
        <w:rPr>
          <w:rStyle w:val="FootnoteReference"/>
          <w:rFonts w:ascii="Cambria" w:eastAsia="Cambria" w:hAnsi="Cambria" w:cs="Cambria"/>
          <w:sz w:val="20"/>
          <w:szCs w:val="20"/>
          <w:lang w:val="es-MX"/>
        </w:rPr>
        <w:footnoteReference w:id="397"/>
      </w:r>
      <w:r w:rsidRPr="004E3E07">
        <w:rPr>
          <w:rFonts w:ascii="Cambria" w:eastAsia="Cambria" w:hAnsi="Cambria" w:cs="Cambria"/>
          <w:sz w:val="20"/>
          <w:szCs w:val="20"/>
          <w:lang w:val="es-MX"/>
        </w:rPr>
        <w:t>.</w:t>
      </w:r>
    </w:p>
    <w:p w14:paraId="7C9A302E" w14:textId="2BAF8604" w:rsidR="002F1A6A" w:rsidRPr="0005269D" w:rsidRDefault="00B8656B" w:rsidP="002F1A6A">
      <w:pPr>
        <w:numPr>
          <w:ilvl w:val="0"/>
          <w:numId w:val="5"/>
        </w:numPr>
        <w:shd w:val="clear" w:color="auto" w:fill="FFFFFF"/>
        <w:spacing w:after="240" w:line="240" w:lineRule="auto"/>
        <w:ind w:left="0" w:firstLine="720"/>
        <w:jc w:val="both"/>
        <w:rPr>
          <w:rFonts w:ascii="Cambria" w:eastAsia="Cambria" w:hAnsi="Cambria" w:cs="Cambria"/>
          <w:sz w:val="20"/>
          <w:szCs w:val="20"/>
          <w:lang w:val="es-MX"/>
        </w:rPr>
      </w:pPr>
      <w:r w:rsidRPr="004E3E07">
        <w:rPr>
          <w:rFonts w:ascii="Cambria" w:eastAsia="Cambria" w:hAnsi="Cambria" w:cs="Cambria"/>
          <w:sz w:val="20"/>
          <w:szCs w:val="20"/>
          <w:lang w:val="es-MX"/>
        </w:rPr>
        <w:t xml:space="preserve">En cuanto al </w:t>
      </w:r>
      <w:r w:rsidRPr="004E3E07">
        <w:rPr>
          <w:rFonts w:ascii="Cambria" w:eastAsia="Cambria" w:hAnsi="Cambria" w:cs="Cambria"/>
          <w:b/>
          <w:sz w:val="20"/>
          <w:szCs w:val="20"/>
          <w:lang w:val="es-MX"/>
        </w:rPr>
        <w:t>acceso a procedimientos de asilo o protección en México</w:t>
      </w:r>
      <w:r w:rsidRPr="004E3E07">
        <w:rPr>
          <w:rFonts w:ascii="Cambria" w:eastAsia="Cambria" w:hAnsi="Cambria" w:cs="Cambria"/>
          <w:sz w:val="20"/>
          <w:szCs w:val="20"/>
          <w:lang w:val="es-MX"/>
        </w:rPr>
        <w:t>, en audiencia pública ante la CIDH organizaciones de la sociedad civil denunciaron que personal del INM se estaría negando a recibir solicitudes de asilo en diferentes puntos fronterizos. Señalaron, que dicha situación se habría agravado con la pandemia por COVID-19</w:t>
      </w:r>
      <w:r w:rsidRPr="004E3E07">
        <w:rPr>
          <w:rFonts w:ascii="Cambria" w:eastAsia="Cambria" w:hAnsi="Cambria" w:cs="Cambria"/>
          <w:sz w:val="20"/>
          <w:szCs w:val="20"/>
          <w:vertAlign w:val="superscript"/>
          <w:lang w:val="es-MX"/>
        </w:rPr>
        <w:footnoteReference w:id="398"/>
      </w:r>
      <w:r w:rsidRPr="004E3E07">
        <w:rPr>
          <w:rFonts w:ascii="Cambria" w:eastAsia="Cambria" w:hAnsi="Cambria" w:cs="Cambria"/>
          <w:sz w:val="20"/>
          <w:szCs w:val="20"/>
          <w:lang w:val="es-MX"/>
        </w:rPr>
        <w:t xml:space="preserve">. En particular, las organizaciones informaron que habrían documentado </w:t>
      </w:r>
      <w:r w:rsidRPr="0005269D">
        <w:rPr>
          <w:rFonts w:ascii="Cambria" w:eastAsia="Cambria" w:hAnsi="Cambria" w:cs="Cambria"/>
          <w:sz w:val="20"/>
          <w:szCs w:val="20"/>
          <w:lang w:val="es-MX"/>
        </w:rPr>
        <w:t>casos de personas a quienes se les ha negado la posibilidad de solicitar asilo, argumentando que los procedimientos son complicados; que no cumplen con los criterios para ser reconocidas como refugiadas; o que iniciar trámites de dicha naturaleza les podría generar problemas legales en México. Además, tendrían reportes de amenazas de separación familiar y detención migratoria prolongada para que dichas personas desistan de presentar solicitudes de asilo o protección</w:t>
      </w:r>
      <w:r w:rsidRPr="0005269D">
        <w:rPr>
          <w:rFonts w:ascii="Cambria" w:eastAsia="Cambria" w:hAnsi="Cambria" w:cs="Cambria"/>
          <w:sz w:val="20"/>
          <w:szCs w:val="20"/>
          <w:vertAlign w:val="superscript"/>
          <w:lang w:val="es-MX"/>
        </w:rPr>
        <w:footnoteReference w:id="399"/>
      </w:r>
      <w:r w:rsidRPr="0005269D">
        <w:rPr>
          <w:rFonts w:ascii="Cambria" w:eastAsia="Cambria" w:hAnsi="Cambria" w:cs="Cambria"/>
          <w:sz w:val="20"/>
          <w:szCs w:val="20"/>
          <w:lang w:val="es-MX"/>
        </w:rPr>
        <w:t>.</w:t>
      </w:r>
      <w:r w:rsidR="002F1A6A" w:rsidRPr="0005269D">
        <w:rPr>
          <w:rFonts w:ascii="Cambria" w:eastAsia="Cambria" w:hAnsi="Cambria" w:cs="Cambria"/>
          <w:sz w:val="20"/>
          <w:szCs w:val="20"/>
          <w:lang w:val="es-MX"/>
        </w:rPr>
        <w:t>En sus observaciones al proyecto del presente informe, el Estado indicó que en los puntos fronterizos autorizados para internación regular de personas, se tienen plenamente identificados los carteles a través de los cuales se hace del conocimiento de todos los usuarios su derecho a solicitar  refugio en México.  Asimismo,  en todos los procedimientos administrativos migratorios se brinda información integral a las personas migrantes sobre sus derechos, especialmente el derecho de solicitar la condición de refugiado en territorio nacional</w:t>
      </w:r>
      <w:r w:rsidR="002F1A6A" w:rsidRPr="0005269D">
        <w:rPr>
          <w:rStyle w:val="FootnoteReference"/>
          <w:rFonts w:ascii="Cambria" w:eastAsia="Cambria" w:hAnsi="Cambria" w:cs="Cambria"/>
          <w:sz w:val="20"/>
          <w:szCs w:val="20"/>
          <w:lang w:val="es-MX"/>
        </w:rPr>
        <w:footnoteReference w:id="400"/>
      </w:r>
      <w:r w:rsidR="002F1A6A" w:rsidRPr="0005269D">
        <w:rPr>
          <w:rFonts w:ascii="Cambria" w:eastAsia="Cambria" w:hAnsi="Cambria" w:cs="Cambria"/>
          <w:sz w:val="20"/>
          <w:szCs w:val="20"/>
          <w:lang w:val="es-MX"/>
        </w:rPr>
        <w:t>.</w:t>
      </w:r>
    </w:p>
    <w:p w14:paraId="3496F240" w14:textId="3AB10113" w:rsidR="00DA338A" w:rsidRPr="004E3E07" w:rsidRDefault="00B8656B" w:rsidP="00DA338A">
      <w:pPr>
        <w:numPr>
          <w:ilvl w:val="0"/>
          <w:numId w:val="5"/>
        </w:numPr>
        <w:shd w:val="clear" w:color="auto" w:fill="FFFFFF"/>
        <w:spacing w:after="240" w:line="240" w:lineRule="auto"/>
        <w:ind w:left="0" w:firstLine="720"/>
        <w:jc w:val="both"/>
        <w:rPr>
          <w:rFonts w:ascii="Cambria" w:eastAsia="Cambria" w:hAnsi="Cambria" w:cs="Cambria"/>
          <w:sz w:val="20"/>
          <w:szCs w:val="20"/>
          <w:lang w:val="es-MX"/>
        </w:rPr>
      </w:pPr>
      <w:r w:rsidRPr="004E3E07">
        <w:rPr>
          <w:rFonts w:ascii="Cambria" w:eastAsia="Cambria" w:hAnsi="Cambria" w:cs="Cambria"/>
          <w:sz w:val="20"/>
          <w:szCs w:val="20"/>
          <w:lang w:val="es-MX"/>
        </w:rPr>
        <w:t xml:space="preserve">En lo relativo a la </w:t>
      </w:r>
      <w:r w:rsidRPr="004E3E07">
        <w:rPr>
          <w:rFonts w:ascii="Cambria" w:eastAsia="Cambria" w:hAnsi="Cambria" w:cs="Cambria"/>
          <w:b/>
          <w:sz w:val="20"/>
          <w:szCs w:val="20"/>
          <w:lang w:val="es-MX"/>
        </w:rPr>
        <w:t>situación de extrema violencia que enfrentan las personas en el contexto de la movilidad en tránsito por México</w:t>
      </w:r>
      <w:r w:rsidRPr="004E3E07">
        <w:rPr>
          <w:rFonts w:ascii="Cambria" w:eastAsia="Cambria" w:hAnsi="Cambria" w:cs="Cambria"/>
          <w:sz w:val="20"/>
          <w:szCs w:val="20"/>
          <w:vertAlign w:val="superscript"/>
          <w:lang w:val="es-MX"/>
        </w:rPr>
        <w:footnoteReference w:id="401"/>
      </w:r>
      <w:r w:rsidRPr="004E3E07">
        <w:rPr>
          <w:rFonts w:ascii="Cambria" w:eastAsia="Cambria" w:hAnsi="Cambria" w:cs="Cambria"/>
          <w:sz w:val="20"/>
          <w:szCs w:val="20"/>
          <w:lang w:val="es-MX"/>
        </w:rPr>
        <w:t xml:space="preserve">, la CIDH tuvo conocimiento del hallazgo de 19 cuerpos calcinados en Camargo, Tamaulipas. Según información pública, las personas encontradas </w:t>
      </w:r>
      <w:r w:rsidR="00220665">
        <w:rPr>
          <w:rFonts w:ascii="Cambria" w:eastAsia="Cambria" w:hAnsi="Cambria" w:cs="Cambria"/>
          <w:sz w:val="20"/>
          <w:szCs w:val="20"/>
          <w:lang w:val="es-MX"/>
        </w:rPr>
        <w:t>provenían</w:t>
      </w:r>
      <w:r w:rsidRPr="004E3E07">
        <w:rPr>
          <w:rFonts w:ascii="Cambria" w:eastAsia="Cambria" w:hAnsi="Cambria" w:cs="Cambria"/>
          <w:sz w:val="20"/>
          <w:szCs w:val="20"/>
          <w:lang w:val="es-MX"/>
        </w:rPr>
        <w:t xml:space="preserve"> de Centroamérica</w:t>
      </w:r>
      <w:r w:rsidRPr="004E3E07">
        <w:rPr>
          <w:rFonts w:ascii="Cambria" w:eastAsia="Cambria" w:hAnsi="Cambria" w:cs="Cambria"/>
          <w:sz w:val="20"/>
          <w:szCs w:val="20"/>
          <w:vertAlign w:val="superscript"/>
          <w:lang w:val="es-MX"/>
        </w:rPr>
        <w:footnoteReference w:id="402"/>
      </w:r>
      <w:r w:rsidRPr="004E3E07">
        <w:rPr>
          <w:rFonts w:ascii="Cambria" w:eastAsia="Cambria" w:hAnsi="Cambria" w:cs="Cambria"/>
          <w:sz w:val="20"/>
          <w:szCs w:val="20"/>
          <w:lang w:val="es-MX"/>
        </w:rPr>
        <w:t>. En relación con lo anterior, la OACNUDH destacó que la realización de una investigación pronta y efectiva representa una oportunidad para poner fin a las prácticas que han obstaculizado el acceso a la justicia de personas migrantes. Además, resaltó la necesidad de garantizar que todas las instituciones de seguridad pública estén sometidas a los más estrictos procedimientos de transparencia y rendición de cuentas</w:t>
      </w:r>
      <w:r w:rsidRPr="004E3E07">
        <w:rPr>
          <w:rFonts w:ascii="Cambria" w:eastAsia="Cambria" w:hAnsi="Cambria" w:cs="Cambria"/>
          <w:sz w:val="20"/>
          <w:szCs w:val="20"/>
          <w:vertAlign w:val="superscript"/>
          <w:lang w:val="es-MX"/>
        </w:rPr>
        <w:footnoteReference w:id="403"/>
      </w:r>
      <w:r w:rsidRPr="004E3E07">
        <w:rPr>
          <w:rFonts w:ascii="Cambria" w:eastAsia="Cambria" w:hAnsi="Cambria" w:cs="Cambria"/>
          <w:sz w:val="20"/>
          <w:szCs w:val="20"/>
          <w:lang w:val="es-MX"/>
        </w:rPr>
        <w:t>.</w:t>
      </w:r>
    </w:p>
    <w:p w14:paraId="4CB72F54" w14:textId="7026FCC5" w:rsidR="00DA338A" w:rsidRPr="004E3E07" w:rsidRDefault="00B8656B" w:rsidP="00DA338A">
      <w:pPr>
        <w:numPr>
          <w:ilvl w:val="0"/>
          <w:numId w:val="5"/>
        </w:numPr>
        <w:shd w:val="clear" w:color="auto" w:fill="FFFFFF"/>
        <w:spacing w:after="240" w:line="240" w:lineRule="auto"/>
        <w:ind w:left="0" w:firstLine="720"/>
        <w:jc w:val="both"/>
        <w:rPr>
          <w:rFonts w:ascii="Cambria" w:eastAsia="Cambria" w:hAnsi="Cambria" w:cs="Cambria"/>
          <w:sz w:val="20"/>
          <w:szCs w:val="20"/>
          <w:lang w:val="es-MX"/>
        </w:rPr>
      </w:pPr>
      <w:r w:rsidRPr="004E3E07">
        <w:rPr>
          <w:rFonts w:ascii="Cambria" w:eastAsia="Cambria" w:hAnsi="Cambria" w:cs="Cambria"/>
          <w:sz w:val="20"/>
          <w:szCs w:val="20"/>
          <w:lang w:val="es-MX"/>
        </w:rPr>
        <w:t xml:space="preserve">En este contexto, las Instituciones Nacionales de Derechos Humanos de El Salvador, Guatemala, Honduras y México y las Oficinas del Alto Comisionado de las Naciones Unidas para los Derechos Humanos de Guatemala, Honduras y México señalaron que a 10 años del hallazgo de las fosas clandestinas de San Fernando, Tamaulipas, la situación de riesgo que enfrentan las personas migrantes en tránsito no </w:t>
      </w:r>
      <w:r w:rsidR="00220665">
        <w:rPr>
          <w:rFonts w:ascii="Cambria" w:eastAsia="Cambria" w:hAnsi="Cambria" w:cs="Cambria"/>
          <w:sz w:val="20"/>
          <w:szCs w:val="20"/>
          <w:lang w:val="es-MX"/>
        </w:rPr>
        <w:t>ha</w:t>
      </w:r>
      <w:r w:rsidRPr="004E3E07">
        <w:rPr>
          <w:rFonts w:ascii="Cambria" w:eastAsia="Cambria" w:hAnsi="Cambria" w:cs="Cambria"/>
          <w:sz w:val="20"/>
          <w:szCs w:val="20"/>
          <w:lang w:val="es-MX"/>
        </w:rPr>
        <w:t xml:space="preserve"> mejorado</w:t>
      </w:r>
      <w:r w:rsidRPr="004E3E07">
        <w:rPr>
          <w:rFonts w:ascii="Cambria" w:eastAsia="Cambria" w:hAnsi="Cambria" w:cs="Cambria"/>
          <w:sz w:val="20"/>
          <w:szCs w:val="20"/>
          <w:vertAlign w:val="superscript"/>
          <w:lang w:val="es-MX"/>
        </w:rPr>
        <w:footnoteReference w:id="404"/>
      </w:r>
      <w:r w:rsidRPr="004E3E07">
        <w:rPr>
          <w:rFonts w:ascii="Cambria" w:eastAsia="Cambria" w:hAnsi="Cambria" w:cs="Cambria"/>
          <w:sz w:val="20"/>
          <w:szCs w:val="20"/>
          <w:lang w:val="es-MX"/>
        </w:rPr>
        <w:t>.</w:t>
      </w:r>
    </w:p>
    <w:p w14:paraId="1C4AC0B5" w14:textId="2D2F9903" w:rsidR="00DA338A" w:rsidRPr="004E3E07" w:rsidRDefault="00B8656B" w:rsidP="00DA338A">
      <w:pPr>
        <w:numPr>
          <w:ilvl w:val="0"/>
          <w:numId w:val="5"/>
        </w:numPr>
        <w:shd w:val="clear" w:color="auto" w:fill="FFFFFF"/>
        <w:spacing w:after="240" w:line="240" w:lineRule="auto"/>
        <w:ind w:left="0" w:firstLine="720"/>
        <w:jc w:val="both"/>
        <w:rPr>
          <w:rFonts w:ascii="Cambria" w:eastAsia="Cambria" w:hAnsi="Cambria" w:cs="Cambria"/>
          <w:sz w:val="20"/>
          <w:szCs w:val="20"/>
          <w:lang w:val="es-MX"/>
        </w:rPr>
      </w:pPr>
      <w:r w:rsidRPr="004E3E07">
        <w:rPr>
          <w:rFonts w:ascii="Cambria" w:eastAsia="Cambria" w:hAnsi="Cambria" w:cs="Cambria"/>
          <w:sz w:val="20"/>
          <w:szCs w:val="20"/>
          <w:lang w:val="es-MX"/>
        </w:rPr>
        <w:t>En cuanto a las</w:t>
      </w:r>
      <w:r w:rsidRPr="004E3E07">
        <w:rPr>
          <w:rFonts w:ascii="Cambria" w:eastAsia="Cambria" w:hAnsi="Cambria" w:cs="Cambria"/>
          <w:b/>
          <w:sz w:val="20"/>
          <w:szCs w:val="20"/>
          <w:lang w:val="es-MX"/>
        </w:rPr>
        <w:t xml:space="preserve"> investigaciones por la comisión de delitos y otras violaciones a derechos humanos de personas en el contexto de la movilidad humana</w:t>
      </w:r>
      <w:r w:rsidRPr="004E3E07">
        <w:rPr>
          <w:rFonts w:ascii="Cambria" w:eastAsia="Cambria" w:hAnsi="Cambria" w:cs="Cambria"/>
          <w:sz w:val="20"/>
          <w:szCs w:val="20"/>
          <w:vertAlign w:val="superscript"/>
          <w:lang w:val="es-MX"/>
        </w:rPr>
        <w:footnoteReference w:id="405"/>
      </w:r>
      <w:r w:rsidRPr="004E3E07">
        <w:rPr>
          <w:rFonts w:ascii="Cambria" w:eastAsia="Cambria" w:hAnsi="Cambria" w:cs="Cambria"/>
          <w:sz w:val="20"/>
          <w:szCs w:val="20"/>
          <w:lang w:val="es-MX"/>
        </w:rPr>
        <w:t xml:space="preserve">, la CIDH tomó conocimiento de la actualización del Protocolo para Juzgar Casos que involucren Personas Migrantes y Sujetas de Protección Internacional de la Suprema Corte de la Justicia de la Nación (SCJN). De acuerdo con información disponible, el Protocolo </w:t>
      </w:r>
      <w:r w:rsidR="00220665">
        <w:rPr>
          <w:rFonts w:ascii="Cambria" w:eastAsia="Cambria" w:hAnsi="Cambria" w:cs="Cambria"/>
          <w:sz w:val="20"/>
          <w:szCs w:val="20"/>
          <w:lang w:val="es-MX"/>
        </w:rPr>
        <w:t>es</w:t>
      </w:r>
      <w:r w:rsidRPr="004E3E07">
        <w:rPr>
          <w:rFonts w:ascii="Cambria" w:eastAsia="Cambria" w:hAnsi="Cambria" w:cs="Cambria"/>
          <w:sz w:val="20"/>
          <w:szCs w:val="20"/>
          <w:lang w:val="es-MX"/>
        </w:rPr>
        <w:t xml:space="preserve"> el resultado de un proceso participativo con distintos actores, e incorporaría estándares nacionales e internacionales en la materia. Ello, con el fin de que sean considerados en el trámite y la resolución de los procesos judiciales en los que esté involucrada dicha población</w:t>
      </w:r>
      <w:r w:rsidRPr="004E3E07">
        <w:rPr>
          <w:rFonts w:ascii="Cambria" w:eastAsia="Cambria" w:hAnsi="Cambria" w:cs="Cambria"/>
          <w:sz w:val="20"/>
          <w:szCs w:val="20"/>
          <w:vertAlign w:val="superscript"/>
          <w:lang w:val="es-MX"/>
        </w:rPr>
        <w:footnoteReference w:id="406"/>
      </w:r>
      <w:r w:rsidRPr="004E3E07">
        <w:rPr>
          <w:rFonts w:ascii="Cambria" w:eastAsia="Cambria" w:hAnsi="Cambria" w:cs="Cambria"/>
          <w:sz w:val="20"/>
          <w:szCs w:val="20"/>
          <w:lang w:val="es-MX"/>
        </w:rPr>
        <w:t>.</w:t>
      </w:r>
    </w:p>
    <w:p w14:paraId="245276E4" w14:textId="43EA84D9" w:rsidR="00DA338A" w:rsidRPr="004E3E07" w:rsidRDefault="00B8656B" w:rsidP="00DA338A">
      <w:pPr>
        <w:numPr>
          <w:ilvl w:val="0"/>
          <w:numId w:val="5"/>
        </w:numPr>
        <w:shd w:val="clear" w:color="auto" w:fill="FFFFFF"/>
        <w:spacing w:after="240" w:line="240" w:lineRule="auto"/>
        <w:ind w:left="0" w:firstLine="720"/>
        <w:jc w:val="both"/>
        <w:rPr>
          <w:rFonts w:ascii="Cambria" w:eastAsia="Cambria" w:hAnsi="Cambria" w:cs="Cambria"/>
          <w:sz w:val="20"/>
          <w:szCs w:val="20"/>
          <w:lang w:val="es-MX"/>
        </w:rPr>
      </w:pPr>
      <w:r w:rsidRPr="004E3E07">
        <w:rPr>
          <w:rFonts w:ascii="Cambria" w:eastAsia="Cambria" w:hAnsi="Cambria" w:cs="Cambria"/>
          <w:sz w:val="20"/>
          <w:szCs w:val="20"/>
          <w:lang w:val="es-MX"/>
        </w:rPr>
        <w:t xml:space="preserve">En lo relativo a la </w:t>
      </w:r>
      <w:r w:rsidRPr="004E3E07">
        <w:rPr>
          <w:rFonts w:ascii="Cambria" w:eastAsia="Cambria" w:hAnsi="Cambria" w:cs="Cambria"/>
          <w:b/>
          <w:sz w:val="20"/>
          <w:szCs w:val="20"/>
          <w:lang w:val="es-MX"/>
        </w:rPr>
        <w:t>protección de personas mexicanas retornadas</w:t>
      </w:r>
      <w:r w:rsidRPr="004E3E07">
        <w:rPr>
          <w:rFonts w:ascii="Cambria" w:eastAsia="Cambria" w:hAnsi="Cambria" w:cs="Cambria"/>
          <w:sz w:val="20"/>
          <w:szCs w:val="20"/>
          <w:vertAlign w:val="superscript"/>
          <w:lang w:val="es-MX"/>
        </w:rPr>
        <w:footnoteReference w:id="407"/>
      </w:r>
      <w:r w:rsidRPr="004E3E07">
        <w:rPr>
          <w:rFonts w:ascii="Cambria" w:eastAsia="Cambria" w:hAnsi="Cambria" w:cs="Cambria"/>
          <w:sz w:val="20"/>
          <w:szCs w:val="20"/>
          <w:lang w:val="es-MX"/>
        </w:rPr>
        <w:t xml:space="preserve">, la CIDH tuvo conocimiento de la adopción del acuerdo para establecer la Estrategia Interinstitucional de Atención Integral a Familias Mexicanas Repatriadas y en Retorno, principalmente desde los Estados Unidos. Según información oficial, la estrategia en referencia </w:t>
      </w:r>
      <w:r w:rsidR="00220665">
        <w:rPr>
          <w:rFonts w:ascii="Cambria" w:eastAsia="Cambria" w:hAnsi="Cambria" w:cs="Cambria"/>
          <w:sz w:val="20"/>
          <w:szCs w:val="20"/>
          <w:lang w:val="es-MX"/>
        </w:rPr>
        <w:t>busca</w:t>
      </w:r>
      <w:r w:rsidRPr="004E3E07">
        <w:rPr>
          <w:rFonts w:ascii="Cambria" w:eastAsia="Cambria" w:hAnsi="Cambria" w:cs="Cambria"/>
          <w:sz w:val="20"/>
          <w:szCs w:val="20"/>
          <w:lang w:val="es-MX"/>
        </w:rPr>
        <w:t xml:space="preserve"> impulsar y fortalecer las acciones en cada una de las fases del ciclo de retorno y repatriación, a fin de lograr el acceso a programas y servicios que faciliten la salida, ingreso y reintegración de las personas repatriadas o retornadas</w:t>
      </w:r>
      <w:r w:rsidRPr="004E3E07">
        <w:rPr>
          <w:rFonts w:ascii="Cambria" w:eastAsia="Cambria" w:hAnsi="Cambria" w:cs="Cambria"/>
          <w:sz w:val="20"/>
          <w:szCs w:val="20"/>
          <w:vertAlign w:val="superscript"/>
          <w:lang w:val="es-MX"/>
        </w:rPr>
        <w:footnoteReference w:id="408"/>
      </w:r>
      <w:r w:rsidRPr="004E3E07">
        <w:rPr>
          <w:rFonts w:ascii="Cambria" w:eastAsia="Cambria" w:hAnsi="Cambria" w:cs="Cambria"/>
          <w:sz w:val="20"/>
          <w:szCs w:val="20"/>
          <w:lang w:val="es-MX"/>
        </w:rPr>
        <w:t>.</w:t>
      </w:r>
    </w:p>
    <w:p w14:paraId="3D88FA16" w14:textId="77777777" w:rsidR="00DA338A" w:rsidRPr="004E3E07" w:rsidRDefault="00B8656B" w:rsidP="00DA338A">
      <w:pPr>
        <w:numPr>
          <w:ilvl w:val="0"/>
          <w:numId w:val="5"/>
        </w:numPr>
        <w:shd w:val="clear" w:color="auto" w:fill="FFFFFF"/>
        <w:spacing w:after="240" w:line="240" w:lineRule="auto"/>
        <w:ind w:left="0" w:firstLine="720"/>
        <w:jc w:val="both"/>
        <w:rPr>
          <w:rFonts w:ascii="Cambria" w:eastAsia="Cambria" w:hAnsi="Cambria" w:cs="Cambria"/>
          <w:sz w:val="20"/>
          <w:szCs w:val="20"/>
          <w:lang w:val="es-MX"/>
        </w:rPr>
      </w:pPr>
      <w:r w:rsidRPr="004E3E07">
        <w:rPr>
          <w:rFonts w:ascii="Cambria" w:eastAsia="Cambria" w:hAnsi="Cambria" w:cs="Cambria"/>
          <w:sz w:val="20"/>
          <w:szCs w:val="20"/>
          <w:lang w:val="es-MX"/>
        </w:rPr>
        <w:t xml:space="preserve">En lo atinente a las </w:t>
      </w:r>
      <w:r w:rsidRPr="004E3E07">
        <w:rPr>
          <w:rFonts w:ascii="Cambria" w:eastAsia="Cambria" w:hAnsi="Cambria" w:cs="Cambria"/>
          <w:b/>
          <w:sz w:val="20"/>
          <w:szCs w:val="20"/>
          <w:lang w:val="es-MX"/>
        </w:rPr>
        <w:t>causas estructurales que obligan a las personas a desplazarse de manera forzada</w:t>
      </w:r>
      <w:r w:rsidRPr="004E3E07">
        <w:rPr>
          <w:rFonts w:ascii="Cambria" w:eastAsia="Cambria" w:hAnsi="Cambria" w:cs="Cambria"/>
          <w:sz w:val="20"/>
          <w:szCs w:val="20"/>
          <w:vertAlign w:val="superscript"/>
          <w:lang w:val="es-MX"/>
        </w:rPr>
        <w:footnoteReference w:id="409"/>
      </w:r>
      <w:r w:rsidRPr="004E3E07">
        <w:rPr>
          <w:rFonts w:ascii="Cambria" w:eastAsia="Cambria" w:hAnsi="Cambria" w:cs="Cambria"/>
          <w:sz w:val="20"/>
          <w:szCs w:val="20"/>
          <w:lang w:val="es-MX"/>
        </w:rPr>
        <w:t>, el Estado informó sobre una serie de políticas dirigidas a prevenir las causas estructurales que generan los movimientos forzados de personas. Entre ellas: i) Programa Nacional de Desarrollo 2019-2024 (PND), que propone atacar las causas de la migración mediante la creación de empleos dignos, el desarrollo regional, la edificación de un estado de bienestar y el impulso a los procesos de construcción de la paz; ii) Plan Sectorial de Gobernación, que busca garantizar el pleno ejercicio y goce de los derechos humanos de todas las personas que radiquen, ingresen, residan, transiten, o retornen a México. o; y iii) Programa Nacional de Derechos Humanos (PNDH) 2020-2024, el cual formula acciones para atender de manera integral las causas estructurales de la problemática nacional en derechos humanos. Adicionalmente, informó sobre la instalación de la Comisión Intersecretarial de Atención Integral en Materia Migratoria (CIAIMM) la cual funciona como una instancia de coordinación de las políticas, programas y acciones que las dependencias, órganos administrativos desconcentrados y entidades de la Administración Pública Federal tienen en materia migratoria</w:t>
      </w:r>
      <w:r w:rsidRPr="004E3E07">
        <w:rPr>
          <w:rFonts w:ascii="Cambria" w:eastAsia="Cambria" w:hAnsi="Cambria" w:cs="Cambria"/>
          <w:sz w:val="20"/>
          <w:szCs w:val="20"/>
          <w:vertAlign w:val="superscript"/>
          <w:lang w:val="es-MX"/>
        </w:rPr>
        <w:footnoteReference w:id="410"/>
      </w:r>
      <w:r w:rsidRPr="004E3E07">
        <w:rPr>
          <w:rFonts w:ascii="Cambria" w:eastAsia="Cambria" w:hAnsi="Cambria" w:cs="Cambria"/>
          <w:sz w:val="20"/>
          <w:szCs w:val="20"/>
          <w:lang w:val="es-MX"/>
        </w:rPr>
        <w:t>.</w:t>
      </w:r>
    </w:p>
    <w:p w14:paraId="33694532" w14:textId="16F73F44" w:rsidR="00DA338A" w:rsidRPr="004E3E07" w:rsidRDefault="00B8656B" w:rsidP="00DA338A">
      <w:pPr>
        <w:numPr>
          <w:ilvl w:val="0"/>
          <w:numId w:val="5"/>
        </w:numPr>
        <w:shd w:val="clear" w:color="auto" w:fill="FFFFFF"/>
        <w:spacing w:after="240" w:line="240" w:lineRule="auto"/>
        <w:ind w:left="0" w:firstLine="720"/>
        <w:jc w:val="both"/>
        <w:rPr>
          <w:rFonts w:ascii="Cambria" w:eastAsia="Cambria" w:hAnsi="Cambria" w:cs="Cambria"/>
          <w:sz w:val="20"/>
          <w:szCs w:val="20"/>
          <w:lang w:val="es-MX"/>
        </w:rPr>
      </w:pPr>
      <w:r w:rsidRPr="004E3E07">
        <w:rPr>
          <w:rFonts w:ascii="Cambria" w:eastAsia="Cambria" w:hAnsi="Cambria" w:cs="Cambria"/>
          <w:sz w:val="20"/>
          <w:szCs w:val="20"/>
          <w:lang w:val="es-MX"/>
        </w:rPr>
        <w:t xml:space="preserve">Adicionalmente, el Estado </w:t>
      </w:r>
      <w:r w:rsidR="00DA338A" w:rsidRPr="004E3E07">
        <w:rPr>
          <w:rFonts w:ascii="Cambria" w:eastAsia="Cambria" w:hAnsi="Cambria" w:cs="Cambria"/>
          <w:sz w:val="20"/>
          <w:szCs w:val="20"/>
          <w:lang w:val="es-MX"/>
        </w:rPr>
        <w:t xml:space="preserve">indicó que, </w:t>
      </w:r>
      <w:r w:rsidRPr="004E3E07">
        <w:rPr>
          <w:rFonts w:ascii="Cambria" w:eastAsia="Cambria" w:hAnsi="Cambria" w:cs="Cambria"/>
          <w:sz w:val="20"/>
          <w:szCs w:val="20"/>
          <w:lang w:val="es-MX"/>
        </w:rPr>
        <w:t>a través del Programa para el Bienestar de las Personas en Emergencia Social o Natural, en Atención a Población Migrante en la Frontera Sur se otorga un apoyo humanitario a las personas migrantes y solicitantes de la condición de persona refugiada en México. Ello, con el fin de mitigar la situación de vulnerabilidad de las personas afectadas por una emergencia social o natural durante su estancia en el país. Agregó, que en el contexto de la pandemia por COVID-19, el programa en referencia habría contribuido a la inclusión de la población en movilidad en el plan nacional de vacunación</w:t>
      </w:r>
      <w:r w:rsidRPr="004E3E07">
        <w:rPr>
          <w:rFonts w:ascii="Cambria" w:eastAsia="Cambria" w:hAnsi="Cambria" w:cs="Cambria"/>
          <w:sz w:val="20"/>
          <w:szCs w:val="20"/>
          <w:vertAlign w:val="superscript"/>
          <w:lang w:val="es-MX"/>
        </w:rPr>
        <w:footnoteReference w:id="411"/>
      </w:r>
      <w:r w:rsidRPr="004E3E07">
        <w:rPr>
          <w:rFonts w:ascii="Cambria" w:eastAsia="Cambria" w:hAnsi="Cambria" w:cs="Cambria"/>
          <w:sz w:val="20"/>
          <w:szCs w:val="20"/>
          <w:lang w:val="es-MX"/>
        </w:rPr>
        <w:t>.</w:t>
      </w:r>
    </w:p>
    <w:p w14:paraId="04552EED" w14:textId="77777777" w:rsidR="00DA338A" w:rsidRPr="004E3E07" w:rsidRDefault="00B8656B" w:rsidP="00DA338A">
      <w:pPr>
        <w:numPr>
          <w:ilvl w:val="0"/>
          <w:numId w:val="5"/>
        </w:numPr>
        <w:shd w:val="clear" w:color="auto" w:fill="FFFFFF"/>
        <w:spacing w:after="240" w:line="240" w:lineRule="auto"/>
        <w:ind w:left="0" w:firstLine="720"/>
        <w:jc w:val="both"/>
        <w:rPr>
          <w:rFonts w:ascii="Cambria" w:eastAsia="Cambria" w:hAnsi="Cambria" w:cs="Cambria"/>
          <w:sz w:val="20"/>
          <w:szCs w:val="20"/>
          <w:lang w:val="es-MX"/>
        </w:rPr>
      </w:pPr>
      <w:r w:rsidRPr="004E3E07">
        <w:rPr>
          <w:rFonts w:ascii="Cambria" w:eastAsia="Cambria" w:hAnsi="Cambria" w:cs="Cambria"/>
          <w:sz w:val="20"/>
          <w:szCs w:val="20"/>
          <w:lang w:val="es-MX"/>
        </w:rPr>
        <w:t>En este contexto, la Comisión resalta que las obligaciones de los Estados como países de origen de personas migrantes y otras en el contexto de la movilidad humana derivan de las obligaciones generales de respeto y garantía de los derechos humanos. Por su parte, la Corte IDH ha señalado que los Estados tienen la responsabilidad primaria de proteger y garantizar los derechos humanos de las personas que se encuentren en su territorio y bajo su jurisdicción. Además, ha indicado que el deber de prevención que deriva del artículo 22 de la CADH requiere que los Estados generen y aseguren las condiciones para que sus nacionales no se vean forzados a migrar, así como subsanar las causas generadoras de los movimientos migratorios</w:t>
      </w:r>
      <w:r w:rsidRPr="004E3E07">
        <w:rPr>
          <w:rFonts w:ascii="Cambria" w:eastAsia="Cambria" w:hAnsi="Cambria" w:cs="Cambria"/>
          <w:sz w:val="20"/>
          <w:szCs w:val="20"/>
          <w:vertAlign w:val="superscript"/>
          <w:lang w:val="es-MX"/>
        </w:rPr>
        <w:footnoteReference w:id="412"/>
      </w:r>
      <w:r w:rsidRPr="004E3E07">
        <w:rPr>
          <w:rFonts w:ascii="Cambria" w:eastAsia="Cambria" w:hAnsi="Cambria" w:cs="Cambria"/>
          <w:sz w:val="20"/>
          <w:szCs w:val="20"/>
          <w:lang w:val="es-MX"/>
        </w:rPr>
        <w:t>.</w:t>
      </w:r>
    </w:p>
    <w:p w14:paraId="44B30784" w14:textId="77777777" w:rsidR="00DA338A" w:rsidRPr="002844BD" w:rsidRDefault="00B8656B" w:rsidP="00DA338A">
      <w:pPr>
        <w:numPr>
          <w:ilvl w:val="0"/>
          <w:numId w:val="5"/>
        </w:numPr>
        <w:shd w:val="clear" w:color="auto" w:fill="FFFFFF"/>
        <w:spacing w:after="240" w:line="240" w:lineRule="auto"/>
        <w:ind w:left="0" w:firstLine="720"/>
        <w:jc w:val="both"/>
        <w:rPr>
          <w:rFonts w:ascii="Cambria" w:eastAsia="Cambria" w:hAnsi="Cambria" w:cs="Cambria"/>
          <w:sz w:val="20"/>
          <w:szCs w:val="20"/>
          <w:lang w:val="es-MX"/>
        </w:rPr>
      </w:pPr>
      <w:r w:rsidRPr="004E3E07">
        <w:rPr>
          <w:rFonts w:ascii="Cambria" w:eastAsia="Cambria" w:hAnsi="Cambria" w:cs="Cambria"/>
          <w:sz w:val="20"/>
          <w:szCs w:val="20"/>
          <w:lang w:val="es-MX"/>
        </w:rPr>
        <w:t xml:space="preserve">En relación con la </w:t>
      </w:r>
      <w:r w:rsidRPr="004E3E07">
        <w:rPr>
          <w:rFonts w:ascii="Cambria" w:eastAsia="Cambria" w:hAnsi="Cambria" w:cs="Cambria"/>
          <w:b/>
          <w:sz w:val="20"/>
          <w:szCs w:val="20"/>
          <w:lang w:val="es-MX"/>
        </w:rPr>
        <w:t>detención migratoria y las condiciones de detención</w:t>
      </w:r>
      <w:r w:rsidRPr="004E3E07">
        <w:rPr>
          <w:rFonts w:ascii="Cambria" w:eastAsia="Cambria" w:hAnsi="Cambria" w:cs="Cambria"/>
          <w:sz w:val="20"/>
          <w:szCs w:val="20"/>
          <w:vertAlign w:val="superscript"/>
          <w:lang w:val="es-MX"/>
        </w:rPr>
        <w:footnoteReference w:id="413"/>
      </w:r>
      <w:r w:rsidRPr="004E3E07">
        <w:rPr>
          <w:rFonts w:ascii="Cambria" w:eastAsia="Cambria" w:hAnsi="Cambria" w:cs="Cambria"/>
          <w:sz w:val="20"/>
          <w:szCs w:val="20"/>
          <w:lang w:val="es-MX"/>
        </w:rPr>
        <w:t>, la Comisión ha observado con preocupación que la reforma a la Ley de Migración declara de orden público la presentación personas extranjeras adultas en estaciones migratorias o en lugares habilitados para ello, en tanto se determina su situación migratoria en el país</w:t>
      </w:r>
      <w:r w:rsidRPr="004E3E07">
        <w:rPr>
          <w:rFonts w:ascii="Cambria" w:eastAsia="Cambria" w:hAnsi="Cambria" w:cs="Cambria"/>
          <w:sz w:val="20"/>
          <w:szCs w:val="20"/>
          <w:vertAlign w:val="superscript"/>
          <w:lang w:val="es-MX"/>
        </w:rPr>
        <w:footnoteReference w:id="414"/>
      </w:r>
      <w:r w:rsidRPr="004E3E07">
        <w:rPr>
          <w:rFonts w:ascii="Cambria" w:eastAsia="Cambria" w:hAnsi="Cambria" w:cs="Cambria"/>
          <w:sz w:val="20"/>
          <w:szCs w:val="20"/>
          <w:lang w:val="es-MX"/>
        </w:rPr>
        <w:t xml:space="preserve">. Dicha información también fue remitida por el Estado a la CIDH, al señalar que todas las personas en situación migratoria irregular son presentadas ante la autoridad migratoria en donde son informadas del motivo de su detención, la posibilidad de regularizar su condición migratoria o solicitar el </w:t>
      </w:r>
      <w:r w:rsidRPr="002844BD">
        <w:rPr>
          <w:rFonts w:ascii="Cambria" w:eastAsia="Cambria" w:hAnsi="Cambria" w:cs="Cambria"/>
          <w:sz w:val="20"/>
          <w:szCs w:val="20"/>
          <w:lang w:val="es-MX"/>
        </w:rPr>
        <w:t>reconocimiento de la condición de persona refugiada</w:t>
      </w:r>
      <w:r w:rsidRPr="002844BD">
        <w:rPr>
          <w:rFonts w:ascii="Cambria" w:eastAsia="Cambria" w:hAnsi="Cambria" w:cs="Cambria"/>
          <w:sz w:val="20"/>
          <w:szCs w:val="20"/>
          <w:vertAlign w:val="superscript"/>
          <w:lang w:val="es-MX"/>
        </w:rPr>
        <w:footnoteReference w:id="415"/>
      </w:r>
      <w:r w:rsidRPr="002844BD">
        <w:rPr>
          <w:rFonts w:ascii="Cambria" w:eastAsia="Cambria" w:hAnsi="Cambria" w:cs="Cambria"/>
          <w:sz w:val="20"/>
          <w:szCs w:val="20"/>
          <w:lang w:val="es-MX"/>
        </w:rPr>
        <w:t>.</w:t>
      </w:r>
    </w:p>
    <w:p w14:paraId="672C6A4B" w14:textId="2E2BBD35" w:rsidR="00DA338A" w:rsidRPr="002844BD" w:rsidRDefault="00B8656B" w:rsidP="00DA338A">
      <w:pPr>
        <w:numPr>
          <w:ilvl w:val="0"/>
          <w:numId w:val="5"/>
        </w:numPr>
        <w:shd w:val="clear" w:color="auto" w:fill="FFFFFF"/>
        <w:spacing w:after="240" w:line="240" w:lineRule="auto"/>
        <w:ind w:left="0" w:firstLine="720"/>
        <w:jc w:val="both"/>
        <w:rPr>
          <w:rFonts w:ascii="Cambria" w:eastAsia="Cambria" w:hAnsi="Cambria" w:cs="Cambria"/>
          <w:sz w:val="20"/>
          <w:szCs w:val="20"/>
          <w:lang w:val="es-MX"/>
        </w:rPr>
      </w:pPr>
      <w:r w:rsidRPr="002844BD">
        <w:rPr>
          <w:rFonts w:ascii="Cambria" w:eastAsia="Cambria" w:hAnsi="Cambria" w:cs="Cambria"/>
          <w:sz w:val="20"/>
          <w:szCs w:val="20"/>
          <w:lang w:val="es-MX"/>
        </w:rPr>
        <w:t xml:space="preserve">En ese sentido, las cifras más recientes del </w:t>
      </w:r>
      <w:r w:rsidR="002F1A6A" w:rsidRPr="002844BD">
        <w:rPr>
          <w:rFonts w:ascii="Cambria" w:eastAsia="Cambria" w:hAnsi="Cambria" w:cs="Cambria"/>
          <w:sz w:val="20"/>
          <w:szCs w:val="20"/>
          <w:lang w:val="es-MX"/>
        </w:rPr>
        <w:t xml:space="preserve">Estado </w:t>
      </w:r>
      <w:r w:rsidRPr="002844BD">
        <w:rPr>
          <w:rFonts w:ascii="Cambria" w:eastAsia="Cambria" w:hAnsi="Cambria" w:cs="Cambria"/>
          <w:sz w:val="20"/>
          <w:szCs w:val="20"/>
          <w:lang w:val="es-MX"/>
        </w:rPr>
        <w:t xml:space="preserve">señalan que un total de </w:t>
      </w:r>
      <w:r w:rsidR="002F1A6A" w:rsidRPr="002844BD">
        <w:rPr>
          <w:rFonts w:ascii="Cambria" w:eastAsia="Cambria" w:hAnsi="Cambria" w:cs="Cambria"/>
          <w:sz w:val="20"/>
          <w:szCs w:val="20"/>
          <w:lang w:val="es-MX"/>
        </w:rPr>
        <w:t>252,526</w:t>
      </w:r>
      <w:r w:rsidRPr="002844BD">
        <w:rPr>
          <w:rFonts w:ascii="Cambria" w:eastAsia="Cambria" w:hAnsi="Cambria" w:cs="Cambria"/>
          <w:sz w:val="20"/>
          <w:szCs w:val="20"/>
          <w:lang w:val="es-MX"/>
        </w:rPr>
        <w:t xml:space="preserve"> personas han sido presentadas ante la autoridad migratoria </w:t>
      </w:r>
      <w:r w:rsidR="002F1A6A" w:rsidRPr="002844BD">
        <w:rPr>
          <w:rFonts w:ascii="Cambria" w:eastAsia="Cambria" w:hAnsi="Cambria" w:cs="Cambria"/>
          <w:sz w:val="20"/>
          <w:szCs w:val="20"/>
          <w:lang w:val="es-MX"/>
        </w:rPr>
        <w:t>entre enero-noviembre</w:t>
      </w:r>
      <w:r w:rsidRPr="002844BD">
        <w:rPr>
          <w:rFonts w:ascii="Cambria" w:eastAsia="Cambria" w:hAnsi="Cambria" w:cs="Cambria"/>
          <w:sz w:val="20"/>
          <w:szCs w:val="20"/>
          <w:lang w:val="es-MX"/>
        </w:rPr>
        <w:t xml:space="preserve"> 2021. Del total señalado, </w:t>
      </w:r>
      <w:r w:rsidR="002F1A6A" w:rsidRPr="002844BD">
        <w:rPr>
          <w:rFonts w:ascii="Cambria" w:eastAsia="Cambria" w:hAnsi="Cambria" w:cs="Cambria"/>
          <w:sz w:val="20"/>
          <w:szCs w:val="20"/>
          <w:lang w:val="es-MX"/>
        </w:rPr>
        <w:t>53,969</w:t>
      </w:r>
      <w:r w:rsidRPr="002844BD">
        <w:rPr>
          <w:rFonts w:ascii="Cambria" w:eastAsia="Cambria" w:hAnsi="Cambria" w:cs="Cambria"/>
          <w:sz w:val="20"/>
          <w:szCs w:val="20"/>
          <w:lang w:val="es-MX"/>
        </w:rPr>
        <w:t xml:space="preserve"> serían niñas, niños y adolescentes, de los cuales el alrededor del </w:t>
      </w:r>
      <w:r w:rsidR="002F1A6A" w:rsidRPr="002844BD">
        <w:rPr>
          <w:rFonts w:ascii="Cambria" w:eastAsia="Cambria" w:hAnsi="Cambria" w:cs="Cambria"/>
          <w:sz w:val="20"/>
          <w:szCs w:val="20"/>
          <w:lang w:val="es-MX"/>
        </w:rPr>
        <w:t>88.5</w:t>
      </w:r>
      <w:r w:rsidRPr="002844BD">
        <w:rPr>
          <w:rFonts w:ascii="Cambria" w:eastAsia="Cambria" w:hAnsi="Cambria" w:cs="Cambria"/>
          <w:sz w:val="20"/>
          <w:szCs w:val="20"/>
          <w:lang w:val="es-MX"/>
        </w:rPr>
        <w:t>% proviene de Centroamérica. Asimismo, un total de 65.799 personas fueron devueltas por las autoridades migratorias mexicanas</w:t>
      </w:r>
      <w:r w:rsidR="002F1A6A" w:rsidRPr="002844BD">
        <w:rPr>
          <w:rStyle w:val="FootnoteReference"/>
          <w:rFonts w:ascii="Cambria" w:eastAsia="Cambria" w:hAnsi="Cambria" w:cs="Cambria"/>
          <w:sz w:val="20"/>
          <w:szCs w:val="20"/>
          <w:lang w:val="es-MX"/>
        </w:rPr>
        <w:footnoteReference w:id="416"/>
      </w:r>
      <w:r w:rsidRPr="002844BD">
        <w:rPr>
          <w:rFonts w:ascii="Cambria" w:eastAsia="Cambria" w:hAnsi="Cambria" w:cs="Cambria"/>
          <w:sz w:val="20"/>
          <w:szCs w:val="20"/>
          <w:lang w:val="es-MX"/>
        </w:rPr>
        <w:t>. Además, acompa</w:t>
      </w:r>
      <w:r w:rsidR="00220665" w:rsidRPr="002844BD">
        <w:rPr>
          <w:rFonts w:ascii="Cambria" w:eastAsia="Cambria" w:hAnsi="Cambria" w:cs="Cambria"/>
          <w:sz w:val="20"/>
          <w:szCs w:val="20"/>
          <w:lang w:val="es-MX"/>
        </w:rPr>
        <w:t>ñó</w:t>
      </w:r>
      <w:r w:rsidRPr="002844BD">
        <w:rPr>
          <w:rFonts w:ascii="Cambria" w:eastAsia="Cambria" w:hAnsi="Cambria" w:cs="Cambria"/>
          <w:sz w:val="20"/>
          <w:szCs w:val="20"/>
          <w:lang w:val="es-MX"/>
        </w:rPr>
        <w:t xml:space="preserve"> el retorno asistido de </w:t>
      </w:r>
      <w:r w:rsidR="002F1A6A" w:rsidRPr="002844BD">
        <w:rPr>
          <w:rFonts w:ascii="Cambria" w:eastAsia="Cambria" w:hAnsi="Cambria" w:cs="Cambria"/>
          <w:sz w:val="20"/>
          <w:szCs w:val="20"/>
          <w:lang w:val="es-MX"/>
        </w:rPr>
        <w:t>12,345</w:t>
      </w:r>
      <w:r w:rsidRPr="002844BD">
        <w:rPr>
          <w:rFonts w:ascii="Cambria" w:eastAsia="Cambria" w:hAnsi="Cambria" w:cs="Cambria"/>
          <w:sz w:val="20"/>
          <w:szCs w:val="20"/>
          <w:lang w:val="es-MX"/>
        </w:rPr>
        <w:t xml:space="preserve"> niñas, niños y adolescentes; de los cuales </w:t>
      </w:r>
      <w:r w:rsidR="002F1A6A" w:rsidRPr="002844BD">
        <w:rPr>
          <w:rFonts w:ascii="Cambria" w:eastAsia="Cambria" w:hAnsi="Cambria" w:cs="Cambria"/>
          <w:sz w:val="20"/>
          <w:szCs w:val="20"/>
          <w:lang w:val="es-MX"/>
        </w:rPr>
        <w:t>12,034</w:t>
      </w:r>
      <w:r w:rsidRPr="002844BD">
        <w:rPr>
          <w:rFonts w:ascii="Cambria" w:eastAsia="Cambria" w:hAnsi="Cambria" w:cs="Cambria"/>
          <w:sz w:val="20"/>
          <w:szCs w:val="20"/>
          <w:lang w:val="es-MX"/>
        </w:rPr>
        <w:t xml:space="preserve"> serían nacionales Guatemala, El Salvador, Honduras y Nicaragua</w:t>
      </w:r>
      <w:r w:rsidRPr="002844BD">
        <w:rPr>
          <w:rFonts w:ascii="Cambria" w:eastAsia="Cambria" w:hAnsi="Cambria" w:cs="Cambria"/>
          <w:sz w:val="20"/>
          <w:szCs w:val="20"/>
          <w:vertAlign w:val="superscript"/>
          <w:lang w:val="es-MX"/>
        </w:rPr>
        <w:footnoteReference w:id="417"/>
      </w:r>
      <w:r w:rsidRPr="002844BD">
        <w:rPr>
          <w:rFonts w:ascii="Cambria" w:eastAsia="Cambria" w:hAnsi="Cambria" w:cs="Cambria"/>
          <w:sz w:val="20"/>
          <w:szCs w:val="20"/>
          <w:lang w:val="es-MX"/>
        </w:rPr>
        <w:t>.</w:t>
      </w:r>
    </w:p>
    <w:p w14:paraId="4DFB0684" w14:textId="69DB2CC6" w:rsidR="00DA338A" w:rsidRPr="004E3E07" w:rsidRDefault="00B8656B" w:rsidP="00DA338A">
      <w:pPr>
        <w:numPr>
          <w:ilvl w:val="0"/>
          <w:numId w:val="5"/>
        </w:numPr>
        <w:shd w:val="clear" w:color="auto" w:fill="FFFFFF"/>
        <w:spacing w:after="240" w:line="240" w:lineRule="auto"/>
        <w:ind w:left="0" w:firstLine="720"/>
        <w:jc w:val="both"/>
        <w:rPr>
          <w:rFonts w:ascii="Cambria" w:eastAsia="Cambria" w:hAnsi="Cambria" w:cs="Cambria"/>
          <w:sz w:val="20"/>
          <w:szCs w:val="20"/>
          <w:lang w:val="es-MX"/>
        </w:rPr>
      </w:pPr>
      <w:r w:rsidRPr="002844BD">
        <w:rPr>
          <w:rFonts w:ascii="Cambria" w:eastAsia="Cambria" w:hAnsi="Cambria" w:cs="Cambria"/>
          <w:sz w:val="20"/>
          <w:szCs w:val="20"/>
          <w:lang w:val="es-MX"/>
        </w:rPr>
        <w:t>En lo atinente a las condiciones de detención, organizaciones de la sociedad civil denunciaron</w:t>
      </w:r>
      <w:r w:rsidRPr="004E3E07">
        <w:rPr>
          <w:rFonts w:ascii="Cambria" w:eastAsia="Cambria" w:hAnsi="Cambria" w:cs="Cambria"/>
          <w:sz w:val="20"/>
          <w:szCs w:val="20"/>
          <w:lang w:val="es-MX"/>
        </w:rPr>
        <w:t xml:space="preserve"> públicamente la situación de hacinamiento en las que se encontraban personas en el contexto de la movilidad humana; en particular, en la Estación Migratoria Cupape II La Mosca, ubicada en el municipio de Chiapa de Corzo, Chiapas. De acuerdo con información de prensa, las personas migrantes se </w:t>
      </w:r>
      <w:r w:rsidR="00220665">
        <w:rPr>
          <w:rFonts w:ascii="Cambria" w:eastAsia="Cambria" w:hAnsi="Cambria" w:cs="Cambria"/>
          <w:sz w:val="20"/>
          <w:szCs w:val="20"/>
          <w:lang w:val="es-MX"/>
        </w:rPr>
        <w:t>encontraban</w:t>
      </w:r>
      <w:r w:rsidRPr="004E3E07">
        <w:rPr>
          <w:rFonts w:ascii="Cambria" w:eastAsia="Cambria" w:hAnsi="Cambria" w:cs="Cambria"/>
          <w:sz w:val="20"/>
          <w:szCs w:val="20"/>
          <w:lang w:val="es-MX"/>
        </w:rPr>
        <w:t xml:space="preserve"> detenidas en “instalaciones que parecen jaulas”. Además, niñas, niños y adolescentes </w:t>
      </w:r>
      <w:r w:rsidR="00220665">
        <w:rPr>
          <w:rFonts w:ascii="Cambria" w:eastAsia="Cambria" w:hAnsi="Cambria" w:cs="Cambria"/>
          <w:sz w:val="20"/>
          <w:szCs w:val="20"/>
          <w:lang w:val="es-MX"/>
        </w:rPr>
        <w:t xml:space="preserve">fueron </w:t>
      </w:r>
      <w:r w:rsidRPr="004E3E07">
        <w:rPr>
          <w:rFonts w:ascii="Cambria" w:eastAsia="Cambria" w:hAnsi="Cambria" w:cs="Cambria"/>
          <w:sz w:val="20"/>
          <w:szCs w:val="20"/>
          <w:lang w:val="es-MX"/>
        </w:rPr>
        <w:t>detenidas junto con personas adultas</w:t>
      </w:r>
      <w:r w:rsidRPr="004E3E07">
        <w:rPr>
          <w:rFonts w:ascii="Cambria" w:eastAsia="Cambria" w:hAnsi="Cambria" w:cs="Cambria"/>
          <w:sz w:val="20"/>
          <w:szCs w:val="20"/>
          <w:vertAlign w:val="superscript"/>
          <w:lang w:val="es-MX"/>
        </w:rPr>
        <w:footnoteReference w:id="418"/>
      </w:r>
      <w:r w:rsidRPr="004E3E07">
        <w:rPr>
          <w:rFonts w:ascii="Cambria" w:eastAsia="Cambria" w:hAnsi="Cambria" w:cs="Cambria"/>
          <w:sz w:val="20"/>
          <w:szCs w:val="20"/>
          <w:lang w:val="es-MX"/>
        </w:rPr>
        <w:t>. Durante su visita virtual a México, la CIDH recibió con preocupación información sobre la utilización de espacios como el denominado “las moscas” para detener a personas en situación de movilidad. En dicha oportunidad, organizaciones señalaron que dicho lugar no cuenta con las condiciones de higiene necesarias para detener a persona alguna</w:t>
      </w:r>
      <w:r w:rsidRPr="004E3E07">
        <w:rPr>
          <w:rFonts w:ascii="Cambria" w:eastAsia="Cambria" w:hAnsi="Cambria" w:cs="Cambria"/>
          <w:sz w:val="20"/>
          <w:szCs w:val="20"/>
          <w:vertAlign w:val="superscript"/>
          <w:lang w:val="es-MX"/>
        </w:rPr>
        <w:footnoteReference w:id="419"/>
      </w:r>
      <w:r w:rsidRPr="004E3E07">
        <w:rPr>
          <w:rFonts w:ascii="Cambria" w:eastAsia="Cambria" w:hAnsi="Cambria" w:cs="Cambria"/>
          <w:sz w:val="20"/>
          <w:szCs w:val="20"/>
          <w:lang w:val="es-MX"/>
        </w:rPr>
        <w:t>.</w:t>
      </w:r>
    </w:p>
    <w:p w14:paraId="2CBE532D" w14:textId="15C37994" w:rsidR="00DA338A" w:rsidRPr="004E3E07" w:rsidRDefault="00B8656B" w:rsidP="00DA338A">
      <w:pPr>
        <w:numPr>
          <w:ilvl w:val="0"/>
          <w:numId w:val="5"/>
        </w:numPr>
        <w:shd w:val="clear" w:color="auto" w:fill="FFFFFF"/>
        <w:spacing w:after="240" w:line="240" w:lineRule="auto"/>
        <w:ind w:left="0" w:firstLine="720"/>
        <w:jc w:val="both"/>
        <w:rPr>
          <w:rFonts w:ascii="Cambria" w:eastAsia="Cambria" w:hAnsi="Cambria" w:cs="Cambria"/>
          <w:sz w:val="20"/>
          <w:szCs w:val="20"/>
          <w:lang w:val="es-MX"/>
        </w:rPr>
      </w:pPr>
      <w:r w:rsidRPr="004E3E07">
        <w:rPr>
          <w:rFonts w:ascii="Cambria" w:eastAsia="Cambria" w:hAnsi="Cambria" w:cs="Cambria"/>
          <w:sz w:val="20"/>
          <w:szCs w:val="20"/>
          <w:lang w:val="es-MX"/>
        </w:rPr>
        <w:t>Adicionalmente, la CI</w:t>
      </w:r>
      <w:r w:rsidR="006030CF" w:rsidRPr="004E3E07">
        <w:rPr>
          <w:rFonts w:ascii="Cambria" w:eastAsia="Cambria" w:hAnsi="Cambria" w:cs="Cambria"/>
          <w:sz w:val="20"/>
          <w:szCs w:val="20"/>
          <w:lang w:val="es-MX"/>
        </w:rPr>
        <w:t xml:space="preserve">DH observa con preocupación que, </w:t>
      </w:r>
      <w:r w:rsidRPr="004E3E07">
        <w:rPr>
          <w:rFonts w:ascii="Cambria" w:eastAsia="Cambria" w:hAnsi="Cambria" w:cs="Cambria"/>
          <w:sz w:val="20"/>
          <w:szCs w:val="20"/>
          <w:lang w:val="es-MX"/>
        </w:rPr>
        <w:t xml:space="preserve">de acuerdo con reportes de organizaciones de la sociedad civil, el 15 de junio de 2021 un grupo de personas detenidas en la Estación Migratoria Siglo XXI fueron sacadas al patio, golpeadas, obligadas a recostarse boca arriba con las manos en la nuca, posición en la que permanecieron desde las 14 horas hasta las 24 horas aproximadamente. Además, las autoridades estatales les </w:t>
      </w:r>
      <w:r w:rsidR="00220665">
        <w:rPr>
          <w:rFonts w:ascii="Cambria" w:eastAsia="Cambria" w:hAnsi="Cambria" w:cs="Cambria"/>
          <w:sz w:val="20"/>
          <w:szCs w:val="20"/>
          <w:lang w:val="es-MX"/>
        </w:rPr>
        <w:t>prohibieron</w:t>
      </w:r>
      <w:r w:rsidRPr="004E3E07">
        <w:rPr>
          <w:rFonts w:ascii="Cambria" w:eastAsia="Cambria" w:hAnsi="Cambria" w:cs="Cambria"/>
          <w:sz w:val="20"/>
          <w:szCs w:val="20"/>
          <w:lang w:val="es-MX"/>
        </w:rPr>
        <w:t xml:space="preserve"> cerrar los ojos, bajo amenaza de golpear a quien lo hiciera. De acuerdo con información al alcance de la Comisión, las organizaciones solicitaron protección para estas personas, pero esta no fue otorgada</w:t>
      </w:r>
      <w:r w:rsidRPr="004E3E07">
        <w:rPr>
          <w:rFonts w:ascii="Cambria" w:eastAsia="Cambria" w:hAnsi="Cambria" w:cs="Cambria"/>
          <w:sz w:val="20"/>
          <w:szCs w:val="20"/>
          <w:vertAlign w:val="superscript"/>
          <w:lang w:val="es-MX"/>
        </w:rPr>
        <w:footnoteReference w:id="420"/>
      </w:r>
      <w:r w:rsidRPr="004E3E07">
        <w:rPr>
          <w:rFonts w:ascii="Cambria" w:eastAsia="Cambria" w:hAnsi="Cambria" w:cs="Cambria"/>
          <w:sz w:val="20"/>
          <w:szCs w:val="20"/>
          <w:lang w:val="es-MX"/>
        </w:rPr>
        <w:t>.</w:t>
      </w:r>
    </w:p>
    <w:p w14:paraId="054711FC" w14:textId="7719F2A0" w:rsidR="00DA338A" w:rsidRPr="004E3E07" w:rsidRDefault="00B8656B" w:rsidP="00DA338A">
      <w:pPr>
        <w:numPr>
          <w:ilvl w:val="0"/>
          <w:numId w:val="5"/>
        </w:numPr>
        <w:shd w:val="clear" w:color="auto" w:fill="FFFFFF"/>
        <w:spacing w:after="240" w:line="240" w:lineRule="auto"/>
        <w:ind w:left="0" w:firstLine="720"/>
        <w:jc w:val="both"/>
        <w:rPr>
          <w:rFonts w:ascii="Cambria" w:eastAsia="Cambria" w:hAnsi="Cambria" w:cs="Cambria"/>
          <w:sz w:val="20"/>
          <w:szCs w:val="20"/>
          <w:lang w:val="es-MX"/>
        </w:rPr>
      </w:pPr>
      <w:r w:rsidRPr="004E3E07">
        <w:rPr>
          <w:rFonts w:ascii="Cambria" w:eastAsia="Cambria" w:hAnsi="Cambria" w:cs="Cambria"/>
          <w:sz w:val="20"/>
          <w:szCs w:val="20"/>
          <w:lang w:val="es-MX"/>
        </w:rPr>
        <w:t xml:space="preserve">Aunado a lo anterior, la Comisión observa que la CNDH </w:t>
      </w:r>
      <w:r w:rsidR="00220665">
        <w:rPr>
          <w:rFonts w:ascii="Cambria" w:eastAsia="Cambria" w:hAnsi="Cambria" w:cs="Cambria"/>
          <w:sz w:val="20"/>
          <w:szCs w:val="20"/>
          <w:lang w:val="es-MX"/>
        </w:rPr>
        <w:t>requirió</w:t>
      </w:r>
      <w:r w:rsidRPr="004E3E07">
        <w:rPr>
          <w:rFonts w:ascii="Cambria" w:eastAsia="Cambria" w:hAnsi="Cambria" w:cs="Cambria"/>
          <w:sz w:val="20"/>
          <w:szCs w:val="20"/>
          <w:lang w:val="es-MX"/>
        </w:rPr>
        <w:t xml:space="preserve"> a diversas autoridades la implementación de medidas cautelares para, entre otras cuestiones: i) salvaguardar la seguridad, integridad física y vida de las personas en contexto de migración que se encuentran en el campamento “El Chaparral”, ubicado en Tijuana, Baja California</w:t>
      </w:r>
      <w:r w:rsidRPr="004E3E07">
        <w:rPr>
          <w:rFonts w:ascii="Cambria" w:eastAsia="Cambria" w:hAnsi="Cambria" w:cs="Cambria"/>
          <w:sz w:val="20"/>
          <w:szCs w:val="20"/>
          <w:vertAlign w:val="superscript"/>
          <w:lang w:val="es-MX"/>
        </w:rPr>
        <w:footnoteReference w:id="421"/>
      </w:r>
      <w:r w:rsidRPr="004E3E07">
        <w:rPr>
          <w:rFonts w:ascii="Cambria" w:eastAsia="Cambria" w:hAnsi="Cambria" w:cs="Cambria"/>
          <w:sz w:val="20"/>
          <w:szCs w:val="20"/>
          <w:lang w:val="es-MX"/>
        </w:rPr>
        <w:t>; ii) otorgar atención humanitaria a aproximadamente 240 personas migrantes -entre ellas niñas, niños y adolescentes- que se encuentran en la plaza “De la República” ubicada en Reynosa, Tamaulipas</w:t>
      </w:r>
      <w:r w:rsidRPr="004E3E07">
        <w:rPr>
          <w:rFonts w:ascii="Cambria" w:eastAsia="Cambria" w:hAnsi="Cambria" w:cs="Cambria"/>
          <w:sz w:val="20"/>
          <w:szCs w:val="20"/>
          <w:vertAlign w:val="superscript"/>
          <w:lang w:val="es-MX"/>
        </w:rPr>
        <w:footnoteReference w:id="422"/>
      </w:r>
      <w:r w:rsidRPr="004E3E07">
        <w:rPr>
          <w:rFonts w:ascii="Cambria" w:eastAsia="Cambria" w:hAnsi="Cambria" w:cs="Cambria"/>
          <w:sz w:val="20"/>
          <w:szCs w:val="20"/>
          <w:lang w:val="es-MX"/>
        </w:rPr>
        <w:t>; iii) evitar que la población supere la capacidad de alojamiento y se brinden servicios básicos, en tanto se resuelve la situación jurídica de las personas que se encuentran en la Estación Migratoria de Saltillo, Coahuila</w:t>
      </w:r>
      <w:r w:rsidRPr="004E3E07">
        <w:rPr>
          <w:rFonts w:ascii="Cambria" w:eastAsia="Cambria" w:hAnsi="Cambria" w:cs="Cambria"/>
          <w:sz w:val="20"/>
          <w:szCs w:val="20"/>
          <w:vertAlign w:val="superscript"/>
          <w:lang w:val="es-MX"/>
        </w:rPr>
        <w:t xml:space="preserve"> </w:t>
      </w:r>
      <w:r w:rsidRPr="004E3E07">
        <w:rPr>
          <w:rFonts w:ascii="Cambria" w:eastAsia="Cambria" w:hAnsi="Cambria" w:cs="Cambria"/>
          <w:sz w:val="20"/>
          <w:szCs w:val="20"/>
          <w:vertAlign w:val="superscript"/>
          <w:lang w:val="es-MX"/>
        </w:rPr>
        <w:footnoteReference w:id="423"/>
      </w:r>
      <w:r w:rsidRPr="004E3E07">
        <w:rPr>
          <w:rFonts w:ascii="Cambria" w:eastAsia="Cambria" w:hAnsi="Cambria" w:cs="Cambria"/>
          <w:sz w:val="20"/>
          <w:szCs w:val="20"/>
          <w:lang w:val="es-MX"/>
        </w:rPr>
        <w:t>; iv) salvaguardar la integridad de aproximadamente 600 personas en la Casa del Migrante “Senda de Vida”; entre ellas, 250 niñas, niños y adolescentes, mujeres embarazadas, personas que sufren enfermedades crónico-degenerativas, así como personas con discapacidad</w:t>
      </w:r>
      <w:r w:rsidRPr="004E3E07">
        <w:rPr>
          <w:rFonts w:ascii="Cambria" w:eastAsia="Cambria" w:hAnsi="Cambria" w:cs="Cambria"/>
          <w:sz w:val="20"/>
          <w:szCs w:val="20"/>
          <w:vertAlign w:val="superscript"/>
          <w:lang w:val="es-MX"/>
        </w:rPr>
        <w:footnoteReference w:id="424"/>
      </w:r>
      <w:r w:rsidRPr="004E3E07">
        <w:rPr>
          <w:rFonts w:ascii="Cambria" w:eastAsia="Cambria" w:hAnsi="Cambria" w:cs="Cambria"/>
          <w:sz w:val="20"/>
          <w:szCs w:val="20"/>
          <w:lang w:val="es-MX"/>
        </w:rPr>
        <w:t>; y, v) salvaguardar la integridad de personas que se encuentran hacinadas en autobuses y en la oficina de representación local del INM en Villahermosa, Tabasco</w:t>
      </w:r>
      <w:r w:rsidRPr="004E3E07">
        <w:rPr>
          <w:rFonts w:ascii="Cambria" w:eastAsia="Cambria" w:hAnsi="Cambria" w:cs="Cambria"/>
          <w:sz w:val="20"/>
          <w:szCs w:val="20"/>
          <w:vertAlign w:val="superscript"/>
          <w:lang w:val="es-MX"/>
        </w:rPr>
        <w:footnoteReference w:id="425"/>
      </w:r>
      <w:r w:rsidRPr="004E3E07">
        <w:rPr>
          <w:rFonts w:ascii="Cambria" w:eastAsia="Cambria" w:hAnsi="Cambria" w:cs="Cambria"/>
          <w:sz w:val="20"/>
          <w:szCs w:val="20"/>
          <w:lang w:val="es-MX"/>
        </w:rPr>
        <w:t>. Asimismo, la CNDH formuló una recomendación al INM y a la Fiscalía General del estado de Chiapas por la muerte de dos personas migrantes dentro de la Estación Migratoria Siglo XXI</w:t>
      </w:r>
      <w:r w:rsidRPr="004E3E07">
        <w:rPr>
          <w:rFonts w:ascii="Cambria" w:eastAsia="Cambria" w:hAnsi="Cambria" w:cs="Cambria"/>
          <w:sz w:val="20"/>
          <w:szCs w:val="20"/>
          <w:vertAlign w:val="superscript"/>
          <w:lang w:val="es-MX"/>
        </w:rPr>
        <w:footnoteReference w:id="426"/>
      </w:r>
      <w:r w:rsidRPr="004E3E07">
        <w:rPr>
          <w:rFonts w:ascii="Cambria" w:eastAsia="Cambria" w:hAnsi="Cambria" w:cs="Cambria"/>
          <w:sz w:val="20"/>
          <w:szCs w:val="20"/>
          <w:lang w:val="es-MX"/>
        </w:rPr>
        <w:t>.</w:t>
      </w:r>
    </w:p>
    <w:p w14:paraId="4FE764CD" w14:textId="77777777" w:rsidR="00DA338A" w:rsidRPr="004E3E07" w:rsidRDefault="00B8656B" w:rsidP="00DA338A">
      <w:pPr>
        <w:numPr>
          <w:ilvl w:val="0"/>
          <w:numId w:val="5"/>
        </w:numPr>
        <w:shd w:val="clear" w:color="auto" w:fill="FFFFFF"/>
        <w:spacing w:after="240" w:line="240" w:lineRule="auto"/>
        <w:ind w:left="0" w:firstLine="720"/>
        <w:jc w:val="both"/>
        <w:rPr>
          <w:rFonts w:ascii="Cambria" w:eastAsia="Cambria" w:hAnsi="Cambria" w:cs="Cambria"/>
          <w:sz w:val="20"/>
          <w:szCs w:val="20"/>
          <w:lang w:val="es-MX"/>
        </w:rPr>
      </w:pPr>
      <w:r w:rsidRPr="004E3E07">
        <w:rPr>
          <w:rFonts w:ascii="Cambria" w:eastAsia="Cambria" w:hAnsi="Cambria" w:cs="Cambria"/>
          <w:sz w:val="20"/>
          <w:szCs w:val="20"/>
          <w:lang w:val="es-MX"/>
        </w:rPr>
        <w:t>Al respecto, la CIDH ha señalado que la detención debe ser una medida de último recurso. Por ello, los Estados deben tomar medidas para erradicar la detención de migrantes mediante leyes, políticas y prácticas públicas. Mientras ello sucede, el Estado debe garantizar que la detención se utilice únicamente de conformidad con lo autorizado por la ley y solo cuando se determine ser necesaria, razonable en todas las circunstancias y proporcional a un propósito legítimo</w:t>
      </w:r>
      <w:r w:rsidRPr="004E3E07">
        <w:rPr>
          <w:rFonts w:ascii="Cambria" w:eastAsia="Cambria" w:hAnsi="Cambria" w:cs="Cambria"/>
          <w:sz w:val="20"/>
          <w:szCs w:val="20"/>
          <w:vertAlign w:val="superscript"/>
          <w:lang w:val="es-MX"/>
        </w:rPr>
        <w:footnoteReference w:id="427"/>
      </w:r>
      <w:r w:rsidRPr="004E3E07">
        <w:rPr>
          <w:rFonts w:ascii="Cambria" w:eastAsia="Cambria" w:hAnsi="Cambria" w:cs="Cambria"/>
          <w:sz w:val="20"/>
          <w:szCs w:val="20"/>
          <w:lang w:val="es-MX"/>
        </w:rPr>
        <w:t>.</w:t>
      </w:r>
    </w:p>
    <w:p w14:paraId="373CC28E" w14:textId="20A98FEB" w:rsidR="00897787" w:rsidRPr="00182657" w:rsidRDefault="00B8656B" w:rsidP="00897787">
      <w:pPr>
        <w:numPr>
          <w:ilvl w:val="0"/>
          <w:numId w:val="5"/>
        </w:numPr>
        <w:shd w:val="clear" w:color="auto" w:fill="FFFFFF"/>
        <w:spacing w:after="240" w:line="240" w:lineRule="auto"/>
        <w:ind w:left="0" w:firstLine="720"/>
        <w:jc w:val="both"/>
        <w:rPr>
          <w:rFonts w:ascii="Cambria" w:eastAsia="Cambria" w:hAnsi="Cambria" w:cs="Cambria"/>
          <w:sz w:val="20"/>
          <w:szCs w:val="20"/>
          <w:lang w:val="es-MX"/>
        </w:rPr>
      </w:pPr>
      <w:r w:rsidRPr="004E3E07">
        <w:rPr>
          <w:rFonts w:ascii="Cambria" w:eastAsia="Cambria" w:hAnsi="Cambria" w:cs="Cambria"/>
          <w:sz w:val="20"/>
          <w:szCs w:val="20"/>
          <w:lang w:val="es-MX"/>
        </w:rPr>
        <w:t xml:space="preserve">En cuanto a los </w:t>
      </w:r>
      <w:r w:rsidRPr="004E3E07">
        <w:rPr>
          <w:rFonts w:ascii="Cambria" w:eastAsia="Cambria" w:hAnsi="Cambria" w:cs="Cambria"/>
          <w:b/>
          <w:sz w:val="20"/>
          <w:szCs w:val="20"/>
          <w:lang w:val="es-MX"/>
        </w:rPr>
        <w:t>procedimientos de devolución o expulsión de personas en el contexto de la movilidad humana</w:t>
      </w:r>
      <w:r w:rsidRPr="004E3E07">
        <w:rPr>
          <w:rFonts w:ascii="Cambria" w:eastAsia="Cambria" w:hAnsi="Cambria" w:cs="Cambria"/>
          <w:sz w:val="20"/>
          <w:szCs w:val="20"/>
          <w:vertAlign w:val="superscript"/>
          <w:lang w:val="es-MX"/>
        </w:rPr>
        <w:footnoteReference w:id="428"/>
      </w:r>
      <w:r w:rsidRPr="004E3E07">
        <w:rPr>
          <w:rFonts w:ascii="Cambria" w:eastAsia="Cambria" w:hAnsi="Cambria" w:cs="Cambria"/>
          <w:sz w:val="20"/>
          <w:szCs w:val="20"/>
          <w:lang w:val="es-MX"/>
        </w:rPr>
        <w:t>, la CIDH expresó su preocupación por las devoluciones que estarían ocurriendo desde México sin análisis y consideración de necesidades de protección</w:t>
      </w:r>
      <w:r w:rsidRPr="004E3E07">
        <w:rPr>
          <w:rFonts w:ascii="Cambria" w:eastAsia="Cambria" w:hAnsi="Cambria" w:cs="Cambria"/>
          <w:sz w:val="20"/>
          <w:szCs w:val="20"/>
          <w:vertAlign w:val="superscript"/>
          <w:lang w:val="es-MX"/>
        </w:rPr>
        <w:footnoteReference w:id="429"/>
      </w:r>
      <w:r w:rsidRPr="004E3E07">
        <w:rPr>
          <w:rFonts w:ascii="Cambria" w:eastAsia="Cambria" w:hAnsi="Cambria" w:cs="Cambria"/>
          <w:sz w:val="20"/>
          <w:szCs w:val="20"/>
          <w:lang w:val="es-MX"/>
        </w:rPr>
        <w:t xml:space="preserve">. De acuerdo con información de la REDLAC, </w:t>
      </w:r>
      <w:r w:rsidRPr="00182657">
        <w:rPr>
          <w:rFonts w:ascii="Cambria" w:eastAsia="Cambria" w:hAnsi="Cambria" w:cs="Cambria"/>
          <w:sz w:val="20"/>
          <w:szCs w:val="20"/>
          <w:lang w:val="es-MX"/>
        </w:rPr>
        <w:t>las deportaciones desde México aumentaron 24% para Honduras, 159% para Guatemala y 382% para El Salvador durante el 2021</w:t>
      </w:r>
      <w:r w:rsidRPr="00182657">
        <w:rPr>
          <w:rFonts w:ascii="Cambria" w:eastAsia="Cambria" w:hAnsi="Cambria" w:cs="Cambria"/>
          <w:sz w:val="20"/>
          <w:szCs w:val="20"/>
          <w:vertAlign w:val="superscript"/>
          <w:lang w:val="es-MX"/>
        </w:rPr>
        <w:footnoteReference w:id="430"/>
      </w:r>
      <w:r w:rsidRPr="00182657">
        <w:rPr>
          <w:rFonts w:ascii="Cambria" w:eastAsia="Cambria" w:hAnsi="Cambria" w:cs="Cambria"/>
          <w:sz w:val="20"/>
          <w:szCs w:val="20"/>
          <w:lang w:val="es-MX"/>
        </w:rPr>
        <w:t>.</w:t>
      </w:r>
      <w:r w:rsidR="00897787" w:rsidRPr="00182657">
        <w:rPr>
          <w:rFonts w:ascii="Cambria" w:eastAsia="Cambria" w:hAnsi="Cambria" w:cs="Cambria"/>
          <w:sz w:val="20"/>
          <w:szCs w:val="20"/>
          <w:lang w:val="es-MX"/>
        </w:rPr>
        <w:t xml:space="preserve"> En sus observaciones al  proyecto del presente informe, el Estado indicó</w:t>
      </w:r>
      <w:r w:rsidR="00897787" w:rsidRPr="00182657">
        <w:rPr>
          <w:rFonts w:ascii="Cambria" w:eastAsia="Cambria" w:hAnsi="Cambria" w:cs="Cambria"/>
          <w:sz w:val="20"/>
          <w:szCs w:val="20"/>
        </w:rPr>
        <w:t xml:space="preserve"> que de acuerdo a información de la UPM-RIP, y el INAMI, los eventos de devolución desde México aumentaron 89% para Honduras, 76% para Guatemala y 14% para El Salvador entre enero-noviembre de 2021, respecto al mismo periodo de 2020.  No obstante, se  señala que estas tendencias están marcadas por el efecto de cierre de fronteras en 2020 derivado de la pandemia de COVID19</w:t>
      </w:r>
      <w:r w:rsidR="00897787" w:rsidRPr="00182657">
        <w:rPr>
          <w:rStyle w:val="FootnoteReference"/>
          <w:rFonts w:ascii="Cambria" w:eastAsia="Cambria" w:hAnsi="Cambria" w:cs="Cambria"/>
          <w:sz w:val="20"/>
          <w:szCs w:val="20"/>
        </w:rPr>
        <w:footnoteReference w:id="431"/>
      </w:r>
      <w:r w:rsidR="00897787" w:rsidRPr="00182657">
        <w:rPr>
          <w:rFonts w:ascii="Cambria" w:eastAsia="Cambria" w:hAnsi="Cambria" w:cs="Cambria"/>
          <w:sz w:val="20"/>
          <w:szCs w:val="20"/>
        </w:rPr>
        <w:t xml:space="preserve">. </w:t>
      </w:r>
    </w:p>
    <w:p w14:paraId="543BEECB" w14:textId="77777777" w:rsidR="00DA338A" w:rsidRPr="004E3E07" w:rsidRDefault="00B8656B" w:rsidP="00DA338A">
      <w:pPr>
        <w:numPr>
          <w:ilvl w:val="0"/>
          <w:numId w:val="5"/>
        </w:numPr>
        <w:shd w:val="clear" w:color="auto" w:fill="FFFFFF"/>
        <w:spacing w:after="240" w:line="240" w:lineRule="auto"/>
        <w:ind w:left="0" w:firstLine="720"/>
        <w:jc w:val="both"/>
        <w:rPr>
          <w:rFonts w:ascii="Cambria" w:eastAsia="Cambria" w:hAnsi="Cambria" w:cs="Cambria"/>
          <w:sz w:val="20"/>
          <w:szCs w:val="20"/>
          <w:lang w:val="es-MX"/>
        </w:rPr>
      </w:pPr>
      <w:r w:rsidRPr="004E3E07">
        <w:rPr>
          <w:rFonts w:ascii="Cambria" w:eastAsia="Cambria" w:hAnsi="Cambria" w:cs="Cambria"/>
          <w:sz w:val="20"/>
          <w:szCs w:val="20"/>
          <w:lang w:val="es-MX"/>
        </w:rPr>
        <w:t>En línea con lo anterior, mediante comunicado de prensa de 17 de septiembre de 2021 la CIDH notó con preocupación las expulsiones de personas en situación migratoria irregular, incluyendo a quienes fueron expulsadas desde los Estados Unidos, hacia diferentes fronteras con Guatemala. En dicha oportunidad, la Comisión advirtió que cuando las personas son expulsadas o devueltas a sus países de origen o de residencia habitual, sin una determinación adecuada sobre posibles necesidades de protección internacional, se enfrentarían nuevamente a situaciones similares a las que las obligaron a salir</w:t>
      </w:r>
      <w:r w:rsidRPr="004E3E07">
        <w:rPr>
          <w:rFonts w:ascii="Cambria" w:eastAsia="Cambria" w:hAnsi="Cambria" w:cs="Cambria"/>
          <w:sz w:val="20"/>
          <w:szCs w:val="20"/>
          <w:vertAlign w:val="superscript"/>
          <w:lang w:val="es-MX"/>
        </w:rPr>
        <w:footnoteReference w:id="432"/>
      </w:r>
      <w:r w:rsidRPr="004E3E07">
        <w:rPr>
          <w:rFonts w:ascii="Cambria" w:eastAsia="Cambria" w:hAnsi="Cambria" w:cs="Cambria"/>
          <w:sz w:val="20"/>
          <w:szCs w:val="20"/>
          <w:lang w:val="es-MX"/>
        </w:rPr>
        <w:t>. En igual sentido, organizaciones de la sociedad civil denunciaron ante la CIDH que han documentado casos de expulsiones desde México de personas con procedimientos de asilo en trámite o que ya contaban con algún tipo de protección en dicho país</w:t>
      </w:r>
      <w:r w:rsidRPr="004E3E07">
        <w:rPr>
          <w:rFonts w:ascii="Cambria" w:eastAsia="Cambria" w:hAnsi="Cambria" w:cs="Cambria"/>
          <w:sz w:val="20"/>
          <w:szCs w:val="20"/>
          <w:vertAlign w:val="superscript"/>
          <w:lang w:val="es-MX"/>
        </w:rPr>
        <w:footnoteReference w:id="433"/>
      </w:r>
      <w:r w:rsidRPr="004E3E07">
        <w:rPr>
          <w:rFonts w:ascii="Cambria" w:eastAsia="Cambria" w:hAnsi="Cambria" w:cs="Cambria"/>
          <w:sz w:val="20"/>
          <w:szCs w:val="20"/>
          <w:lang w:val="es-MX"/>
        </w:rPr>
        <w:t>.</w:t>
      </w:r>
    </w:p>
    <w:p w14:paraId="2693396E" w14:textId="77777777" w:rsidR="00DA338A" w:rsidRPr="004E3E07" w:rsidRDefault="00B8656B" w:rsidP="00DA338A">
      <w:pPr>
        <w:numPr>
          <w:ilvl w:val="0"/>
          <w:numId w:val="5"/>
        </w:numPr>
        <w:shd w:val="clear" w:color="auto" w:fill="FFFFFF"/>
        <w:spacing w:after="240" w:line="240" w:lineRule="auto"/>
        <w:ind w:left="0" w:firstLine="720"/>
        <w:jc w:val="both"/>
        <w:rPr>
          <w:rFonts w:ascii="Cambria" w:eastAsia="Cambria" w:hAnsi="Cambria" w:cs="Cambria"/>
          <w:sz w:val="20"/>
          <w:szCs w:val="20"/>
          <w:lang w:val="es-MX"/>
        </w:rPr>
      </w:pPr>
      <w:r w:rsidRPr="004E3E07">
        <w:rPr>
          <w:rFonts w:ascii="Cambria" w:eastAsia="Cambria" w:hAnsi="Cambria" w:cs="Cambria"/>
          <w:sz w:val="20"/>
          <w:szCs w:val="20"/>
          <w:lang w:val="es-MX"/>
        </w:rPr>
        <w:t xml:space="preserve">Por su parte, el Estado señaló que de acuerdo con la Ley de Migración dichos procedimientos se realizan de manera ordenada, ágil y segura, salvaguardando los derechos humanos de esta población y observando el principio de </w:t>
      </w:r>
      <w:r w:rsidRPr="004E3E07">
        <w:rPr>
          <w:rFonts w:ascii="Cambria" w:eastAsia="Cambria" w:hAnsi="Cambria" w:cs="Cambria"/>
          <w:i/>
          <w:sz w:val="20"/>
          <w:szCs w:val="20"/>
          <w:lang w:val="es-MX"/>
        </w:rPr>
        <w:t>non-refoulement</w:t>
      </w:r>
      <w:r w:rsidRPr="004E3E07">
        <w:rPr>
          <w:rFonts w:ascii="Cambria" w:eastAsia="Cambria" w:hAnsi="Cambria" w:cs="Cambria"/>
          <w:sz w:val="20"/>
          <w:szCs w:val="20"/>
          <w:lang w:val="es-MX"/>
        </w:rPr>
        <w:t>. Además, señaló que las personas sujetas a un procedimiento de esta naturaleza tienen derecho a: i) ser notificadas; ii) comunicarse y recibir protección de su representación consular; exceptuando los casos en que se ha solicitado el asilo político o el reconocimiento de la condición de persona refugiada; iii) interponer un recurso efectivo contra las resoluciones del INM; iv) contar con traductor o intérprete en caso de que la persona no hable o no entienda el español; y v) recibir asesoría legal</w:t>
      </w:r>
      <w:r w:rsidRPr="004E3E07">
        <w:rPr>
          <w:rFonts w:ascii="Cambria" w:eastAsia="Cambria" w:hAnsi="Cambria" w:cs="Cambria"/>
          <w:sz w:val="20"/>
          <w:szCs w:val="20"/>
          <w:vertAlign w:val="superscript"/>
          <w:lang w:val="es-MX"/>
        </w:rPr>
        <w:footnoteReference w:id="434"/>
      </w:r>
      <w:r w:rsidRPr="004E3E07">
        <w:rPr>
          <w:rFonts w:ascii="Cambria" w:eastAsia="Cambria" w:hAnsi="Cambria" w:cs="Cambria"/>
          <w:sz w:val="20"/>
          <w:szCs w:val="20"/>
          <w:lang w:val="es-MX"/>
        </w:rPr>
        <w:t>. Agregó, que en los casos de niñas, niños y adolescentes acompañados y no acompañados, mujeres embarazadas, víctimas o testigos de delitos cometidos en territorio nacional, personas con discapacidad y personas adultas mayores se aplica el procedimiento de retorno asistido, con la intervención de funcionarios consulares o migratorios del país receptor</w:t>
      </w:r>
      <w:r w:rsidRPr="004E3E07">
        <w:rPr>
          <w:rFonts w:ascii="Cambria" w:eastAsia="Cambria" w:hAnsi="Cambria" w:cs="Cambria"/>
          <w:sz w:val="20"/>
          <w:szCs w:val="20"/>
          <w:vertAlign w:val="superscript"/>
          <w:lang w:val="es-MX"/>
        </w:rPr>
        <w:footnoteReference w:id="435"/>
      </w:r>
      <w:r w:rsidRPr="004E3E07">
        <w:rPr>
          <w:rFonts w:ascii="Cambria" w:eastAsia="Cambria" w:hAnsi="Cambria" w:cs="Cambria"/>
          <w:sz w:val="20"/>
          <w:szCs w:val="20"/>
          <w:lang w:val="es-MX"/>
        </w:rPr>
        <w:t>.</w:t>
      </w:r>
    </w:p>
    <w:p w14:paraId="4E62180B" w14:textId="77777777" w:rsidR="00DA338A" w:rsidRPr="004E3E07" w:rsidRDefault="00B8656B" w:rsidP="00DA338A">
      <w:pPr>
        <w:numPr>
          <w:ilvl w:val="0"/>
          <w:numId w:val="5"/>
        </w:numPr>
        <w:shd w:val="clear" w:color="auto" w:fill="FFFFFF"/>
        <w:spacing w:after="240" w:line="240" w:lineRule="auto"/>
        <w:ind w:left="0" w:firstLine="720"/>
        <w:jc w:val="both"/>
        <w:rPr>
          <w:rFonts w:ascii="Cambria" w:eastAsia="Cambria" w:hAnsi="Cambria" w:cs="Cambria"/>
          <w:sz w:val="20"/>
          <w:szCs w:val="20"/>
          <w:lang w:val="es-MX"/>
        </w:rPr>
      </w:pPr>
      <w:r w:rsidRPr="004E3E07">
        <w:rPr>
          <w:rFonts w:ascii="Cambria" w:eastAsia="Cambria" w:hAnsi="Cambria" w:cs="Cambria"/>
          <w:sz w:val="20"/>
          <w:szCs w:val="20"/>
          <w:lang w:val="es-MX"/>
        </w:rPr>
        <w:t>En ese sentido, la Comisión la CIDH recuerda que conforme a las obligaciones y compromisos internacionales que derivan de diversos tratados internacionales y otros instrumentos la obligación de garantizar el principio de no devolución (</w:t>
      </w:r>
      <w:r w:rsidRPr="004E3E07">
        <w:rPr>
          <w:rFonts w:ascii="Cambria" w:eastAsia="Cambria" w:hAnsi="Cambria" w:cs="Cambria"/>
          <w:i/>
          <w:iCs/>
          <w:sz w:val="20"/>
          <w:szCs w:val="20"/>
          <w:lang w:val="es-MX"/>
        </w:rPr>
        <w:t>non-refoulement</w:t>
      </w:r>
      <w:r w:rsidRPr="004E3E07">
        <w:rPr>
          <w:rFonts w:ascii="Cambria" w:eastAsia="Cambria" w:hAnsi="Cambria" w:cs="Cambria"/>
          <w:sz w:val="20"/>
          <w:szCs w:val="20"/>
          <w:lang w:val="es-MX"/>
        </w:rPr>
        <w:t>) es aplicable a toda forma de retorno forzoso. Además, los Estados deben implementar medidas para asegurar el respeto absoluto contra la devolución a las personas que buscan asilo u otra forma de protección internacional</w:t>
      </w:r>
      <w:r w:rsidRPr="004E3E07">
        <w:rPr>
          <w:rStyle w:val="FootnoteReference"/>
          <w:rFonts w:ascii="Cambria" w:eastAsia="Cambria" w:hAnsi="Cambria" w:cs="Cambria"/>
          <w:sz w:val="20"/>
          <w:szCs w:val="20"/>
          <w:lang w:val="es-MX"/>
        </w:rPr>
        <w:footnoteReference w:id="436"/>
      </w:r>
      <w:r w:rsidRPr="004E3E07">
        <w:rPr>
          <w:rFonts w:ascii="Cambria" w:eastAsia="Cambria" w:hAnsi="Cambria" w:cs="Cambria"/>
          <w:sz w:val="20"/>
          <w:szCs w:val="20"/>
          <w:lang w:val="es-MX"/>
        </w:rPr>
        <w:t>.</w:t>
      </w:r>
    </w:p>
    <w:p w14:paraId="7481E432" w14:textId="77777777" w:rsidR="00DA338A" w:rsidRPr="004E3E07" w:rsidRDefault="00B8656B" w:rsidP="00DA338A">
      <w:pPr>
        <w:numPr>
          <w:ilvl w:val="0"/>
          <w:numId w:val="5"/>
        </w:numPr>
        <w:shd w:val="clear" w:color="auto" w:fill="FFFFFF"/>
        <w:spacing w:after="240" w:line="240" w:lineRule="auto"/>
        <w:ind w:left="0" w:firstLine="720"/>
        <w:jc w:val="both"/>
        <w:rPr>
          <w:rFonts w:ascii="Cambria" w:eastAsia="Cambria" w:hAnsi="Cambria" w:cs="Cambria"/>
          <w:sz w:val="20"/>
          <w:szCs w:val="20"/>
          <w:lang w:val="es-MX"/>
        </w:rPr>
      </w:pPr>
      <w:r w:rsidRPr="004E3E07">
        <w:rPr>
          <w:rFonts w:ascii="Cambria" w:eastAsia="Cambria" w:hAnsi="Cambria" w:cs="Cambria"/>
          <w:sz w:val="20"/>
          <w:szCs w:val="20"/>
          <w:lang w:val="es-MX"/>
        </w:rPr>
        <w:t xml:space="preserve">En cuanto a las </w:t>
      </w:r>
      <w:r w:rsidRPr="004E3E07">
        <w:rPr>
          <w:rFonts w:ascii="Cambria" w:eastAsia="Cambria" w:hAnsi="Cambria" w:cs="Cambria"/>
          <w:b/>
          <w:sz w:val="20"/>
          <w:szCs w:val="20"/>
          <w:lang w:val="es-MX"/>
        </w:rPr>
        <w:t>personas defensoras de derechos humanos</w:t>
      </w:r>
      <w:r w:rsidRPr="004E3E07">
        <w:rPr>
          <w:rFonts w:ascii="Cambria" w:eastAsia="Cambria" w:hAnsi="Cambria" w:cs="Cambria"/>
          <w:sz w:val="20"/>
          <w:szCs w:val="20"/>
          <w:vertAlign w:val="superscript"/>
          <w:lang w:val="es-MX"/>
        </w:rPr>
        <w:footnoteReference w:id="437"/>
      </w:r>
      <w:r w:rsidRPr="004E3E07">
        <w:rPr>
          <w:rFonts w:ascii="Cambria" w:eastAsia="Cambria" w:hAnsi="Cambria" w:cs="Cambria"/>
          <w:sz w:val="20"/>
          <w:szCs w:val="20"/>
          <w:lang w:val="es-MX"/>
        </w:rPr>
        <w:t>, la Comisión nota que la CNDH y la ONU-DH en México hicieron un llamado al Estado para garantizar condiciones adecuadas y seguras para que las personas defensoras de derechos humanos y periodistas puedan realizar su legítima labor de monitoreo, documentación y comunicación en el contexto de los movimientos migratorios en Chiapas. En particular, destacaron la labor que realizan las personas defensoras de derechos humanos y organizaciones de la sociedad civil para garantizar los derechos de las personas migrantes, solicitantes de asilo y refugiadas en tránsito por México. Aunado a ello, reiteraron la importancia del trabajo de periodistas y medios de comunicación para dar a conocer la realidad que enfrentan las personas migrantes, solicitantes de asilo y refugiadas y el actuar de las autoridades estatales</w:t>
      </w:r>
      <w:r w:rsidRPr="004E3E07">
        <w:rPr>
          <w:rFonts w:ascii="Cambria" w:eastAsia="Cambria" w:hAnsi="Cambria" w:cs="Cambria"/>
          <w:sz w:val="20"/>
          <w:szCs w:val="20"/>
          <w:vertAlign w:val="superscript"/>
          <w:lang w:val="es-MX"/>
        </w:rPr>
        <w:footnoteReference w:id="438"/>
      </w:r>
      <w:r w:rsidRPr="004E3E07">
        <w:rPr>
          <w:rFonts w:ascii="Cambria" w:eastAsia="Cambria" w:hAnsi="Cambria" w:cs="Cambria"/>
          <w:sz w:val="20"/>
          <w:szCs w:val="20"/>
          <w:lang w:val="es-MX"/>
        </w:rPr>
        <w:t>.</w:t>
      </w:r>
    </w:p>
    <w:p w14:paraId="4B508334" w14:textId="0156EB35" w:rsidR="00DA338A" w:rsidRPr="004E3E07" w:rsidRDefault="00B8656B" w:rsidP="00DA338A">
      <w:pPr>
        <w:numPr>
          <w:ilvl w:val="0"/>
          <w:numId w:val="5"/>
        </w:numPr>
        <w:shd w:val="clear" w:color="auto" w:fill="FFFFFF"/>
        <w:spacing w:after="240" w:line="240" w:lineRule="auto"/>
        <w:ind w:left="0" w:firstLine="720"/>
        <w:jc w:val="both"/>
        <w:rPr>
          <w:rFonts w:ascii="Cambria" w:eastAsia="Cambria" w:hAnsi="Cambria" w:cs="Cambria"/>
          <w:sz w:val="20"/>
          <w:szCs w:val="20"/>
          <w:lang w:val="es-MX"/>
        </w:rPr>
      </w:pPr>
      <w:r w:rsidRPr="004E3E07">
        <w:rPr>
          <w:rFonts w:ascii="Cambria" w:eastAsia="Cambria" w:hAnsi="Cambria" w:cs="Cambria"/>
          <w:sz w:val="20"/>
          <w:szCs w:val="20"/>
          <w:lang w:val="es-MX"/>
        </w:rPr>
        <w:t xml:space="preserve">En relación con las </w:t>
      </w:r>
      <w:r w:rsidRPr="004E3E07">
        <w:rPr>
          <w:rFonts w:ascii="Cambria" w:eastAsia="Cambria" w:hAnsi="Cambria" w:cs="Cambria"/>
          <w:b/>
          <w:sz w:val="20"/>
          <w:szCs w:val="20"/>
          <w:lang w:val="es-MX"/>
        </w:rPr>
        <w:t>personas trabajadoras migrantes en México</w:t>
      </w:r>
      <w:r w:rsidRPr="004E3E07">
        <w:rPr>
          <w:rFonts w:ascii="Cambria" w:eastAsia="Cambria" w:hAnsi="Cambria" w:cs="Cambria"/>
          <w:sz w:val="20"/>
          <w:szCs w:val="20"/>
          <w:vertAlign w:val="superscript"/>
          <w:lang w:val="es-MX"/>
        </w:rPr>
        <w:footnoteReference w:id="439"/>
      </w:r>
      <w:r w:rsidRPr="004E3E07">
        <w:rPr>
          <w:rFonts w:ascii="Cambria" w:eastAsia="Cambria" w:hAnsi="Cambria" w:cs="Cambria"/>
          <w:sz w:val="20"/>
          <w:szCs w:val="20"/>
          <w:lang w:val="es-MX"/>
        </w:rPr>
        <w:t xml:space="preserve">, un estudio de la OIM identificó que en Centroamérica y México los pasos fronterizos irregulares son comúnmente utilizados por personas trabajadoras migrantes ante la limitada disponibilidad de canales regulares para la migración con fines laborales. Además, señaló </w:t>
      </w:r>
      <w:r w:rsidR="008016E7" w:rsidRPr="004E3E07">
        <w:rPr>
          <w:rFonts w:ascii="Cambria" w:eastAsia="Cambria" w:hAnsi="Cambria" w:cs="Cambria"/>
          <w:sz w:val="20"/>
          <w:szCs w:val="20"/>
          <w:lang w:val="es-MX"/>
        </w:rPr>
        <w:t>que,</w:t>
      </w:r>
      <w:r w:rsidRPr="004E3E07">
        <w:rPr>
          <w:rFonts w:ascii="Cambria" w:eastAsia="Cambria" w:hAnsi="Cambria" w:cs="Cambria"/>
          <w:sz w:val="20"/>
          <w:szCs w:val="20"/>
          <w:lang w:val="es-MX"/>
        </w:rPr>
        <w:t xml:space="preserve"> aunque la mayoría de personas provenientes de Belice y Guatemala tramitan la Tarjeta de Visitante de Trabajador Fronterizo (TVTF), algunas personas no lo hacen debido a la falta de información y a los costos. En el caso de personas nacionales de El Salvador y Honduras que no pueden aplicar para la TVTF se dificulta aún más su inserción regular en el mercado laboral y promueve la utilización de otras formas de migración que no contemplan provisiones sobre migración laboral</w:t>
      </w:r>
      <w:r w:rsidRPr="004E3E07">
        <w:rPr>
          <w:rFonts w:ascii="Cambria" w:eastAsia="Cambria" w:hAnsi="Cambria" w:cs="Cambria"/>
          <w:sz w:val="20"/>
          <w:szCs w:val="20"/>
          <w:vertAlign w:val="superscript"/>
          <w:lang w:val="es-MX"/>
        </w:rPr>
        <w:footnoteReference w:id="440"/>
      </w:r>
      <w:r w:rsidRPr="004E3E07">
        <w:rPr>
          <w:rFonts w:ascii="Cambria" w:eastAsia="Cambria" w:hAnsi="Cambria" w:cs="Cambria"/>
          <w:sz w:val="20"/>
          <w:szCs w:val="20"/>
          <w:lang w:val="es-MX"/>
        </w:rPr>
        <w:t>.</w:t>
      </w:r>
    </w:p>
    <w:p w14:paraId="16C5627D" w14:textId="77777777" w:rsidR="00DA338A" w:rsidRPr="004E3E07" w:rsidRDefault="00B8656B" w:rsidP="00DA338A">
      <w:pPr>
        <w:numPr>
          <w:ilvl w:val="0"/>
          <w:numId w:val="5"/>
        </w:numPr>
        <w:shd w:val="clear" w:color="auto" w:fill="FFFFFF"/>
        <w:spacing w:after="240" w:line="240" w:lineRule="auto"/>
        <w:ind w:left="0" w:firstLine="720"/>
        <w:jc w:val="both"/>
        <w:rPr>
          <w:rFonts w:ascii="Cambria" w:eastAsia="Cambria" w:hAnsi="Cambria" w:cs="Cambria"/>
          <w:sz w:val="20"/>
          <w:szCs w:val="20"/>
          <w:lang w:val="es-MX"/>
        </w:rPr>
      </w:pPr>
      <w:r w:rsidRPr="004E3E07">
        <w:rPr>
          <w:rFonts w:ascii="Cambria" w:eastAsia="Cambria" w:hAnsi="Cambria" w:cs="Cambria"/>
          <w:sz w:val="20"/>
          <w:szCs w:val="20"/>
          <w:lang w:val="es-MX"/>
        </w:rPr>
        <w:t>Aunado a lo anterior, resaltó que la informalidad en las prácticas de reclutamiento en países como México incidiría en que las personas trabajadoras y, en particular, las mujeres trabajadoras, sean propensas a engaños sobre las condiciones de vida y expectativas salariales con las que trabajarán. En cuanto a las formas de reclutamiento de mujeres trabajadoras domésticas, dicho estudió identificó que el internet sería un medio común para obtener información sobre oportunidades de empleo. Ello, aumentaría la vulnerabilidad de las mujeres trabajadoras migrantes y las expone a situaciones de riesgo como la trata de personas, el trabajo forzoso, la explotación sexual y el tráfico ilícito de migrantes ante la difusión de información falsa o engañosa</w:t>
      </w:r>
      <w:r w:rsidRPr="004E3E07">
        <w:rPr>
          <w:rFonts w:ascii="Cambria" w:eastAsia="Cambria" w:hAnsi="Cambria" w:cs="Cambria"/>
          <w:sz w:val="20"/>
          <w:szCs w:val="20"/>
          <w:vertAlign w:val="superscript"/>
          <w:lang w:val="es-MX"/>
        </w:rPr>
        <w:footnoteReference w:id="441"/>
      </w:r>
      <w:r w:rsidRPr="004E3E07">
        <w:rPr>
          <w:rFonts w:ascii="Cambria" w:eastAsia="Cambria" w:hAnsi="Cambria" w:cs="Cambria"/>
          <w:sz w:val="20"/>
          <w:szCs w:val="20"/>
          <w:lang w:val="es-MX"/>
        </w:rPr>
        <w:t>.</w:t>
      </w:r>
    </w:p>
    <w:p w14:paraId="7A9F63BE" w14:textId="77777777" w:rsidR="00DA338A" w:rsidRPr="004E3E07" w:rsidRDefault="00B8656B" w:rsidP="00DA338A">
      <w:pPr>
        <w:numPr>
          <w:ilvl w:val="0"/>
          <w:numId w:val="5"/>
        </w:numPr>
        <w:shd w:val="clear" w:color="auto" w:fill="FFFFFF"/>
        <w:spacing w:after="240" w:line="240" w:lineRule="auto"/>
        <w:ind w:left="0" w:firstLine="720"/>
        <w:jc w:val="both"/>
        <w:rPr>
          <w:rFonts w:ascii="Cambria" w:eastAsia="Cambria" w:hAnsi="Cambria" w:cs="Cambria"/>
          <w:sz w:val="20"/>
          <w:szCs w:val="20"/>
          <w:lang w:val="es-MX"/>
        </w:rPr>
      </w:pPr>
      <w:r w:rsidRPr="004E3E07">
        <w:rPr>
          <w:rFonts w:ascii="Cambria" w:eastAsia="Cambria" w:hAnsi="Cambria" w:cs="Cambria"/>
          <w:sz w:val="20"/>
          <w:szCs w:val="20"/>
          <w:lang w:val="es-MX"/>
        </w:rPr>
        <w:t>Con base en el análisis realizado, la CIDH considera que la presente recomendación se encuentra parcialmente cumplida.</w:t>
      </w:r>
    </w:p>
    <w:p w14:paraId="1681DE3B" w14:textId="7E331867" w:rsidR="00897787" w:rsidRPr="0042004B" w:rsidRDefault="00B8656B" w:rsidP="00897787">
      <w:pPr>
        <w:numPr>
          <w:ilvl w:val="0"/>
          <w:numId w:val="5"/>
        </w:numPr>
        <w:shd w:val="clear" w:color="auto" w:fill="FFFFFF"/>
        <w:spacing w:after="240" w:line="240" w:lineRule="auto"/>
        <w:ind w:left="0" w:firstLine="720"/>
        <w:jc w:val="both"/>
        <w:rPr>
          <w:rFonts w:ascii="Cambria" w:eastAsia="Cambria" w:hAnsi="Cambria" w:cs="Cambria"/>
          <w:sz w:val="20"/>
          <w:szCs w:val="20"/>
          <w:lang w:val="es-MX"/>
        </w:rPr>
      </w:pPr>
      <w:r w:rsidRPr="0042004B">
        <w:rPr>
          <w:rFonts w:ascii="Cambria" w:eastAsia="Cambria" w:hAnsi="Cambria" w:cs="Cambria"/>
          <w:sz w:val="20"/>
          <w:szCs w:val="20"/>
          <w:lang w:val="es-MX"/>
        </w:rPr>
        <w:t xml:space="preserve">Asimismo, la Comisión recomendó al Estado </w:t>
      </w:r>
      <w:r w:rsidRPr="0042004B">
        <w:rPr>
          <w:rFonts w:ascii="Cambria" w:eastAsia="Cambria" w:hAnsi="Cambria" w:cs="Cambria"/>
          <w:b/>
          <w:sz w:val="20"/>
          <w:szCs w:val="20"/>
          <w:lang w:val="es-MX"/>
        </w:rPr>
        <w:t>elaborar un diagnóstico nacional para “caracterizar” el desplazamiento interno en México y, consecuentemente, adoptar una política nacional y las medidas tendientes a prestar una respuesta conforme a los estándares internacionales en la materia, en particular los Principios Rectores del Desplazamiento Interno</w:t>
      </w:r>
      <w:r w:rsidRPr="0042004B">
        <w:rPr>
          <w:rFonts w:ascii="Cambria" w:eastAsia="Cambria" w:hAnsi="Cambria" w:cs="Cambria"/>
          <w:sz w:val="20"/>
          <w:szCs w:val="20"/>
          <w:lang w:val="es-MX"/>
        </w:rPr>
        <w:t>. En su informe a la CIDH, el Estado señaló que continúa trabajando con una mesa interinstitucional con el fin de generar estrategias para atender a las personas desplazadas por eventos de violencia en sus comunidades</w:t>
      </w:r>
      <w:r w:rsidRPr="0042004B">
        <w:rPr>
          <w:rFonts w:ascii="Cambria" w:eastAsia="Cambria" w:hAnsi="Cambria" w:cs="Cambria"/>
          <w:sz w:val="20"/>
          <w:szCs w:val="20"/>
          <w:vertAlign w:val="superscript"/>
          <w:lang w:val="es-MX"/>
        </w:rPr>
        <w:footnoteReference w:id="442"/>
      </w:r>
      <w:r w:rsidRPr="0042004B">
        <w:rPr>
          <w:rFonts w:ascii="Cambria" w:eastAsia="Cambria" w:hAnsi="Cambria" w:cs="Cambria"/>
          <w:sz w:val="20"/>
          <w:szCs w:val="20"/>
          <w:lang w:val="es-MX"/>
        </w:rPr>
        <w:t>.</w:t>
      </w:r>
      <w:r w:rsidR="00897787" w:rsidRPr="0042004B">
        <w:rPr>
          <w:rFonts w:ascii="Cambria" w:eastAsia="Cambria" w:hAnsi="Cambria" w:cs="Cambria"/>
          <w:sz w:val="20"/>
          <w:szCs w:val="20"/>
          <w:lang w:val="es-MX"/>
        </w:rPr>
        <w:t xml:space="preserve"> Asimismo indicó que durante el 2021 el Consejo Nacional de Población publicó los documentos: “Desplazamiento interno en contextos indígenas. Tres miradas estatales a un problema compartido” y “Diagnóstico nacional sobre la situación del desplazamiento forzado interno en México”. Con respecto al diseño de una política nacional, el Estado refirió que desde la UPM-RIP  ha avanzado por medio de la publicación en 2021 de la “Guía para la prevención, asistencia humanitaria, atención integral y soluciones duraderas del Desplazamiento Forzado Interno”</w:t>
      </w:r>
      <w:r w:rsidR="00897787" w:rsidRPr="0042004B">
        <w:rPr>
          <w:rStyle w:val="FootnoteReference"/>
          <w:rFonts w:ascii="Cambria" w:eastAsia="Cambria" w:hAnsi="Cambria" w:cs="Cambria"/>
          <w:sz w:val="20"/>
          <w:szCs w:val="20"/>
          <w:lang w:val="es-MX"/>
        </w:rPr>
        <w:footnoteReference w:id="443"/>
      </w:r>
      <w:r w:rsidR="00897787" w:rsidRPr="0042004B">
        <w:rPr>
          <w:rFonts w:ascii="Cambria" w:eastAsia="Cambria" w:hAnsi="Cambria" w:cs="Cambria"/>
          <w:sz w:val="20"/>
          <w:szCs w:val="20"/>
          <w:lang w:val="es-MX"/>
        </w:rPr>
        <w:t xml:space="preserve">.  </w:t>
      </w:r>
    </w:p>
    <w:p w14:paraId="26F9E737" w14:textId="188F6A02" w:rsidR="00DA338A" w:rsidRPr="004E3E07" w:rsidRDefault="00B8656B" w:rsidP="00DA338A">
      <w:pPr>
        <w:numPr>
          <w:ilvl w:val="0"/>
          <w:numId w:val="5"/>
        </w:numPr>
        <w:shd w:val="clear" w:color="auto" w:fill="FFFFFF"/>
        <w:spacing w:after="240" w:line="240" w:lineRule="auto"/>
        <w:ind w:left="0" w:firstLine="720"/>
        <w:jc w:val="both"/>
        <w:rPr>
          <w:rFonts w:ascii="Cambria" w:eastAsia="Cambria" w:hAnsi="Cambria" w:cs="Cambria"/>
          <w:sz w:val="20"/>
          <w:szCs w:val="20"/>
          <w:lang w:val="es-MX"/>
        </w:rPr>
      </w:pPr>
      <w:r w:rsidRPr="004E3E07">
        <w:rPr>
          <w:rFonts w:ascii="Cambria" w:eastAsia="Cambria" w:hAnsi="Cambria" w:cs="Cambria"/>
          <w:sz w:val="20"/>
          <w:szCs w:val="20"/>
          <w:lang w:val="es-MX"/>
        </w:rPr>
        <w:t xml:space="preserve">Al respecto, los datos más actualizados del Centro para el Monitoreo de los Desplazamientos Internos (IDMC por sus siglas en inglés) señalan que para finales de 2020 hubo un total de 101.000 </w:t>
      </w:r>
      <w:r w:rsidR="00220665">
        <w:rPr>
          <w:rFonts w:ascii="Cambria" w:eastAsia="Cambria" w:hAnsi="Cambria" w:cs="Cambria"/>
          <w:sz w:val="20"/>
          <w:szCs w:val="20"/>
          <w:lang w:val="es-MX"/>
        </w:rPr>
        <w:t xml:space="preserve">desplazamientos </w:t>
      </w:r>
      <w:r w:rsidRPr="004E3E07">
        <w:rPr>
          <w:rFonts w:ascii="Cambria" w:eastAsia="Cambria" w:hAnsi="Cambria" w:cs="Cambria"/>
          <w:sz w:val="20"/>
          <w:szCs w:val="20"/>
          <w:lang w:val="es-MX"/>
        </w:rPr>
        <w:t>relacionados con desastres naturales y 9.700 relacionados con conflictos y violencia. En cuanto a los desplazamientos relacionados con desastres, indicó que las cifras se quintuplicaron en 2020 en relación con el año anterior, como resultado de inundaciones y tormentas</w:t>
      </w:r>
      <w:r w:rsidRPr="004E3E07">
        <w:rPr>
          <w:rFonts w:ascii="Cambria" w:eastAsia="Cambria" w:hAnsi="Cambria" w:cs="Cambria"/>
          <w:sz w:val="20"/>
          <w:szCs w:val="20"/>
          <w:vertAlign w:val="superscript"/>
          <w:lang w:val="es-MX"/>
        </w:rPr>
        <w:footnoteReference w:id="444"/>
      </w:r>
      <w:r w:rsidRPr="004E3E07">
        <w:rPr>
          <w:rFonts w:ascii="Cambria" w:eastAsia="Cambria" w:hAnsi="Cambria" w:cs="Cambria"/>
          <w:sz w:val="20"/>
          <w:szCs w:val="20"/>
          <w:lang w:val="es-MX"/>
        </w:rPr>
        <w:t xml:space="preserve">. Agregó, que todos los eventos de desplazamiento informados por medios de comunicación y organizaciones de la sociedad civil tuvieron lugar en zonas rurales. No obstante, los resultados del censo 2020 sugerirían que el desplazamiento urbano es frecuente. De forma particular, señaló que el estado de México </w:t>
      </w:r>
      <w:r w:rsidR="00220665">
        <w:rPr>
          <w:rFonts w:ascii="Cambria" w:eastAsia="Cambria" w:hAnsi="Cambria" w:cs="Cambria"/>
          <w:sz w:val="20"/>
          <w:szCs w:val="20"/>
          <w:lang w:val="es-MX"/>
        </w:rPr>
        <w:t xml:space="preserve">y </w:t>
      </w:r>
      <w:r w:rsidRPr="004E3E07">
        <w:rPr>
          <w:rFonts w:ascii="Cambria" w:eastAsia="Cambria" w:hAnsi="Cambria" w:cs="Cambria"/>
          <w:sz w:val="20"/>
          <w:szCs w:val="20"/>
          <w:lang w:val="es-MX"/>
        </w:rPr>
        <w:t>la Ciudad de México albergarían a un gran número de personas desplazadas internas</w:t>
      </w:r>
      <w:r w:rsidRPr="004E3E07">
        <w:rPr>
          <w:rFonts w:ascii="Cambria" w:eastAsia="Cambria" w:hAnsi="Cambria" w:cs="Cambria"/>
          <w:sz w:val="20"/>
          <w:szCs w:val="20"/>
          <w:vertAlign w:val="superscript"/>
          <w:lang w:val="es-MX"/>
        </w:rPr>
        <w:footnoteReference w:id="445"/>
      </w:r>
      <w:r w:rsidRPr="004E3E07">
        <w:rPr>
          <w:rFonts w:ascii="Cambria" w:eastAsia="Cambria" w:hAnsi="Cambria" w:cs="Cambria"/>
          <w:sz w:val="20"/>
          <w:szCs w:val="20"/>
          <w:lang w:val="es-MX"/>
        </w:rPr>
        <w:t>.</w:t>
      </w:r>
    </w:p>
    <w:p w14:paraId="2C00A270" w14:textId="7CBBBBB8" w:rsidR="00DA338A" w:rsidRPr="004E3E07" w:rsidRDefault="00B8656B" w:rsidP="00DA338A">
      <w:pPr>
        <w:numPr>
          <w:ilvl w:val="0"/>
          <w:numId w:val="5"/>
        </w:numPr>
        <w:shd w:val="clear" w:color="auto" w:fill="FFFFFF"/>
        <w:spacing w:after="240" w:line="240" w:lineRule="auto"/>
        <w:ind w:left="0" w:firstLine="720"/>
        <w:jc w:val="both"/>
        <w:rPr>
          <w:rFonts w:ascii="Cambria" w:eastAsia="Cambria" w:hAnsi="Cambria" w:cs="Cambria"/>
          <w:sz w:val="20"/>
          <w:szCs w:val="20"/>
          <w:lang w:val="es-MX"/>
        </w:rPr>
      </w:pPr>
      <w:r w:rsidRPr="004E3E07">
        <w:rPr>
          <w:rFonts w:ascii="Cambria" w:eastAsia="Cambria" w:hAnsi="Cambria" w:cs="Cambria"/>
          <w:sz w:val="20"/>
          <w:szCs w:val="20"/>
          <w:lang w:val="es-MX"/>
        </w:rPr>
        <w:t>Por su parte, las cifras más recientes de la Comisión Mexicana de Defensa y Promoción de los Derechos Humanos</w:t>
      </w:r>
      <w:r w:rsidR="00220665">
        <w:rPr>
          <w:rFonts w:ascii="Cambria" w:eastAsia="Cambria" w:hAnsi="Cambria" w:cs="Cambria"/>
          <w:sz w:val="20"/>
          <w:szCs w:val="20"/>
          <w:lang w:val="es-MX"/>
        </w:rPr>
        <w:t xml:space="preserve"> </w:t>
      </w:r>
      <w:r w:rsidRPr="004E3E07">
        <w:rPr>
          <w:rFonts w:ascii="Cambria" w:eastAsia="Cambria" w:hAnsi="Cambria" w:cs="Cambria"/>
          <w:sz w:val="20"/>
          <w:szCs w:val="20"/>
          <w:lang w:val="es-MX"/>
        </w:rPr>
        <w:t>(CMDPDH) señalan que hasta septiembre de 2021 se han reportado al menos 36.272 personas desplazadas forzosamente. Dichas cifras representan un aumento de más del 400% en comparación con el mismo periodo durante 2020</w:t>
      </w:r>
      <w:r w:rsidRPr="004E3E07">
        <w:rPr>
          <w:rFonts w:ascii="Cambria" w:eastAsia="Cambria" w:hAnsi="Cambria" w:cs="Cambria"/>
          <w:sz w:val="20"/>
          <w:szCs w:val="20"/>
          <w:vertAlign w:val="superscript"/>
          <w:lang w:val="es-MX"/>
        </w:rPr>
        <w:footnoteReference w:id="446"/>
      </w:r>
      <w:r w:rsidRPr="004E3E07">
        <w:rPr>
          <w:rFonts w:ascii="Cambria" w:eastAsia="Cambria" w:hAnsi="Cambria" w:cs="Cambria"/>
          <w:sz w:val="20"/>
          <w:szCs w:val="20"/>
          <w:lang w:val="es-MX"/>
        </w:rPr>
        <w:t>.</w:t>
      </w:r>
    </w:p>
    <w:p w14:paraId="372370F9" w14:textId="77777777" w:rsidR="00DA338A" w:rsidRPr="004E3E07" w:rsidRDefault="00B8656B" w:rsidP="00DA338A">
      <w:pPr>
        <w:numPr>
          <w:ilvl w:val="0"/>
          <w:numId w:val="5"/>
        </w:numPr>
        <w:shd w:val="clear" w:color="auto" w:fill="FFFFFF"/>
        <w:spacing w:after="240" w:line="240" w:lineRule="auto"/>
        <w:ind w:left="0" w:firstLine="720"/>
        <w:jc w:val="both"/>
        <w:rPr>
          <w:rFonts w:ascii="Cambria" w:eastAsia="Cambria" w:hAnsi="Cambria" w:cs="Cambria"/>
          <w:sz w:val="20"/>
          <w:szCs w:val="20"/>
          <w:lang w:val="es-MX"/>
        </w:rPr>
      </w:pPr>
      <w:r w:rsidRPr="004E3E07">
        <w:rPr>
          <w:rFonts w:ascii="Cambria" w:eastAsia="Cambria" w:hAnsi="Cambria" w:cs="Cambria"/>
          <w:sz w:val="20"/>
          <w:szCs w:val="20"/>
          <w:lang w:val="es-MX"/>
        </w:rPr>
        <w:t>De acuerdo con la información disponible, la CIDH concluye que la presente recomendación se encuentra pendiente de cumplimiento.</w:t>
      </w:r>
    </w:p>
    <w:p w14:paraId="545E09C8" w14:textId="7E3E0E2A" w:rsidR="00B8656B" w:rsidRPr="0042004B" w:rsidRDefault="00B8656B" w:rsidP="00DA338A">
      <w:pPr>
        <w:numPr>
          <w:ilvl w:val="0"/>
          <w:numId w:val="5"/>
        </w:numPr>
        <w:shd w:val="clear" w:color="auto" w:fill="FFFFFF"/>
        <w:spacing w:after="240" w:line="240" w:lineRule="auto"/>
        <w:ind w:left="0" w:firstLine="720"/>
        <w:jc w:val="both"/>
        <w:rPr>
          <w:rFonts w:ascii="Cambria" w:eastAsia="Cambria" w:hAnsi="Cambria" w:cs="Cambria"/>
          <w:sz w:val="20"/>
          <w:szCs w:val="20"/>
          <w:lang w:val="es-MX"/>
        </w:rPr>
      </w:pPr>
      <w:r w:rsidRPr="004E3E07">
        <w:rPr>
          <w:rFonts w:ascii="Cambria" w:eastAsia="Cambria" w:hAnsi="Cambria" w:cs="Cambria"/>
          <w:sz w:val="20"/>
          <w:szCs w:val="20"/>
          <w:lang w:val="es-MX"/>
        </w:rPr>
        <w:t xml:space="preserve">Respecto de las recomendaciones relativas a </w:t>
      </w:r>
      <w:r w:rsidRPr="004E3E07">
        <w:rPr>
          <w:rFonts w:ascii="Cambria" w:eastAsia="Cambria" w:hAnsi="Cambria" w:cs="Cambria"/>
          <w:b/>
          <w:sz w:val="20"/>
          <w:szCs w:val="20"/>
          <w:lang w:val="es-MX"/>
        </w:rPr>
        <w:t xml:space="preserve">adoptar legislación específica a nivel federal </w:t>
      </w:r>
      <w:r w:rsidRPr="0042004B">
        <w:rPr>
          <w:rFonts w:ascii="Cambria" w:eastAsia="Cambria" w:hAnsi="Cambria" w:cs="Cambria"/>
          <w:b/>
          <w:sz w:val="20"/>
          <w:szCs w:val="20"/>
          <w:lang w:val="es-MX"/>
        </w:rPr>
        <w:t>y estatal para abordar el desplazamiento interno, de conformidad con los Principios Rectores del Desplazamiento Interno</w:t>
      </w:r>
      <w:r w:rsidRPr="0042004B">
        <w:rPr>
          <w:rFonts w:ascii="Cambria" w:eastAsia="Cambria" w:hAnsi="Cambria" w:cs="Cambria"/>
          <w:sz w:val="20"/>
          <w:szCs w:val="20"/>
          <w:lang w:val="es-MX"/>
        </w:rPr>
        <w:t xml:space="preserve"> y </w:t>
      </w:r>
      <w:r w:rsidRPr="0042004B">
        <w:rPr>
          <w:rFonts w:ascii="Cambria" w:eastAsia="Cambria" w:hAnsi="Cambria" w:cs="Cambria"/>
          <w:b/>
          <w:sz w:val="20"/>
          <w:szCs w:val="20"/>
          <w:lang w:val="es-MX"/>
        </w:rPr>
        <w:t>asegurar que a nivel federal haya una institución a cargo de la protección de las personas contra el desplazamiento forzado</w:t>
      </w:r>
      <w:r w:rsidRPr="0042004B">
        <w:rPr>
          <w:rFonts w:ascii="Cambria" w:eastAsia="Cambria" w:hAnsi="Cambria" w:cs="Cambria"/>
          <w:sz w:val="20"/>
          <w:szCs w:val="20"/>
          <w:lang w:val="es-MX"/>
        </w:rPr>
        <w:t>, el Estado indicó que</w:t>
      </w:r>
      <w:r w:rsidR="008023CD" w:rsidRPr="0042004B">
        <w:rPr>
          <w:rFonts w:ascii="Cambria" w:eastAsia="Cambria" w:hAnsi="Cambria" w:cs="Cambria"/>
          <w:sz w:val="20"/>
          <w:szCs w:val="20"/>
          <w:lang w:val="es-MX"/>
        </w:rPr>
        <w:t>,</w:t>
      </w:r>
      <w:r w:rsidRPr="0042004B">
        <w:rPr>
          <w:rFonts w:ascii="Cambria" w:eastAsia="Cambria" w:hAnsi="Cambria" w:cs="Cambria"/>
          <w:sz w:val="20"/>
          <w:szCs w:val="20"/>
          <w:lang w:val="es-MX"/>
        </w:rPr>
        <w:t xml:space="preserve"> aunque existen </w:t>
      </w:r>
      <w:r w:rsidR="00897787" w:rsidRPr="0042004B">
        <w:rPr>
          <w:rFonts w:ascii="Cambria" w:eastAsia="Cambria" w:hAnsi="Cambria" w:cs="Cambria"/>
          <w:sz w:val="20"/>
          <w:szCs w:val="20"/>
          <w:lang w:val="es-MX"/>
        </w:rPr>
        <w:t>tres</w:t>
      </w:r>
      <w:r w:rsidRPr="0042004B">
        <w:rPr>
          <w:rFonts w:ascii="Cambria" w:eastAsia="Cambria" w:hAnsi="Cambria" w:cs="Cambria"/>
          <w:sz w:val="20"/>
          <w:szCs w:val="20"/>
          <w:lang w:val="es-MX"/>
        </w:rPr>
        <w:t xml:space="preserve"> entidades federativas que han emitido leyes en materia de desplazamiento forzado interno</w:t>
      </w:r>
      <w:r w:rsidR="00897787" w:rsidRPr="0042004B">
        <w:rPr>
          <w:rFonts w:ascii="Cambria" w:eastAsia="Cambria" w:hAnsi="Cambria" w:cs="Cambria"/>
          <w:sz w:val="20"/>
          <w:szCs w:val="20"/>
          <w:lang w:val="es-MX"/>
        </w:rPr>
        <w:t xml:space="preserve"> -Chiapas, Guerrero y Sinaola-</w:t>
      </w:r>
      <w:r w:rsidRPr="0042004B">
        <w:rPr>
          <w:rFonts w:ascii="Cambria" w:eastAsia="Cambria" w:hAnsi="Cambria" w:cs="Cambria"/>
          <w:sz w:val="20"/>
          <w:szCs w:val="20"/>
          <w:lang w:val="es-MX"/>
        </w:rPr>
        <w:t>, no se cuenta con información relativa a la aplicación de dichos mecanismos en casos particulares</w:t>
      </w:r>
      <w:r w:rsidRPr="0042004B">
        <w:rPr>
          <w:rFonts w:ascii="Cambria" w:eastAsia="Cambria" w:hAnsi="Cambria" w:cs="Cambria"/>
          <w:sz w:val="20"/>
          <w:szCs w:val="20"/>
          <w:vertAlign w:val="superscript"/>
          <w:lang w:val="es-MX"/>
        </w:rPr>
        <w:footnoteReference w:id="447"/>
      </w:r>
      <w:r w:rsidRPr="0042004B">
        <w:rPr>
          <w:rFonts w:ascii="Cambria" w:eastAsia="Cambria" w:hAnsi="Cambria" w:cs="Cambria"/>
          <w:sz w:val="20"/>
          <w:szCs w:val="20"/>
          <w:lang w:val="es-MX"/>
        </w:rPr>
        <w:t xml:space="preserve">. </w:t>
      </w:r>
    </w:p>
    <w:p w14:paraId="14606B52" w14:textId="5B3C5810" w:rsidR="002277F5" w:rsidRPr="004E3E07" w:rsidRDefault="00B8656B" w:rsidP="0029272C">
      <w:pPr>
        <w:numPr>
          <w:ilvl w:val="0"/>
          <w:numId w:val="5"/>
        </w:numPr>
        <w:shd w:val="clear" w:color="auto" w:fill="FFFFFF"/>
        <w:spacing w:after="240" w:line="240" w:lineRule="auto"/>
        <w:ind w:left="0" w:firstLine="720"/>
        <w:jc w:val="both"/>
        <w:rPr>
          <w:rFonts w:ascii="Cambria" w:eastAsia="Cambria" w:hAnsi="Cambria" w:cs="Cambria"/>
          <w:sz w:val="20"/>
          <w:szCs w:val="20"/>
          <w:lang w:val="es-MX"/>
        </w:rPr>
      </w:pPr>
      <w:r w:rsidRPr="0042004B">
        <w:rPr>
          <w:rFonts w:ascii="Cambria" w:eastAsia="Cambria" w:hAnsi="Cambria" w:cs="Cambria"/>
          <w:sz w:val="20"/>
          <w:szCs w:val="20"/>
          <w:lang w:val="es-MX"/>
        </w:rPr>
        <w:t>Al respecto, la Comisión ha considerado que los marcos normativos sobre desplazamiento</w:t>
      </w:r>
      <w:r w:rsidRPr="004E3E07">
        <w:rPr>
          <w:rFonts w:ascii="Cambria" w:eastAsia="Cambria" w:hAnsi="Cambria" w:cs="Cambria"/>
          <w:sz w:val="20"/>
          <w:szCs w:val="20"/>
          <w:lang w:val="es-MX"/>
        </w:rPr>
        <w:t xml:space="preserve"> interno que adopte el Estado deben identificar un punto focal institucional para supervisar su implementación, asignar roles y responsabilidades claras y facilitar la coordinación con otros actores gubernamentales y no gubernamentales, incluyendo la CNDH y organizaciones de la sociedad civil para la protección de la población desplazada interna</w:t>
      </w:r>
      <w:r w:rsidRPr="004E3E07">
        <w:rPr>
          <w:rFonts w:ascii="Cambria" w:eastAsia="Cambria" w:hAnsi="Cambria" w:cs="Cambria"/>
          <w:sz w:val="20"/>
          <w:szCs w:val="20"/>
          <w:vertAlign w:val="superscript"/>
          <w:lang w:val="es-MX"/>
        </w:rPr>
        <w:footnoteReference w:id="448"/>
      </w:r>
      <w:r w:rsidRPr="004E3E07">
        <w:rPr>
          <w:rFonts w:ascii="Cambria" w:eastAsia="Cambria" w:hAnsi="Cambria" w:cs="Cambria"/>
          <w:sz w:val="20"/>
          <w:szCs w:val="20"/>
          <w:lang w:val="es-MX"/>
        </w:rPr>
        <w:t>. Con base en la información analizada, la CIDH concluye que la recomendación se encuentra pendiente de cumplimiento.</w:t>
      </w:r>
    </w:p>
    <w:p w14:paraId="14606B53" w14:textId="77777777" w:rsidR="002277F5" w:rsidRPr="004E3E07" w:rsidRDefault="007E25FF">
      <w:pPr>
        <w:pStyle w:val="Heading3"/>
        <w:numPr>
          <w:ilvl w:val="2"/>
          <w:numId w:val="11"/>
        </w:numPr>
        <w:shd w:val="clear" w:color="auto" w:fill="auto"/>
        <w:spacing w:before="0"/>
        <w:ind w:left="1440" w:hanging="720"/>
        <w:rPr>
          <w:sz w:val="20"/>
          <w:szCs w:val="20"/>
        </w:rPr>
      </w:pPr>
      <w:r w:rsidRPr="004E3E07">
        <w:rPr>
          <w:sz w:val="20"/>
          <w:szCs w:val="20"/>
        </w:rPr>
        <w:t>Defensores y defensoras de derechos humanos</w:t>
      </w:r>
    </w:p>
    <w:p w14:paraId="14606B54" w14:textId="77777777" w:rsidR="002277F5" w:rsidRPr="004E3E07" w:rsidRDefault="007E25FF">
      <w:pPr>
        <w:numPr>
          <w:ilvl w:val="0"/>
          <w:numId w:val="12"/>
        </w:numPr>
        <w:pBdr>
          <w:top w:val="nil"/>
          <w:left w:val="nil"/>
          <w:bottom w:val="nil"/>
          <w:right w:val="nil"/>
          <w:between w:val="nil"/>
        </w:pBdr>
        <w:shd w:val="clear" w:color="auto" w:fill="D9D9D9"/>
        <w:spacing w:after="240" w:line="240" w:lineRule="auto"/>
        <w:ind w:hanging="720"/>
        <w:jc w:val="both"/>
        <w:rPr>
          <w:rFonts w:ascii="Cambria" w:eastAsia="Cambria" w:hAnsi="Cambria" w:cs="Cambria"/>
          <w:sz w:val="20"/>
          <w:szCs w:val="20"/>
          <w:lang w:val="es-MX"/>
        </w:rPr>
      </w:pPr>
      <w:r w:rsidRPr="004E3E07">
        <w:rPr>
          <w:rFonts w:ascii="Cambria" w:eastAsia="Cambria" w:hAnsi="Cambria" w:cs="Cambria"/>
          <w:sz w:val="20"/>
          <w:szCs w:val="20"/>
          <w:lang w:val="es-MX"/>
        </w:rPr>
        <w:t>Fortalecer las instancias encargadas de la protección de personas defensoras de derechos humanos y periodistas, para que estas puedan garantizar adecuadamente su vida e integridad. A su vez, se insta al Estado mexicano a incorporar las perspectivas de género y multicultural en el diseño y adopción de medidas de protección para defensoras y periodistas.</w:t>
      </w:r>
    </w:p>
    <w:p w14:paraId="1C596012" w14:textId="797AA4F3" w:rsidR="006030CF" w:rsidRPr="004E3E07" w:rsidRDefault="007E25FF" w:rsidP="006030CF">
      <w:pPr>
        <w:shd w:val="clear" w:color="auto" w:fill="FFFFFF"/>
        <w:spacing w:after="0" w:line="240" w:lineRule="auto"/>
        <w:jc w:val="both"/>
        <w:rPr>
          <w:rFonts w:ascii="Cambria" w:eastAsia="Cambria" w:hAnsi="Cambria" w:cs="Cambria"/>
          <w:sz w:val="20"/>
          <w:szCs w:val="20"/>
          <w:lang w:val="es-MX"/>
        </w:rPr>
      </w:pPr>
      <w:r w:rsidRPr="004E3E07">
        <w:rPr>
          <w:rFonts w:ascii="Cambria" w:eastAsia="Cambria" w:hAnsi="Cambria" w:cs="Cambria"/>
          <w:sz w:val="20"/>
          <w:szCs w:val="20"/>
          <w:lang w:val="es-MX"/>
        </w:rPr>
        <w:t xml:space="preserve"> </w:t>
      </w:r>
    </w:p>
    <w:p w14:paraId="0B9B3A50" w14:textId="5D18D365" w:rsidR="00897787" w:rsidRPr="00897787" w:rsidRDefault="006030CF" w:rsidP="00897787">
      <w:pPr>
        <w:numPr>
          <w:ilvl w:val="0"/>
          <w:numId w:val="5"/>
        </w:numPr>
        <w:shd w:val="clear" w:color="auto" w:fill="FFFFFF"/>
        <w:spacing w:after="0" w:line="240" w:lineRule="auto"/>
        <w:ind w:left="0" w:firstLine="720"/>
        <w:jc w:val="both"/>
        <w:rPr>
          <w:rFonts w:ascii="Cambria" w:eastAsia="Cambria" w:hAnsi="Cambria" w:cs="Cambria"/>
          <w:sz w:val="20"/>
          <w:szCs w:val="20"/>
          <w:lang w:val="es-MX"/>
        </w:rPr>
      </w:pPr>
      <w:r w:rsidRPr="004E3E07">
        <w:rPr>
          <w:rFonts w:ascii="Cambria" w:hAnsi="Cambria"/>
          <w:sz w:val="20"/>
          <w:szCs w:val="20"/>
          <w:lang w:val="es-MX"/>
        </w:rPr>
        <w:t xml:space="preserve">En cuanto a la recomendación </w:t>
      </w:r>
      <w:r w:rsidRPr="004E3E07">
        <w:rPr>
          <w:rFonts w:ascii="Cambria" w:hAnsi="Cambria"/>
          <w:b/>
          <w:bCs/>
          <w:sz w:val="20"/>
          <w:szCs w:val="20"/>
          <w:lang w:val="es-MX"/>
        </w:rPr>
        <w:t>de fortalecer las instancias encargadas de la protección de personas defensoras de derechos humanos y periodistas, para que estas puedan garantizar adecuadamente su vida e integridad</w:t>
      </w:r>
      <w:r w:rsidR="006715DB">
        <w:rPr>
          <w:rFonts w:ascii="Cambria" w:hAnsi="Cambria"/>
          <w:sz w:val="20"/>
          <w:szCs w:val="20"/>
          <w:lang w:val="es-MX"/>
        </w:rPr>
        <w:t>,</w:t>
      </w:r>
      <w:r w:rsidRPr="004E3E07">
        <w:rPr>
          <w:rFonts w:ascii="Cambria" w:hAnsi="Cambria"/>
          <w:sz w:val="20"/>
          <w:szCs w:val="20"/>
          <w:lang w:val="es-MX"/>
        </w:rPr>
        <w:t xml:space="preserve"> el Estado informó que continúa con el fortalecimiento de la Fiscalía Especial para la Atención de Delitos cometidos contra la Libertad de Expresión (FEADLE). Dicha autoridad, continúa elaborando capacitaciones</w:t>
      </w:r>
      <w:r w:rsidR="006715DB">
        <w:rPr>
          <w:rFonts w:ascii="Cambria" w:hAnsi="Cambria"/>
          <w:sz w:val="20"/>
          <w:szCs w:val="20"/>
          <w:lang w:val="es-MX"/>
        </w:rPr>
        <w:t xml:space="preserve"> a fin de</w:t>
      </w:r>
      <w:r w:rsidRPr="004E3E07">
        <w:rPr>
          <w:rFonts w:ascii="Cambria" w:hAnsi="Cambria"/>
          <w:sz w:val="20"/>
          <w:szCs w:val="20"/>
          <w:lang w:val="es-MX"/>
        </w:rPr>
        <w:t xml:space="preserve"> difundir información sobre la libertad de expresión, el sistema de alerta temprana, </w:t>
      </w:r>
      <w:r w:rsidR="008023CD">
        <w:rPr>
          <w:rFonts w:ascii="Cambria" w:hAnsi="Cambria"/>
          <w:sz w:val="20"/>
          <w:szCs w:val="20"/>
          <w:lang w:val="es-MX"/>
        </w:rPr>
        <w:t>sobre</w:t>
      </w:r>
      <w:r w:rsidRPr="004E3E07">
        <w:rPr>
          <w:rFonts w:ascii="Cambria" w:hAnsi="Cambria"/>
          <w:sz w:val="20"/>
          <w:szCs w:val="20"/>
          <w:lang w:val="es-MX"/>
        </w:rPr>
        <w:t xml:space="preserve"> cómo actuar en caso de ser víctima de un delito, y la cartilla de los derechos de los periodistas</w:t>
      </w:r>
      <w:r w:rsidRPr="004E3E07">
        <w:rPr>
          <w:rStyle w:val="FootnoteReference"/>
          <w:rFonts w:ascii="Cambria" w:hAnsi="Cambria"/>
          <w:sz w:val="20"/>
          <w:szCs w:val="20"/>
          <w:lang w:val="es-MX"/>
        </w:rPr>
        <w:footnoteReference w:id="449"/>
      </w:r>
      <w:r w:rsidRPr="004E3E07">
        <w:rPr>
          <w:rFonts w:ascii="Cambria" w:hAnsi="Cambria"/>
          <w:sz w:val="20"/>
          <w:szCs w:val="20"/>
          <w:lang w:val="es-MX"/>
        </w:rPr>
        <w:t>. El Estado no presentó información específica sobre el mecanismo de protección de personas defensoras o bien sobre medidas adoptadas para hacer frente a las situaciones de riesgo que enfrentan estos colectivos.</w:t>
      </w:r>
    </w:p>
    <w:p w14:paraId="1C72BCB5" w14:textId="77777777" w:rsidR="00897787" w:rsidRDefault="00897787" w:rsidP="00897787">
      <w:pPr>
        <w:shd w:val="clear" w:color="auto" w:fill="FFFFFF"/>
        <w:spacing w:after="0" w:line="240" w:lineRule="auto"/>
        <w:ind w:left="720"/>
        <w:jc w:val="both"/>
        <w:rPr>
          <w:rFonts w:ascii="Cambria" w:eastAsia="Cambria" w:hAnsi="Cambria" w:cs="Cambria"/>
          <w:sz w:val="20"/>
          <w:szCs w:val="20"/>
          <w:lang w:val="es-MX"/>
        </w:rPr>
      </w:pPr>
    </w:p>
    <w:p w14:paraId="580C9960" w14:textId="78BE3E9F" w:rsidR="00897787" w:rsidRPr="00F978E5" w:rsidRDefault="00897787" w:rsidP="00897787">
      <w:pPr>
        <w:numPr>
          <w:ilvl w:val="0"/>
          <w:numId w:val="5"/>
        </w:numPr>
        <w:shd w:val="clear" w:color="auto" w:fill="FFFFFF"/>
        <w:spacing w:after="0" w:line="240" w:lineRule="auto"/>
        <w:ind w:left="0" w:firstLine="720"/>
        <w:jc w:val="both"/>
        <w:rPr>
          <w:rFonts w:ascii="Cambria" w:eastAsia="Cambria" w:hAnsi="Cambria" w:cs="Cambria"/>
          <w:sz w:val="20"/>
          <w:szCs w:val="20"/>
          <w:lang w:val="es-MX"/>
        </w:rPr>
      </w:pPr>
      <w:r w:rsidRPr="00F978E5">
        <w:rPr>
          <w:rFonts w:ascii="Cambria" w:eastAsia="Cambria" w:hAnsi="Cambria" w:cs="Cambria"/>
          <w:sz w:val="20"/>
          <w:szCs w:val="20"/>
          <w:lang w:val="es-MX"/>
        </w:rPr>
        <w:t>En sus observaciones al proyecto del presente informe el Estado informó que el último año el presupuesto asignado al Mecanismo fue de $388,000,000.00 pesos mexicanos casi el doble en relación con años anteriores. De igual forma, se emprendió una estrategia de firma de convenios con los gobiernos de las entidades federativas con el propósito de generar una mejor coordinación de trabajo y recursos a lo largo de todo el país. Asimismo informó que se diseñó un proceso de participación para el año 2022, y que incluye la celebración de Diálogos Regionales que permitan la consulta y participación de la sociedad civil, personas defensoras de derechos humanos, periodistas, víctimas, familias y personas beneficiarias del Mecanismo que deriven en la construcción de la iniciativa de Ley General de Protección y Prevención a fin de crear un Sistema Nacional de Protección</w:t>
      </w:r>
      <w:r w:rsidRPr="00F978E5">
        <w:rPr>
          <w:rStyle w:val="FootnoteReference"/>
          <w:rFonts w:ascii="Cambria" w:eastAsia="Cambria" w:hAnsi="Cambria" w:cs="Cambria"/>
          <w:sz w:val="20"/>
          <w:szCs w:val="20"/>
          <w:lang w:val="es-MX"/>
        </w:rPr>
        <w:footnoteReference w:id="450"/>
      </w:r>
      <w:r w:rsidRPr="00F978E5">
        <w:rPr>
          <w:rFonts w:ascii="Cambria" w:eastAsia="Cambria" w:hAnsi="Cambria" w:cs="Cambria"/>
          <w:sz w:val="20"/>
          <w:szCs w:val="20"/>
          <w:lang w:val="es-MX"/>
        </w:rPr>
        <w:t>.</w:t>
      </w:r>
    </w:p>
    <w:p w14:paraId="17961C24" w14:textId="77777777" w:rsidR="006030CF" w:rsidRPr="00F978E5" w:rsidRDefault="006030CF" w:rsidP="006030CF">
      <w:pPr>
        <w:shd w:val="clear" w:color="auto" w:fill="FFFFFF"/>
        <w:spacing w:after="0" w:line="240" w:lineRule="auto"/>
        <w:ind w:left="720"/>
        <w:jc w:val="both"/>
        <w:rPr>
          <w:rFonts w:ascii="Cambria" w:eastAsia="Cambria" w:hAnsi="Cambria" w:cs="Cambria"/>
          <w:sz w:val="20"/>
          <w:szCs w:val="20"/>
          <w:lang w:val="es-MX"/>
        </w:rPr>
      </w:pPr>
    </w:p>
    <w:p w14:paraId="7A9D4A53" w14:textId="4C7E2952" w:rsidR="006030CF" w:rsidRPr="004E3E07" w:rsidRDefault="006030CF" w:rsidP="006030CF">
      <w:pPr>
        <w:numPr>
          <w:ilvl w:val="0"/>
          <w:numId w:val="5"/>
        </w:numPr>
        <w:shd w:val="clear" w:color="auto" w:fill="FFFFFF"/>
        <w:spacing w:after="0" w:line="240" w:lineRule="auto"/>
        <w:ind w:left="0" w:firstLine="720"/>
        <w:jc w:val="both"/>
        <w:rPr>
          <w:rFonts w:ascii="Cambria" w:eastAsia="Cambria" w:hAnsi="Cambria" w:cs="Cambria"/>
          <w:sz w:val="20"/>
          <w:szCs w:val="20"/>
          <w:lang w:val="es-MX"/>
        </w:rPr>
      </w:pPr>
      <w:r w:rsidRPr="00F978E5">
        <w:rPr>
          <w:rFonts w:ascii="Cambria" w:hAnsi="Cambria"/>
          <w:sz w:val="20"/>
          <w:szCs w:val="20"/>
          <w:lang w:val="es-MX"/>
        </w:rPr>
        <w:t>No obstante, la Comisión conoce que el Mecanismo Nacional de Protección para Personas Defensoras actualmente protegería a 1.506 personas, de las cuales 1.011 son personas defensoras y 495</w:t>
      </w:r>
      <w:r w:rsidRPr="004E3E07">
        <w:rPr>
          <w:rFonts w:ascii="Cambria" w:hAnsi="Cambria"/>
          <w:sz w:val="20"/>
          <w:szCs w:val="20"/>
          <w:lang w:val="es-MX"/>
        </w:rPr>
        <w:t xml:space="preserve"> personas son periodistas</w:t>
      </w:r>
      <w:r w:rsidRPr="004E3E07">
        <w:rPr>
          <w:rStyle w:val="FootnoteReference"/>
          <w:rFonts w:ascii="Cambria" w:hAnsi="Cambria"/>
          <w:sz w:val="20"/>
          <w:szCs w:val="20"/>
          <w:lang w:val="es-MX"/>
        </w:rPr>
        <w:footnoteReference w:id="451"/>
      </w:r>
      <w:r w:rsidRPr="004E3E07">
        <w:rPr>
          <w:rFonts w:ascii="Cambria" w:hAnsi="Cambria"/>
          <w:sz w:val="20"/>
          <w:szCs w:val="20"/>
          <w:lang w:val="es-MX"/>
        </w:rPr>
        <w:t xml:space="preserve">. Sin embargo, preocupa a la Comisión que, tal y como se señaló en párrafos anteriores, la falta de presupuesto y de recursos humanos del Mecanismo de Protección no resulten suficientes para su efectivo funcionamiento. </w:t>
      </w:r>
    </w:p>
    <w:p w14:paraId="1F040988" w14:textId="702208E7" w:rsidR="006030CF" w:rsidRPr="00220665" w:rsidRDefault="006030CF" w:rsidP="006030CF">
      <w:pPr>
        <w:shd w:val="clear" w:color="auto" w:fill="FFFFFF"/>
        <w:spacing w:after="0" w:line="240" w:lineRule="auto"/>
        <w:ind w:left="720"/>
        <w:jc w:val="both"/>
        <w:rPr>
          <w:rFonts w:ascii="Cambria" w:eastAsia="Cambria" w:hAnsi="Cambria" w:cs="Cambria"/>
          <w:b/>
          <w:bCs/>
          <w:sz w:val="20"/>
          <w:szCs w:val="20"/>
          <w:lang w:val="es-MX"/>
        </w:rPr>
      </w:pPr>
    </w:p>
    <w:p w14:paraId="3EB6630A" w14:textId="74CE8EDB" w:rsidR="006030CF" w:rsidRPr="004E3E07" w:rsidRDefault="006030CF" w:rsidP="006030CF">
      <w:pPr>
        <w:numPr>
          <w:ilvl w:val="0"/>
          <w:numId w:val="5"/>
        </w:numPr>
        <w:shd w:val="clear" w:color="auto" w:fill="FFFFFF"/>
        <w:spacing w:after="0" w:line="240" w:lineRule="auto"/>
        <w:ind w:left="0" w:firstLine="720"/>
        <w:jc w:val="both"/>
        <w:rPr>
          <w:rFonts w:ascii="Cambria" w:eastAsia="Cambria" w:hAnsi="Cambria" w:cs="Cambria"/>
          <w:sz w:val="20"/>
          <w:szCs w:val="20"/>
          <w:lang w:val="es-MX"/>
        </w:rPr>
      </w:pPr>
      <w:r w:rsidRPr="004E3E07">
        <w:rPr>
          <w:rFonts w:ascii="Cambria" w:hAnsi="Cambria"/>
          <w:sz w:val="20"/>
          <w:szCs w:val="20"/>
          <w:lang w:val="es-MX"/>
        </w:rPr>
        <w:t>En esa línea, la Comisión ha observado que la violencia contra personas defensoras se ha mantenido durante el 2021. Al respecto, desde enero hasta inicios de noviembre de 2021 la Comisión recibió información sobre el asesinato de al menos 10 personas defensoras</w:t>
      </w:r>
      <w:r w:rsidRPr="004E3E07">
        <w:rPr>
          <w:rStyle w:val="FootnoteReference"/>
          <w:rFonts w:ascii="Cambria" w:hAnsi="Cambria"/>
          <w:sz w:val="20"/>
          <w:szCs w:val="20"/>
          <w:lang w:val="es-MX"/>
        </w:rPr>
        <w:footnoteReference w:id="452"/>
      </w:r>
      <w:r w:rsidRPr="004E3E07">
        <w:rPr>
          <w:rFonts w:ascii="Cambria" w:hAnsi="Cambria"/>
          <w:sz w:val="20"/>
          <w:szCs w:val="20"/>
          <w:lang w:val="es-MX"/>
        </w:rPr>
        <w:t>. En particular, la Comisión observo que esta situación de violencia se ha visto especialmente reflejada contra personas defensoras indígenas, del</w:t>
      </w:r>
      <w:r w:rsidR="00220665">
        <w:rPr>
          <w:rFonts w:ascii="Cambria" w:hAnsi="Cambria"/>
          <w:sz w:val="20"/>
          <w:szCs w:val="20"/>
          <w:lang w:val="es-MX"/>
        </w:rPr>
        <w:t xml:space="preserve"> </w:t>
      </w:r>
      <w:r w:rsidRPr="004E3E07">
        <w:rPr>
          <w:rFonts w:ascii="Cambria" w:hAnsi="Cambria"/>
          <w:sz w:val="20"/>
          <w:szCs w:val="20"/>
          <w:lang w:val="es-MX"/>
        </w:rPr>
        <w:t>ambiente</w:t>
      </w:r>
      <w:r w:rsidRPr="004E3E07">
        <w:rPr>
          <w:rStyle w:val="FootnoteReference"/>
          <w:rFonts w:ascii="Cambria" w:hAnsi="Cambria"/>
          <w:sz w:val="20"/>
          <w:szCs w:val="20"/>
          <w:lang w:val="es-MX"/>
        </w:rPr>
        <w:footnoteReference w:id="453"/>
      </w:r>
      <w:r w:rsidRPr="004E3E07">
        <w:rPr>
          <w:rFonts w:ascii="Cambria" w:hAnsi="Cambria"/>
          <w:sz w:val="20"/>
          <w:szCs w:val="20"/>
          <w:lang w:val="es-MX"/>
        </w:rPr>
        <w:t xml:space="preserve"> y colectivos de familiares de personas desaparecidas</w:t>
      </w:r>
      <w:r w:rsidRPr="004E3E07">
        <w:rPr>
          <w:rStyle w:val="FootnoteReference"/>
          <w:rFonts w:ascii="Cambria" w:hAnsi="Cambria"/>
          <w:sz w:val="20"/>
          <w:szCs w:val="20"/>
          <w:lang w:val="es-MX"/>
        </w:rPr>
        <w:footnoteReference w:id="454"/>
      </w:r>
      <w:r w:rsidRPr="004E3E07">
        <w:rPr>
          <w:rFonts w:ascii="Cambria" w:hAnsi="Cambria"/>
          <w:sz w:val="20"/>
          <w:szCs w:val="20"/>
          <w:lang w:val="es-MX"/>
        </w:rPr>
        <w:t xml:space="preserve">. La Comisión conoció sobre el asesinato del defensor ambiental Fidel Heras Cruz, ocurrido el 23 de enero de 2021 en la comunidad La Esperanza, municipio de Santiago </w:t>
      </w:r>
      <w:r w:rsidR="008016E7" w:rsidRPr="004E3E07">
        <w:rPr>
          <w:rFonts w:ascii="Cambria" w:hAnsi="Cambria"/>
          <w:sz w:val="20"/>
          <w:szCs w:val="20"/>
          <w:lang w:val="es-MX"/>
        </w:rPr>
        <w:t>Jaltepec</w:t>
      </w:r>
      <w:r w:rsidRPr="004E3E07">
        <w:rPr>
          <w:rFonts w:ascii="Cambria" w:hAnsi="Cambria"/>
          <w:sz w:val="20"/>
          <w:szCs w:val="20"/>
          <w:lang w:val="es-MX"/>
        </w:rPr>
        <w:t>, estado de Oaxaca</w:t>
      </w:r>
      <w:r w:rsidRPr="004E3E07">
        <w:rPr>
          <w:rStyle w:val="FootnoteReference"/>
          <w:rFonts w:ascii="Cambria" w:hAnsi="Cambria"/>
          <w:sz w:val="20"/>
          <w:szCs w:val="20"/>
          <w:lang w:val="es-MX"/>
        </w:rPr>
        <w:footnoteReference w:id="455"/>
      </w:r>
      <w:r w:rsidRPr="004E3E07">
        <w:rPr>
          <w:rFonts w:ascii="Cambria" w:hAnsi="Cambria"/>
          <w:sz w:val="20"/>
          <w:szCs w:val="20"/>
          <w:lang w:val="es-MX"/>
        </w:rPr>
        <w:t>. De igual manera, condenó el asesinato de Simón Pérez, defensor de pueblos indígenas e integrante de la organización Las Abejas de Acteal, ocurrido según información pública el 5 de julio de 2021 en Simojovel, Chiapas</w:t>
      </w:r>
      <w:r w:rsidRPr="004E3E07">
        <w:rPr>
          <w:rStyle w:val="FootnoteReference"/>
          <w:rFonts w:ascii="Cambria" w:hAnsi="Cambria"/>
          <w:sz w:val="20"/>
          <w:szCs w:val="20"/>
          <w:lang w:val="es-MX"/>
        </w:rPr>
        <w:footnoteReference w:id="456"/>
      </w:r>
      <w:r w:rsidRPr="004E3E07">
        <w:rPr>
          <w:rFonts w:ascii="Cambria" w:hAnsi="Cambria"/>
          <w:sz w:val="20"/>
          <w:szCs w:val="20"/>
          <w:lang w:val="es-MX"/>
        </w:rPr>
        <w:t xml:space="preserve">. </w:t>
      </w:r>
      <w:r w:rsidR="008023CD">
        <w:rPr>
          <w:rFonts w:ascii="Cambria" w:hAnsi="Cambria"/>
          <w:sz w:val="20"/>
          <w:szCs w:val="20"/>
          <w:lang w:val="es-MX"/>
        </w:rPr>
        <w:t>Además</w:t>
      </w:r>
      <w:r w:rsidRPr="004E3E07">
        <w:rPr>
          <w:rFonts w:ascii="Cambria" w:hAnsi="Cambria"/>
          <w:sz w:val="20"/>
          <w:szCs w:val="20"/>
          <w:lang w:val="es-MX"/>
        </w:rPr>
        <w:t xml:space="preserve">, la Comisión recibió información sobre la desaparición de tres mujeres defensoras durante el 2021, </w:t>
      </w:r>
      <w:r w:rsidR="008023CD">
        <w:rPr>
          <w:rFonts w:ascii="Cambria" w:hAnsi="Cambria"/>
          <w:sz w:val="20"/>
          <w:szCs w:val="20"/>
          <w:lang w:val="es-MX"/>
        </w:rPr>
        <w:t>en particular, las desapariciones de</w:t>
      </w:r>
      <w:r w:rsidRPr="00BA6325">
        <w:rPr>
          <w:rFonts w:ascii="Cambria" w:hAnsi="Cambria"/>
          <w:sz w:val="20"/>
          <w:szCs w:val="20"/>
          <w:lang w:val="es-MX"/>
        </w:rPr>
        <w:t xml:space="preserve"> </w:t>
      </w:r>
      <w:r w:rsidRPr="004E3E07">
        <w:rPr>
          <w:rFonts w:ascii="Cambria" w:hAnsi="Cambria"/>
          <w:sz w:val="20"/>
          <w:szCs w:val="20"/>
          <w:lang w:val="es-MX"/>
        </w:rPr>
        <w:t xml:space="preserve">Claudia Uruchurtu Cruz en Nochixtlán, Oaxaca, y </w:t>
      </w:r>
      <w:r w:rsidR="008023CD">
        <w:rPr>
          <w:rFonts w:ascii="Cambria" w:hAnsi="Cambria"/>
          <w:sz w:val="20"/>
          <w:szCs w:val="20"/>
          <w:lang w:val="es-MX"/>
        </w:rPr>
        <w:t xml:space="preserve"> de </w:t>
      </w:r>
      <w:r w:rsidRPr="004E3E07">
        <w:rPr>
          <w:rFonts w:ascii="Cambria" w:hAnsi="Cambria"/>
          <w:sz w:val="20"/>
          <w:szCs w:val="20"/>
          <w:lang w:val="es-MX"/>
        </w:rPr>
        <w:t>Grisell Pérez Rivera en Tlalmanalco, Estado de México</w:t>
      </w:r>
      <w:r w:rsidR="008023CD">
        <w:rPr>
          <w:rFonts w:ascii="Cambria" w:hAnsi="Cambria"/>
          <w:sz w:val="20"/>
          <w:szCs w:val="20"/>
          <w:lang w:val="es-MX"/>
        </w:rPr>
        <w:t xml:space="preserve">, </w:t>
      </w:r>
      <w:r w:rsidRPr="004E3E07">
        <w:rPr>
          <w:rFonts w:ascii="Cambria" w:hAnsi="Cambria"/>
          <w:sz w:val="20"/>
          <w:szCs w:val="20"/>
          <w:lang w:val="es-MX"/>
        </w:rPr>
        <w:t xml:space="preserve">ambas </w:t>
      </w:r>
      <w:r w:rsidR="008023CD">
        <w:rPr>
          <w:rFonts w:ascii="Cambria" w:hAnsi="Cambria"/>
          <w:sz w:val="20"/>
          <w:szCs w:val="20"/>
          <w:lang w:val="es-MX"/>
        </w:rPr>
        <w:t xml:space="preserve">ocurridas </w:t>
      </w:r>
      <w:r w:rsidRPr="004E3E07">
        <w:rPr>
          <w:rFonts w:ascii="Cambria" w:hAnsi="Cambria"/>
          <w:sz w:val="20"/>
          <w:szCs w:val="20"/>
          <w:lang w:val="es-MX"/>
        </w:rPr>
        <w:t xml:space="preserve">en marzo </w:t>
      </w:r>
      <w:r w:rsidR="008023CD">
        <w:rPr>
          <w:rFonts w:ascii="Cambria" w:hAnsi="Cambria"/>
          <w:sz w:val="20"/>
          <w:szCs w:val="20"/>
          <w:lang w:val="es-MX"/>
        </w:rPr>
        <w:t>de 2021, así como la desaparición de</w:t>
      </w:r>
      <w:r w:rsidRPr="004E3E07">
        <w:rPr>
          <w:rFonts w:ascii="Cambria" w:hAnsi="Cambria"/>
          <w:sz w:val="20"/>
          <w:szCs w:val="20"/>
          <w:lang w:val="es-MX"/>
        </w:rPr>
        <w:t xml:space="preserve"> Irma Galindo Barrios en octubre </w:t>
      </w:r>
      <w:r w:rsidR="008023CD">
        <w:rPr>
          <w:rFonts w:ascii="Cambria" w:hAnsi="Cambria"/>
          <w:sz w:val="20"/>
          <w:szCs w:val="20"/>
          <w:lang w:val="es-MX"/>
        </w:rPr>
        <w:t xml:space="preserve">de 2021 </w:t>
      </w:r>
      <w:r w:rsidRPr="004E3E07">
        <w:rPr>
          <w:rFonts w:ascii="Cambria" w:hAnsi="Cambria"/>
          <w:sz w:val="20"/>
          <w:szCs w:val="20"/>
          <w:lang w:val="es-MX"/>
        </w:rPr>
        <w:t>en Oaxaca</w:t>
      </w:r>
      <w:r w:rsidRPr="004E3E07">
        <w:rPr>
          <w:rStyle w:val="FootnoteReference"/>
          <w:rFonts w:ascii="Cambria" w:hAnsi="Cambria"/>
          <w:sz w:val="20"/>
          <w:szCs w:val="20"/>
          <w:lang w:val="es-MX"/>
        </w:rPr>
        <w:footnoteReference w:id="457"/>
      </w:r>
      <w:r w:rsidRPr="004E3E07">
        <w:rPr>
          <w:rFonts w:ascii="Cambria" w:hAnsi="Cambria"/>
          <w:sz w:val="20"/>
          <w:szCs w:val="20"/>
          <w:lang w:val="es-MX"/>
        </w:rPr>
        <w:t>.</w:t>
      </w:r>
    </w:p>
    <w:p w14:paraId="632BC2CB" w14:textId="77777777" w:rsidR="006030CF" w:rsidRPr="004E3E07" w:rsidRDefault="006030CF" w:rsidP="006030CF">
      <w:pPr>
        <w:shd w:val="clear" w:color="auto" w:fill="FFFFFF"/>
        <w:spacing w:after="0" w:line="240" w:lineRule="auto"/>
        <w:ind w:left="720"/>
        <w:jc w:val="both"/>
        <w:rPr>
          <w:rFonts w:ascii="Cambria" w:eastAsia="Cambria" w:hAnsi="Cambria" w:cs="Cambria"/>
          <w:sz w:val="20"/>
          <w:szCs w:val="20"/>
          <w:lang w:val="es-MX"/>
        </w:rPr>
      </w:pPr>
    </w:p>
    <w:p w14:paraId="23EE26E2" w14:textId="24797C93" w:rsidR="006030CF" w:rsidRPr="004E3E07" w:rsidRDefault="006030CF" w:rsidP="006030CF">
      <w:pPr>
        <w:numPr>
          <w:ilvl w:val="0"/>
          <w:numId w:val="5"/>
        </w:numPr>
        <w:shd w:val="clear" w:color="auto" w:fill="FFFFFF"/>
        <w:spacing w:after="0" w:line="240" w:lineRule="auto"/>
        <w:ind w:left="0" w:firstLine="720"/>
        <w:jc w:val="both"/>
        <w:rPr>
          <w:rFonts w:ascii="Cambria" w:eastAsia="Cambria" w:hAnsi="Cambria" w:cs="Cambria"/>
          <w:sz w:val="20"/>
          <w:szCs w:val="20"/>
          <w:lang w:val="es-MX"/>
        </w:rPr>
      </w:pPr>
      <w:r w:rsidRPr="004E3E07">
        <w:rPr>
          <w:rFonts w:ascii="Cambria" w:hAnsi="Cambria"/>
          <w:sz w:val="20"/>
          <w:szCs w:val="20"/>
          <w:lang w:val="es-MX"/>
        </w:rPr>
        <w:t>Por otra parte, preocupa a la Comisión la falta de avances en las investigaciones de los delitos contra personas defensoras de derechos humanos. Al respecto, la Comisión conoce que los asesinatos de personas defensoras en México registrarían un 98% de impunidad</w:t>
      </w:r>
      <w:r w:rsidRPr="004E3E07">
        <w:rPr>
          <w:rStyle w:val="FootnoteReference"/>
          <w:rFonts w:ascii="Cambria" w:hAnsi="Cambria"/>
          <w:sz w:val="20"/>
          <w:szCs w:val="20"/>
          <w:lang w:val="es-MX"/>
        </w:rPr>
        <w:footnoteReference w:id="458"/>
      </w:r>
      <w:r w:rsidRPr="004E3E07">
        <w:rPr>
          <w:rFonts w:ascii="Cambria" w:hAnsi="Cambria"/>
          <w:sz w:val="20"/>
          <w:szCs w:val="20"/>
          <w:lang w:val="es-MX"/>
        </w:rPr>
        <w:t>. La CIDH recuerda al Estado que el medio más eficaz para proteger a las personas defensoras de derechos humanos es investigar eficazmente los actos de violencia en su contra y sancionar a los responsables, con el fin de identificar y resolver las causas; y así evitar su repetición</w:t>
      </w:r>
      <w:r w:rsidRPr="004E3E07">
        <w:rPr>
          <w:rStyle w:val="FootnoteReference"/>
          <w:rFonts w:ascii="Cambria" w:hAnsi="Cambria"/>
          <w:sz w:val="20"/>
          <w:szCs w:val="20"/>
          <w:lang w:val="es-MX"/>
        </w:rPr>
        <w:footnoteReference w:id="459"/>
      </w:r>
      <w:r w:rsidRPr="004E3E07">
        <w:rPr>
          <w:rFonts w:ascii="Cambria" w:hAnsi="Cambria"/>
          <w:sz w:val="20"/>
          <w:szCs w:val="20"/>
          <w:lang w:val="es-MX"/>
        </w:rPr>
        <w:t xml:space="preserve">. </w:t>
      </w:r>
    </w:p>
    <w:p w14:paraId="3018DFE0" w14:textId="77777777" w:rsidR="006030CF" w:rsidRPr="004E3E07" w:rsidRDefault="006030CF" w:rsidP="006030CF">
      <w:pPr>
        <w:shd w:val="clear" w:color="auto" w:fill="FFFFFF"/>
        <w:spacing w:after="0" w:line="240" w:lineRule="auto"/>
        <w:ind w:left="720"/>
        <w:jc w:val="both"/>
        <w:rPr>
          <w:rFonts w:ascii="Cambria" w:eastAsia="Cambria" w:hAnsi="Cambria" w:cs="Cambria"/>
          <w:sz w:val="20"/>
          <w:szCs w:val="20"/>
          <w:lang w:val="es-MX"/>
        </w:rPr>
      </w:pPr>
    </w:p>
    <w:p w14:paraId="7C41B625" w14:textId="3355883E" w:rsidR="006030CF" w:rsidRPr="004E3E07" w:rsidRDefault="006030CF" w:rsidP="006030CF">
      <w:pPr>
        <w:numPr>
          <w:ilvl w:val="0"/>
          <w:numId w:val="5"/>
        </w:numPr>
        <w:shd w:val="clear" w:color="auto" w:fill="FFFFFF"/>
        <w:spacing w:after="0" w:line="240" w:lineRule="auto"/>
        <w:ind w:left="0" w:firstLine="720"/>
        <w:jc w:val="both"/>
        <w:rPr>
          <w:rFonts w:ascii="Cambria" w:eastAsia="Cambria" w:hAnsi="Cambria" w:cs="Cambria"/>
          <w:sz w:val="20"/>
          <w:szCs w:val="20"/>
          <w:lang w:val="es-MX"/>
        </w:rPr>
      </w:pPr>
      <w:r w:rsidRPr="004E3E07">
        <w:rPr>
          <w:rFonts w:ascii="Cambria" w:hAnsi="Cambria"/>
          <w:sz w:val="20"/>
          <w:szCs w:val="20"/>
          <w:lang w:val="es-MX"/>
        </w:rPr>
        <w:t xml:space="preserve">Con base en las consideraciones anteriores, la Comisión no cuenta con información suficiente para analizar las medidas adoptadas por el Estado para fortalecer instancias encargadas de la protección de personas defensoras de derechos humanos y periodistas. Por el contrario, de la información recibida a través de sus actividades de monitoreo, la CIDH observa la persistencia de actos de violencia contra personas defensoras de derechos humanos, así como de altos niveles de impunidad sobre estos delitos. Por lo anterior, la CIDH estima que la presente recomendación mantiene su calificación de </w:t>
      </w:r>
      <w:r w:rsidRPr="005229D4">
        <w:rPr>
          <w:rFonts w:ascii="Cambria" w:hAnsi="Cambria"/>
          <w:sz w:val="20"/>
          <w:szCs w:val="20"/>
          <w:lang w:val="es-MX"/>
        </w:rPr>
        <w:t>cumplimiento parcial.</w:t>
      </w:r>
    </w:p>
    <w:p w14:paraId="14606B5C" w14:textId="77777777" w:rsidR="002277F5" w:rsidRPr="004E3E07" w:rsidRDefault="002277F5">
      <w:pPr>
        <w:pBdr>
          <w:top w:val="nil"/>
          <w:left w:val="nil"/>
          <w:bottom w:val="nil"/>
          <w:right w:val="nil"/>
          <w:between w:val="nil"/>
        </w:pBdr>
        <w:spacing w:after="0" w:line="240" w:lineRule="auto"/>
        <w:ind w:left="720"/>
        <w:jc w:val="both"/>
        <w:rPr>
          <w:rFonts w:ascii="Cambria" w:eastAsia="Cambria" w:hAnsi="Cambria" w:cs="Cambria"/>
          <w:sz w:val="20"/>
          <w:szCs w:val="20"/>
          <w:lang w:val="es-MX"/>
        </w:rPr>
      </w:pPr>
    </w:p>
    <w:p w14:paraId="14606B5D" w14:textId="77777777" w:rsidR="002277F5" w:rsidRPr="004E3E07" w:rsidRDefault="007E25FF">
      <w:pPr>
        <w:pStyle w:val="Heading3"/>
        <w:numPr>
          <w:ilvl w:val="2"/>
          <w:numId w:val="11"/>
        </w:numPr>
        <w:shd w:val="clear" w:color="auto" w:fill="auto"/>
        <w:spacing w:before="0"/>
        <w:ind w:left="1440" w:hanging="720"/>
        <w:rPr>
          <w:b w:val="0"/>
          <w:sz w:val="20"/>
          <w:szCs w:val="20"/>
        </w:rPr>
      </w:pPr>
      <w:r w:rsidRPr="004E3E07">
        <w:rPr>
          <w:sz w:val="20"/>
          <w:szCs w:val="20"/>
        </w:rPr>
        <w:t>Libertad de expresión</w:t>
      </w:r>
      <w:r w:rsidRPr="004E3E07">
        <w:rPr>
          <w:b w:val="0"/>
          <w:sz w:val="20"/>
          <w:szCs w:val="20"/>
          <w:vertAlign w:val="superscript"/>
        </w:rPr>
        <w:footnoteReference w:id="460"/>
      </w:r>
    </w:p>
    <w:p w14:paraId="14606B5E" w14:textId="77777777" w:rsidR="002277F5" w:rsidRPr="004E3E07" w:rsidRDefault="007E25FF">
      <w:pPr>
        <w:numPr>
          <w:ilvl w:val="0"/>
          <w:numId w:val="12"/>
        </w:numPr>
        <w:pBdr>
          <w:top w:val="nil"/>
          <w:left w:val="nil"/>
          <w:bottom w:val="nil"/>
          <w:right w:val="nil"/>
          <w:between w:val="nil"/>
        </w:pBdr>
        <w:shd w:val="clear" w:color="auto" w:fill="D9D9D9"/>
        <w:spacing w:after="0" w:line="240" w:lineRule="auto"/>
        <w:ind w:hanging="720"/>
        <w:jc w:val="both"/>
        <w:rPr>
          <w:rFonts w:ascii="Cambria" w:hAnsi="Cambria"/>
          <w:lang w:val="es-MX"/>
        </w:rPr>
      </w:pPr>
      <w:r w:rsidRPr="004E3E07">
        <w:rPr>
          <w:rFonts w:ascii="Cambria" w:eastAsia="Cambria" w:hAnsi="Cambria" w:cs="Cambria"/>
          <w:sz w:val="20"/>
          <w:szCs w:val="20"/>
          <w:lang w:val="es-MX"/>
        </w:rPr>
        <w:t xml:space="preserve">Reconocer, desde las más altas esferas del Estado, la legitimidad y el valor de la labor periodística y condenar las agresiones cometidas como represalia al ejercicio de la libertad de expresión. </w:t>
      </w:r>
    </w:p>
    <w:p w14:paraId="14606B5F" w14:textId="77777777" w:rsidR="002277F5" w:rsidRPr="004E3E07" w:rsidRDefault="007E25FF">
      <w:pPr>
        <w:numPr>
          <w:ilvl w:val="0"/>
          <w:numId w:val="12"/>
        </w:numPr>
        <w:pBdr>
          <w:top w:val="nil"/>
          <w:left w:val="nil"/>
          <w:bottom w:val="nil"/>
          <w:right w:val="nil"/>
          <w:between w:val="nil"/>
        </w:pBdr>
        <w:shd w:val="clear" w:color="auto" w:fill="D9D9D9"/>
        <w:spacing w:after="0" w:line="240" w:lineRule="auto"/>
        <w:ind w:hanging="720"/>
        <w:jc w:val="both"/>
        <w:rPr>
          <w:rFonts w:ascii="Cambria" w:hAnsi="Cambria"/>
          <w:lang w:val="es-MX"/>
        </w:rPr>
      </w:pPr>
      <w:r w:rsidRPr="004E3E07">
        <w:rPr>
          <w:rFonts w:ascii="Cambria" w:eastAsia="Cambria" w:hAnsi="Cambria" w:cs="Cambria"/>
          <w:sz w:val="20"/>
          <w:szCs w:val="20"/>
          <w:lang w:val="es-MX"/>
        </w:rPr>
        <w:t>Definir una metodología única para generar y publicar estadísticas detalladas y desagregadas sobre violencia contra periodistas e investigaciones de las agresiones, así como sobre las medidas de protección adoptadas. Definir una autoridad estatal como encargada de capturar la información y publicar las estadísticas e informar a los distintos actores sobre los desafíos que surjan en la aplicación de dicha metodología.</w:t>
      </w:r>
    </w:p>
    <w:p w14:paraId="14606B60" w14:textId="77777777" w:rsidR="002277F5" w:rsidRPr="004E3E07" w:rsidRDefault="007E25FF">
      <w:pPr>
        <w:numPr>
          <w:ilvl w:val="0"/>
          <w:numId w:val="12"/>
        </w:numPr>
        <w:pBdr>
          <w:top w:val="nil"/>
          <w:left w:val="nil"/>
          <w:bottom w:val="nil"/>
          <w:right w:val="nil"/>
          <w:between w:val="nil"/>
        </w:pBdr>
        <w:shd w:val="clear" w:color="auto" w:fill="D9D9D9"/>
        <w:spacing w:after="0" w:line="240" w:lineRule="auto"/>
        <w:ind w:hanging="720"/>
        <w:jc w:val="both"/>
        <w:rPr>
          <w:rFonts w:ascii="Cambria" w:hAnsi="Cambria"/>
          <w:lang w:val="es-MX"/>
        </w:rPr>
      </w:pPr>
      <w:r w:rsidRPr="004E3E07">
        <w:rPr>
          <w:rFonts w:ascii="Cambria" w:eastAsia="Cambria" w:hAnsi="Cambria" w:cs="Cambria"/>
          <w:sz w:val="20"/>
          <w:szCs w:val="20"/>
          <w:lang w:val="es-MX"/>
        </w:rPr>
        <w:t xml:space="preserve">Remover todos los obstáculos para que en la práctica la Fiscalía Especializada para la Atención de delitos contra la Libertad de Expresión pueda atraer la investigación de los delitos cometido contra periodistas y contra la libertad de expresión. De esta forma hacer efectivo el ejercicio de la jurisdicción federal sobre los delitos de su competencia y garantizar que las violaciones más graves a la libertad de expresión siempre sean investigadas por esa fiscalía. </w:t>
      </w:r>
    </w:p>
    <w:p w14:paraId="14606B61" w14:textId="77777777" w:rsidR="002277F5" w:rsidRPr="004E3E07" w:rsidRDefault="007E25FF">
      <w:pPr>
        <w:numPr>
          <w:ilvl w:val="0"/>
          <w:numId w:val="12"/>
        </w:numPr>
        <w:pBdr>
          <w:top w:val="nil"/>
          <w:left w:val="nil"/>
          <w:bottom w:val="nil"/>
          <w:right w:val="nil"/>
          <w:between w:val="nil"/>
        </w:pBdr>
        <w:shd w:val="clear" w:color="auto" w:fill="D9D9D9"/>
        <w:spacing w:after="0" w:line="240" w:lineRule="auto"/>
        <w:ind w:hanging="720"/>
        <w:jc w:val="both"/>
        <w:rPr>
          <w:rFonts w:ascii="Cambria" w:hAnsi="Cambria"/>
          <w:lang w:val="es-MX"/>
        </w:rPr>
      </w:pPr>
      <w:r w:rsidRPr="004E3E07">
        <w:rPr>
          <w:rFonts w:ascii="Cambria" w:eastAsia="Cambria" w:hAnsi="Cambria" w:cs="Cambria"/>
          <w:sz w:val="20"/>
          <w:szCs w:val="20"/>
          <w:lang w:val="es-MX"/>
        </w:rPr>
        <w:t xml:space="preserve">Mantener el carácter de fiscalía especializada de la FEADLE y dotarla de recursos económicos y humanos suficientes para que pueda cumplir con su labor. </w:t>
      </w:r>
    </w:p>
    <w:p w14:paraId="14606B62" w14:textId="77777777" w:rsidR="002277F5" w:rsidRPr="004E3E07" w:rsidRDefault="007E25FF">
      <w:pPr>
        <w:numPr>
          <w:ilvl w:val="0"/>
          <w:numId w:val="12"/>
        </w:numPr>
        <w:pBdr>
          <w:top w:val="nil"/>
          <w:left w:val="nil"/>
          <w:bottom w:val="nil"/>
          <w:right w:val="nil"/>
          <w:between w:val="nil"/>
        </w:pBdr>
        <w:shd w:val="clear" w:color="auto" w:fill="D9D9D9"/>
        <w:spacing w:after="0" w:line="240" w:lineRule="auto"/>
        <w:ind w:hanging="720"/>
        <w:jc w:val="both"/>
        <w:rPr>
          <w:rFonts w:ascii="Cambria" w:hAnsi="Cambria"/>
          <w:lang w:val="es-MX"/>
        </w:rPr>
      </w:pPr>
      <w:r w:rsidRPr="004E3E07">
        <w:rPr>
          <w:rFonts w:ascii="Cambria" w:eastAsia="Cambria" w:hAnsi="Cambria" w:cs="Cambria"/>
          <w:sz w:val="20"/>
          <w:szCs w:val="20"/>
          <w:lang w:val="es-MX"/>
        </w:rPr>
        <w:t xml:space="preserve">Adoptar protocolos especiales de investigación en virtud de los cuales se deba agotar completa y suficientemente la hipótesis de la relación del homicidio u agresión con el oficio periodístico. </w:t>
      </w:r>
    </w:p>
    <w:p w14:paraId="14606B63" w14:textId="77777777" w:rsidR="002277F5" w:rsidRPr="004E3E07" w:rsidRDefault="007E25FF">
      <w:pPr>
        <w:numPr>
          <w:ilvl w:val="0"/>
          <w:numId w:val="12"/>
        </w:numPr>
        <w:pBdr>
          <w:top w:val="nil"/>
          <w:left w:val="nil"/>
          <w:bottom w:val="nil"/>
          <w:right w:val="nil"/>
          <w:between w:val="nil"/>
        </w:pBdr>
        <w:shd w:val="clear" w:color="auto" w:fill="D9D9D9"/>
        <w:spacing w:after="0" w:line="240" w:lineRule="auto"/>
        <w:ind w:hanging="720"/>
        <w:jc w:val="both"/>
        <w:rPr>
          <w:rFonts w:ascii="Cambria" w:hAnsi="Cambria"/>
          <w:lang w:val="es-MX"/>
        </w:rPr>
      </w:pPr>
      <w:r w:rsidRPr="004E3E07">
        <w:rPr>
          <w:rFonts w:ascii="Cambria" w:eastAsia="Cambria" w:hAnsi="Cambria" w:cs="Cambria"/>
          <w:sz w:val="20"/>
          <w:szCs w:val="20"/>
          <w:lang w:val="es-MX"/>
        </w:rPr>
        <w:t xml:space="preserve">Mejorar la relación existente entre la jurisdicción federal y la jurisdicción estatal a fin de evitar que conflictos de competencia entorpezcan o retarden las investigaciones. </w:t>
      </w:r>
    </w:p>
    <w:p w14:paraId="14606B64" w14:textId="77777777" w:rsidR="002277F5" w:rsidRPr="004E3E07" w:rsidRDefault="007E25FF">
      <w:pPr>
        <w:numPr>
          <w:ilvl w:val="0"/>
          <w:numId w:val="12"/>
        </w:numPr>
        <w:pBdr>
          <w:top w:val="nil"/>
          <w:left w:val="nil"/>
          <w:bottom w:val="nil"/>
          <w:right w:val="nil"/>
          <w:between w:val="nil"/>
        </w:pBdr>
        <w:shd w:val="clear" w:color="auto" w:fill="D9D9D9"/>
        <w:spacing w:after="0" w:line="240" w:lineRule="auto"/>
        <w:ind w:hanging="720"/>
        <w:jc w:val="both"/>
        <w:rPr>
          <w:rFonts w:ascii="Cambria" w:hAnsi="Cambria"/>
          <w:lang w:val="es-MX"/>
        </w:rPr>
      </w:pPr>
      <w:r w:rsidRPr="004E3E07">
        <w:rPr>
          <w:rFonts w:ascii="Cambria" w:eastAsia="Cambria" w:hAnsi="Cambria" w:cs="Cambria"/>
          <w:sz w:val="20"/>
          <w:szCs w:val="20"/>
          <w:lang w:val="es-MX"/>
        </w:rPr>
        <w:t xml:space="preserve">Permitir que las víctimas, sus familias y, cuando haya lugar, sus coadyuvantes puedan participar en los procesos penales con plenas garantías, tanto para la búsqueda de la verdad y el esclarecimiento de los hechos como al momento de exigir una reparación. </w:t>
      </w:r>
    </w:p>
    <w:p w14:paraId="2061B3C2" w14:textId="53176411" w:rsidR="00586913" w:rsidRPr="004E3E07" w:rsidRDefault="00586913" w:rsidP="00BD18FA">
      <w:pPr>
        <w:shd w:val="clear" w:color="auto" w:fill="FFFFFF"/>
        <w:spacing w:after="0" w:line="240" w:lineRule="auto"/>
        <w:jc w:val="both"/>
        <w:rPr>
          <w:rFonts w:ascii="Cambria" w:eastAsia="Cambria" w:hAnsi="Cambria" w:cs="Cambria"/>
          <w:sz w:val="20"/>
          <w:szCs w:val="20"/>
          <w:lang w:val="es-MX"/>
        </w:rPr>
      </w:pPr>
    </w:p>
    <w:p w14:paraId="70C69324" w14:textId="77777777" w:rsidR="00586913" w:rsidRPr="004E3E07" w:rsidRDefault="00586913" w:rsidP="00586913">
      <w:pPr>
        <w:numPr>
          <w:ilvl w:val="0"/>
          <w:numId w:val="5"/>
        </w:numPr>
        <w:shd w:val="clear" w:color="auto" w:fill="FFFFFF"/>
        <w:spacing w:after="240" w:line="240" w:lineRule="auto"/>
        <w:ind w:left="0" w:firstLine="720"/>
        <w:jc w:val="both"/>
        <w:rPr>
          <w:rFonts w:ascii="Cambria" w:eastAsia="Cambria" w:hAnsi="Cambria" w:cs="Cambria"/>
          <w:sz w:val="20"/>
          <w:szCs w:val="20"/>
          <w:lang w:val="es-MX"/>
        </w:rPr>
      </w:pPr>
      <w:r w:rsidRPr="004E3E07">
        <w:rPr>
          <w:rFonts w:ascii="Cambria" w:eastAsia="Cambria" w:hAnsi="Cambria" w:cs="Cambria"/>
          <w:sz w:val="20"/>
          <w:szCs w:val="20"/>
          <w:lang w:val="es-MX"/>
        </w:rPr>
        <w:t>La violencia letal contra periodistas sigue siendo uno de los principales problemas que enfrenta el derecho a la libertad de expresión en México. Durante 2021, la Relatoría Especial para la Libertad de Expresión recibió información de al menos diez asesinatos de personas comunicadoras que podrían estar relacionados con su profesión, y al menos un periodista reportado como desaparecido</w:t>
      </w:r>
      <w:r w:rsidRPr="004E3E07">
        <w:rPr>
          <w:rFonts w:ascii="Cambria" w:eastAsia="Cambria" w:hAnsi="Cambria" w:cs="Cambria"/>
          <w:sz w:val="20"/>
          <w:szCs w:val="20"/>
          <w:vertAlign w:val="superscript"/>
          <w:lang w:val="es-MX"/>
        </w:rPr>
        <w:footnoteReference w:id="461"/>
      </w:r>
      <w:r w:rsidRPr="004E3E07">
        <w:rPr>
          <w:rFonts w:ascii="Cambria" w:eastAsia="Cambria" w:hAnsi="Cambria" w:cs="Cambria"/>
          <w:sz w:val="20"/>
          <w:szCs w:val="20"/>
          <w:lang w:val="es-MX"/>
        </w:rPr>
        <w:t>. Asimismo, la Oficina ha continuado recibiendo con preocupación reportes que alertan sobre actividades de vigilancia estatal de las comunicaciones en perjuicio de periodistas y defensores de derechos humanos y personas con liderazgo público que ejercen oposición al gobierno.</w:t>
      </w:r>
    </w:p>
    <w:p w14:paraId="63332E5D" w14:textId="7CC0060D" w:rsidR="00586913" w:rsidRPr="004E3E07" w:rsidRDefault="00586913" w:rsidP="00586913">
      <w:pPr>
        <w:numPr>
          <w:ilvl w:val="0"/>
          <w:numId w:val="5"/>
        </w:numPr>
        <w:shd w:val="clear" w:color="auto" w:fill="FFFFFF"/>
        <w:spacing w:after="240" w:line="240" w:lineRule="auto"/>
        <w:ind w:left="0" w:firstLine="720"/>
        <w:jc w:val="both"/>
        <w:rPr>
          <w:rFonts w:ascii="Cambria" w:eastAsia="Cambria" w:hAnsi="Cambria" w:cs="Cambria"/>
          <w:sz w:val="20"/>
          <w:szCs w:val="20"/>
          <w:lang w:val="es-MX"/>
        </w:rPr>
      </w:pPr>
      <w:r w:rsidRPr="004E3E07">
        <w:rPr>
          <w:rFonts w:ascii="Cambria" w:eastAsia="Cambria" w:hAnsi="Cambria" w:cs="Cambria"/>
          <w:sz w:val="20"/>
          <w:szCs w:val="20"/>
          <w:lang w:val="es-MX"/>
        </w:rPr>
        <w:t>Respecto</w:t>
      </w:r>
      <w:r w:rsidR="00220665">
        <w:rPr>
          <w:rFonts w:ascii="Cambria" w:eastAsia="Cambria" w:hAnsi="Cambria" w:cs="Cambria"/>
          <w:sz w:val="20"/>
          <w:szCs w:val="20"/>
          <w:lang w:val="es-MX"/>
        </w:rPr>
        <w:t xml:space="preserve"> de </w:t>
      </w:r>
      <w:r w:rsidRPr="004E3E07">
        <w:rPr>
          <w:rFonts w:ascii="Cambria" w:eastAsia="Cambria" w:hAnsi="Cambria" w:cs="Cambria"/>
          <w:sz w:val="20"/>
          <w:szCs w:val="20"/>
          <w:lang w:val="es-MX"/>
        </w:rPr>
        <w:t xml:space="preserve">la recomendación </w:t>
      </w:r>
      <w:r w:rsidR="00220665">
        <w:rPr>
          <w:rFonts w:ascii="Cambria" w:eastAsia="Cambria" w:hAnsi="Cambria" w:cs="Cambria"/>
          <w:sz w:val="20"/>
          <w:szCs w:val="20"/>
          <w:lang w:val="es-MX"/>
        </w:rPr>
        <w:t>sobre</w:t>
      </w:r>
      <w:r w:rsidRPr="004E3E07">
        <w:rPr>
          <w:rFonts w:ascii="Cambria" w:eastAsia="Cambria" w:hAnsi="Cambria" w:cs="Cambria"/>
          <w:sz w:val="20"/>
          <w:szCs w:val="20"/>
          <w:lang w:val="es-MX"/>
        </w:rPr>
        <w:t xml:space="preserve"> </w:t>
      </w:r>
      <w:r w:rsidRPr="004E3E07">
        <w:rPr>
          <w:rFonts w:ascii="Cambria" w:eastAsia="Cambria" w:hAnsi="Cambria" w:cs="Cambria"/>
          <w:b/>
          <w:sz w:val="20"/>
          <w:szCs w:val="20"/>
          <w:lang w:val="es-MX"/>
        </w:rPr>
        <w:t>reconocer, desde las más altas esferas del Estado, la legitimidad y el valor de la labor periodística, y condenar las agresiones cometidas como represalia al ejercicio de la libertad de expresión,</w:t>
      </w:r>
      <w:r w:rsidRPr="004E3E07">
        <w:rPr>
          <w:rFonts w:ascii="Cambria" w:eastAsia="Cambria" w:hAnsi="Cambria" w:cs="Cambria"/>
          <w:sz w:val="20"/>
          <w:szCs w:val="20"/>
          <w:lang w:val="es-MX"/>
        </w:rPr>
        <w:t xml:space="preserve"> el Estado mexicano informó que continúa alentando su compromiso con la adopción de medidas que permitan a los defensores y periodistas ejercer su labor, y, en particular, atender los casos que se presenten en los que se requiera otorgar protección</w:t>
      </w:r>
      <w:r w:rsidRPr="004E3E07">
        <w:rPr>
          <w:rStyle w:val="FootnoteReference"/>
          <w:rFonts w:ascii="Cambria" w:eastAsia="Cambria" w:hAnsi="Cambria" w:cs="Cambria"/>
          <w:sz w:val="20"/>
          <w:szCs w:val="20"/>
          <w:lang w:val="es-MX"/>
        </w:rPr>
        <w:footnoteReference w:id="462"/>
      </w:r>
      <w:r w:rsidRPr="004E3E07">
        <w:rPr>
          <w:rFonts w:ascii="Cambria" w:eastAsia="Cambria" w:hAnsi="Cambria" w:cs="Cambria"/>
          <w:sz w:val="20"/>
          <w:szCs w:val="20"/>
          <w:lang w:val="es-MX"/>
        </w:rPr>
        <w:t xml:space="preserve">. </w:t>
      </w:r>
    </w:p>
    <w:p w14:paraId="3F7B2E2D" w14:textId="38A373A4" w:rsidR="00586913" w:rsidRPr="004E3E07" w:rsidRDefault="00586913" w:rsidP="00586913">
      <w:pPr>
        <w:numPr>
          <w:ilvl w:val="0"/>
          <w:numId w:val="5"/>
        </w:numPr>
        <w:shd w:val="clear" w:color="auto" w:fill="FFFFFF"/>
        <w:spacing w:after="240" w:line="240" w:lineRule="auto"/>
        <w:ind w:left="0" w:firstLine="720"/>
        <w:jc w:val="both"/>
        <w:rPr>
          <w:rFonts w:ascii="Cambria" w:eastAsia="Cambria" w:hAnsi="Cambria" w:cs="Cambria"/>
          <w:sz w:val="20"/>
          <w:szCs w:val="20"/>
          <w:lang w:val="es-MX"/>
        </w:rPr>
      </w:pPr>
      <w:r w:rsidRPr="004E3E07">
        <w:rPr>
          <w:rFonts w:ascii="Cambria" w:eastAsia="Cambria" w:hAnsi="Cambria" w:cs="Cambria"/>
          <w:sz w:val="20"/>
          <w:szCs w:val="20"/>
          <w:lang w:val="es-MX"/>
        </w:rPr>
        <w:t>La CIDH ha observado, no obstante, un escenario de escalada de elevada violencia contra la prensa en México, que en 2021 se habría reflejado no sólo a través de asesinatos –a los que la Comisión ha considerado la forma más extrema de censura– sino además a través de actos de amenazas, hostigamientos e intimidaciones, señalamientos estigmatizantes y vigilancia de las comunicaciones. Entre otros hechos reportados</w:t>
      </w:r>
      <w:r w:rsidRPr="004E3E07">
        <w:rPr>
          <w:rFonts w:ascii="Cambria" w:eastAsia="Cambria" w:hAnsi="Cambria" w:cs="Cambria"/>
          <w:sz w:val="20"/>
          <w:szCs w:val="20"/>
          <w:vertAlign w:val="superscript"/>
          <w:lang w:val="es-MX"/>
        </w:rPr>
        <w:footnoteReference w:id="463"/>
      </w:r>
      <w:r w:rsidRPr="004E3E07">
        <w:rPr>
          <w:rFonts w:ascii="Cambria" w:eastAsia="Cambria" w:hAnsi="Cambria" w:cs="Cambria"/>
          <w:sz w:val="20"/>
          <w:szCs w:val="20"/>
          <w:lang w:val="es-MX"/>
        </w:rPr>
        <w:t xml:space="preserve">, la Relatoría Especial recibió información acerca de un presunto atentado a la vida del periodista Edgar Leyva Mendoza, director del portal de noticias </w:t>
      </w:r>
      <w:r w:rsidRPr="004E3E07">
        <w:rPr>
          <w:rFonts w:ascii="Cambria" w:eastAsia="Cambria" w:hAnsi="Cambria" w:cs="Cambria"/>
          <w:i/>
          <w:sz w:val="20"/>
          <w:szCs w:val="20"/>
          <w:lang w:val="es-MX"/>
        </w:rPr>
        <w:t>Urbano 24 Horas</w:t>
      </w:r>
      <w:r w:rsidRPr="004E3E07">
        <w:rPr>
          <w:rFonts w:ascii="Cambria" w:eastAsia="Cambria" w:hAnsi="Cambria" w:cs="Cambria"/>
          <w:sz w:val="20"/>
          <w:szCs w:val="20"/>
          <w:lang w:val="es-MX"/>
        </w:rPr>
        <w:t>, el 3 de febrero en el municipio de Ocotlán, estado de Oaxaca, que podría estar vinculado con investigaciones del medio de comunicación sobre presuntos actos de corrupción y abuso de poder por parte de autoridades públicas. Según información de fuente pública, el reportero logró huir y ocultarse tras el ataque. Sin embargo, dos personas de su familia habrían fallecido en el acto, luego de lo cual la Fiscalía General del Estado de Oaxaca anunció el inicio de una investigación</w:t>
      </w:r>
      <w:r w:rsidRPr="004E3E07">
        <w:rPr>
          <w:rFonts w:ascii="Cambria" w:eastAsia="Cambria" w:hAnsi="Cambria" w:cs="Cambria"/>
          <w:sz w:val="20"/>
          <w:szCs w:val="20"/>
          <w:vertAlign w:val="superscript"/>
          <w:lang w:val="es-MX"/>
        </w:rPr>
        <w:footnoteReference w:id="464"/>
      </w:r>
      <w:r w:rsidRPr="004E3E07">
        <w:rPr>
          <w:rFonts w:ascii="Cambria" w:eastAsia="Cambria" w:hAnsi="Cambria" w:cs="Cambria"/>
          <w:sz w:val="20"/>
          <w:szCs w:val="20"/>
          <w:lang w:val="es-MX"/>
        </w:rPr>
        <w:t xml:space="preserve">. Por otro lado, el 21 de mayo, un sujeto desconocido habría agredido físicamente a Luis Raúl Aguilar Pérez, fundador de los medios digitales </w:t>
      </w:r>
      <w:r w:rsidRPr="004E3E07">
        <w:rPr>
          <w:rFonts w:ascii="Cambria" w:eastAsia="Cambria" w:hAnsi="Cambria" w:cs="Cambria"/>
          <w:i/>
          <w:sz w:val="20"/>
          <w:szCs w:val="20"/>
          <w:lang w:val="es-MX"/>
        </w:rPr>
        <w:t>Pénjamo.Biz</w:t>
      </w:r>
      <w:r w:rsidRPr="004E3E07">
        <w:rPr>
          <w:rFonts w:ascii="Cambria" w:eastAsia="Cambria" w:hAnsi="Cambria" w:cs="Cambria"/>
          <w:sz w:val="20"/>
          <w:szCs w:val="20"/>
          <w:lang w:val="es-MX"/>
        </w:rPr>
        <w:t xml:space="preserve"> y </w:t>
      </w:r>
      <w:r w:rsidRPr="004E3E07">
        <w:rPr>
          <w:rFonts w:ascii="Cambria" w:eastAsia="Cambria" w:hAnsi="Cambria" w:cs="Cambria"/>
          <w:i/>
          <w:sz w:val="20"/>
          <w:szCs w:val="20"/>
          <w:lang w:val="es-MX"/>
        </w:rPr>
        <w:t>Pénjamo.Biz 2.0</w:t>
      </w:r>
      <w:r w:rsidRPr="004E3E07">
        <w:rPr>
          <w:rFonts w:ascii="Cambria" w:eastAsia="Cambria" w:hAnsi="Cambria" w:cs="Cambria"/>
          <w:sz w:val="20"/>
          <w:szCs w:val="20"/>
          <w:lang w:val="es-MX"/>
        </w:rPr>
        <w:t>, cuando regresaba a su casa en la localidad de Pénjamo, Guanajuato. El reportero habría resultado herido en los brazos y el cuello, y debió ser intervenido quirúrgicamente en un hospital local, según información de fuente pública</w:t>
      </w:r>
      <w:r w:rsidRPr="004E3E07">
        <w:rPr>
          <w:rFonts w:ascii="Cambria" w:eastAsia="Cambria" w:hAnsi="Cambria" w:cs="Cambria"/>
          <w:sz w:val="20"/>
          <w:szCs w:val="20"/>
          <w:vertAlign w:val="superscript"/>
          <w:lang w:val="es-MX"/>
        </w:rPr>
        <w:footnoteReference w:id="465"/>
      </w:r>
      <w:r w:rsidRPr="004E3E07">
        <w:rPr>
          <w:rFonts w:ascii="Cambria" w:eastAsia="Cambria" w:hAnsi="Cambria" w:cs="Cambria"/>
          <w:sz w:val="20"/>
          <w:szCs w:val="20"/>
          <w:lang w:val="es-MX"/>
        </w:rPr>
        <w:t xml:space="preserve">. Además, el 2 de marzo, un vehículo habría intentado embestir el auto del periodista Alberto Amaro Jordán, cofundador y director de </w:t>
      </w:r>
      <w:r w:rsidRPr="004E3E07">
        <w:rPr>
          <w:rFonts w:ascii="Cambria" w:eastAsia="Cambria" w:hAnsi="Cambria" w:cs="Cambria"/>
          <w:i/>
          <w:sz w:val="20"/>
          <w:szCs w:val="20"/>
          <w:lang w:val="es-MX"/>
        </w:rPr>
        <w:t>La Prensa de Tlaxcala</w:t>
      </w:r>
      <w:r w:rsidRPr="004E3E07">
        <w:rPr>
          <w:rFonts w:ascii="Cambria" w:eastAsia="Cambria" w:hAnsi="Cambria" w:cs="Cambria"/>
          <w:sz w:val="20"/>
          <w:szCs w:val="20"/>
          <w:lang w:val="es-MX"/>
        </w:rPr>
        <w:t>, cuando el periodista conducía en compañía de su hijo en el municipio de Tetla de la Solidaridad, Tlaxcala. La Relatoría también tomó conocimiento,</w:t>
      </w:r>
      <w:r w:rsidRPr="004E3E07">
        <w:rPr>
          <w:rFonts w:ascii="Cambria" w:eastAsia="Cambria" w:hAnsi="Cambria" w:cs="Cambria"/>
          <w:sz w:val="20"/>
          <w:szCs w:val="20"/>
          <w:highlight w:val="white"/>
          <w:lang w:val="es-MX"/>
        </w:rPr>
        <w:t xml:space="preserve"> a comienzos de agosto, acerca de alegadas amenazas de muerte contra la periodista y presentadora de noticias del canal de tv </w:t>
      </w:r>
      <w:r w:rsidRPr="004E3E07">
        <w:rPr>
          <w:rFonts w:ascii="Cambria" w:eastAsia="Cambria" w:hAnsi="Cambria" w:cs="Cambria"/>
          <w:i/>
          <w:sz w:val="20"/>
          <w:szCs w:val="20"/>
          <w:highlight w:val="white"/>
          <w:lang w:val="es-MX"/>
        </w:rPr>
        <w:t>Milenio</w:t>
      </w:r>
      <w:r w:rsidRPr="004E3E07">
        <w:rPr>
          <w:rFonts w:ascii="Cambria" w:eastAsia="Cambria" w:hAnsi="Cambria" w:cs="Cambria"/>
          <w:sz w:val="20"/>
          <w:szCs w:val="20"/>
          <w:highlight w:val="white"/>
          <w:lang w:val="es-MX"/>
        </w:rPr>
        <w:t>, Azucena Uresti a raíz de sus coberturas sobre narcotráfico en el estado de Michoacán, por parte de un grupo de sujetos enmascarados y armados que en un video que circuló públicamente afirmaban representar un cártel de narcotráfico mexicano</w:t>
      </w:r>
      <w:r w:rsidRPr="004E3E07">
        <w:rPr>
          <w:rFonts w:ascii="Cambria" w:eastAsia="Cambria" w:hAnsi="Cambria" w:cs="Cambria"/>
          <w:sz w:val="20"/>
          <w:szCs w:val="20"/>
          <w:highlight w:val="white"/>
          <w:vertAlign w:val="superscript"/>
          <w:lang w:val="es-MX"/>
        </w:rPr>
        <w:footnoteReference w:id="466"/>
      </w:r>
      <w:r w:rsidRPr="004E3E07">
        <w:rPr>
          <w:rFonts w:ascii="Cambria" w:eastAsia="Cambria" w:hAnsi="Cambria" w:cs="Cambria"/>
          <w:sz w:val="20"/>
          <w:szCs w:val="20"/>
          <w:highlight w:val="white"/>
          <w:lang w:val="es-MX"/>
        </w:rPr>
        <w:t>. Asimismo, recibió información sobre una denuncia de secuestro, robo y amenaza de muerte a la reportera independiente Teresa Maraño, en el municipio de Zinacantepec</w:t>
      </w:r>
      <w:r w:rsidRPr="004E3E07">
        <w:rPr>
          <w:rFonts w:ascii="Cambria" w:eastAsia="Cambria" w:hAnsi="Cambria" w:cs="Cambria"/>
          <w:sz w:val="20"/>
          <w:szCs w:val="20"/>
          <w:highlight w:val="white"/>
          <w:vertAlign w:val="superscript"/>
          <w:lang w:val="es-MX"/>
        </w:rPr>
        <w:footnoteReference w:id="467"/>
      </w:r>
      <w:r w:rsidRPr="004E3E07">
        <w:rPr>
          <w:rFonts w:ascii="Cambria" w:eastAsia="Cambria" w:hAnsi="Cambria" w:cs="Cambria"/>
          <w:sz w:val="20"/>
          <w:szCs w:val="20"/>
          <w:highlight w:val="white"/>
          <w:lang w:val="es-MX"/>
        </w:rPr>
        <w:t xml:space="preserve">. </w:t>
      </w:r>
    </w:p>
    <w:p w14:paraId="55F4CC80" w14:textId="3B3BAAC3" w:rsidR="00586913" w:rsidRPr="004E3E07" w:rsidRDefault="00586913" w:rsidP="00586913">
      <w:pPr>
        <w:numPr>
          <w:ilvl w:val="0"/>
          <w:numId w:val="5"/>
        </w:numPr>
        <w:shd w:val="clear" w:color="auto" w:fill="FFFFFF"/>
        <w:spacing w:after="240" w:line="240" w:lineRule="auto"/>
        <w:ind w:left="0" w:firstLine="720"/>
        <w:jc w:val="both"/>
        <w:rPr>
          <w:rFonts w:ascii="Cambria" w:eastAsia="Cambria" w:hAnsi="Cambria" w:cs="Cambria"/>
          <w:sz w:val="20"/>
          <w:szCs w:val="20"/>
          <w:lang w:val="es-MX"/>
        </w:rPr>
      </w:pPr>
      <w:r w:rsidRPr="004E3E07">
        <w:rPr>
          <w:rFonts w:ascii="Cambria" w:eastAsia="Cambria" w:hAnsi="Cambria" w:cs="Cambria"/>
          <w:sz w:val="20"/>
          <w:szCs w:val="20"/>
          <w:highlight w:val="white"/>
          <w:lang w:val="es-MX"/>
        </w:rPr>
        <w:t>El contexto hostil para el ejercicio del periodismo se habría intensificado en el último tiempo debido a señalamientos estigmatizantes provenientes de las altas esferas gubernamentales, que tiene el potencial de incentivar ataques en contra de las y los periodistas, tanto en el ámbito físico como digital, e incrementar la situación de vulnerabilidad y riesgo en la que muchas personas comunicadoras se encuentran. E</w:t>
      </w:r>
      <w:r w:rsidRPr="004E3E07">
        <w:rPr>
          <w:rFonts w:ascii="Cambria" w:eastAsia="Cambria" w:hAnsi="Cambria" w:cs="Cambria"/>
          <w:sz w:val="20"/>
          <w:szCs w:val="20"/>
          <w:lang w:val="es-MX"/>
        </w:rPr>
        <w:t xml:space="preserve">n esta línea, la Relatoría recibió información sobre el anuncio del presidente de inaugurar una sección semanal en las conferencias de prensa matutinas para exhibir las noticias que a criterio del gobierno son falsas, individualizando </w:t>
      </w:r>
      <w:r w:rsidR="00220665">
        <w:rPr>
          <w:rFonts w:ascii="Cambria" w:eastAsia="Cambria" w:hAnsi="Cambria" w:cs="Cambria"/>
          <w:sz w:val="20"/>
          <w:szCs w:val="20"/>
          <w:lang w:val="es-MX"/>
        </w:rPr>
        <w:t>a</w:t>
      </w:r>
      <w:r w:rsidRPr="004E3E07">
        <w:rPr>
          <w:rFonts w:ascii="Cambria" w:eastAsia="Cambria" w:hAnsi="Cambria" w:cs="Cambria"/>
          <w:sz w:val="20"/>
          <w:szCs w:val="20"/>
          <w:lang w:val="es-MX"/>
        </w:rPr>
        <w:t xml:space="preserve"> periodistas que las publican. El jefe de Estado lo habría denominado el “quién es quién en las mentiras de la semana” y habría justificado su necesidad en la importancia de “informar” a la ciudadanía</w:t>
      </w:r>
      <w:r w:rsidRPr="004E3E07">
        <w:rPr>
          <w:rFonts w:ascii="Cambria" w:eastAsia="Cambria" w:hAnsi="Cambria" w:cs="Cambria"/>
          <w:sz w:val="20"/>
          <w:szCs w:val="20"/>
          <w:vertAlign w:val="superscript"/>
          <w:lang w:val="es-MX"/>
        </w:rPr>
        <w:footnoteReference w:id="468"/>
      </w:r>
      <w:r w:rsidRPr="004E3E07">
        <w:rPr>
          <w:rFonts w:ascii="Cambria" w:eastAsia="Cambria" w:hAnsi="Cambria" w:cs="Cambria"/>
          <w:sz w:val="20"/>
          <w:szCs w:val="20"/>
          <w:lang w:val="es-MX"/>
        </w:rPr>
        <w:t xml:space="preserve">. En este marco, el presidente habría apuntado contra periodistas del diario </w:t>
      </w:r>
      <w:r w:rsidRPr="004E3E07">
        <w:rPr>
          <w:rFonts w:ascii="Cambria" w:eastAsia="Cambria" w:hAnsi="Cambria" w:cs="Cambria"/>
          <w:i/>
          <w:sz w:val="20"/>
          <w:szCs w:val="20"/>
          <w:lang w:val="es-MX"/>
        </w:rPr>
        <w:t>El Universal</w:t>
      </w:r>
      <w:r w:rsidRPr="004E3E07">
        <w:rPr>
          <w:rFonts w:ascii="Cambria" w:eastAsia="Cambria" w:hAnsi="Cambria" w:cs="Cambria"/>
          <w:sz w:val="20"/>
          <w:szCs w:val="20"/>
          <w:lang w:val="es-MX"/>
        </w:rPr>
        <w:t xml:space="preserve">, </w:t>
      </w:r>
      <w:r w:rsidRPr="004E3E07">
        <w:rPr>
          <w:rFonts w:ascii="Cambria" w:eastAsia="Cambria" w:hAnsi="Cambria" w:cs="Cambria"/>
          <w:i/>
          <w:sz w:val="20"/>
          <w:szCs w:val="20"/>
          <w:lang w:val="es-MX"/>
        </w:rPr>
        <w:t>Forbes México</w:t>
      </w:r>
      <w:r w:rsidRPr="004E3E07">
        <w:rPr>
          <w:rFonts w:ascii="Cambria" w:eastAsia="Cambria" w:hAnsi="Cambria" w:cs="Cambria"/>
          <w:sz w:val="20"/>
          <w:szCs w:val="20"/>
          <w:lang w:val="es-MX"/>
        </w:rPr>
        <w:t xml:space="preserve">, </w:t>
      </w:r>
      <w:r w:rsidRPr="004E3E07">
        <w:rPr>
          <w:rFonts w:ascii="Cambria" w:eastAsia="Cambria" w:hAnsi="Cambria" w:cs="Cambria"/>
          <w:i/>
          <w:sz w:val="20"/>
          <w:szCs w:val="20"/>
          <w:lang w:val="es-MX"/>
        </w:rPr>
        <w:t>El País</w:t>
      </w:r>
      <w:r w:rsidRPr="004E3E07">
        <w:rPr>
          <w:rFonts w:ascii="Cambria" w:eastAsia="Cambria" w:hAnsi="Cambria" w:cs="Cambria"/>
          <w:sz w:val="20"/>
          <w:szCs w:val="20"/>
          <w:lang w:val="es-MX"/>
        </w:rPr>
        <w:t xml:space="preserve">, </w:t>
      </w:r>
      <w:r w:rsidRPr="004E3E07">
        <w:rPr>
          <w:rFonts w:ascii="Cambria" w:eastAsia="Cambria" w:hAnsi="Cambria" w:cs="Cambria"/>
          <w:i/>
          <w:sz w:val="20"/>
          <w:szCs w:val="20"/>
          <w:lang w:val="es-MX"/>
        </w:rPr>
        <w:t xml:space="preserve">Eje Central, </w:t>
      </w:r>
      <w:r w:rsidRPr="004E3E07">
        <w:rPr>
          <w:rFonts w:ascii="Cambria" w:eastAsia="Cambria" w:hAnsi="Cambria" w:cs="Cambria"/>
          <w:sz w:val="20"/>
          <w:szCs w:val="20"/>
          <w:lang w:val="es-MX"/>
        </w:rPr>
        <w:t>entre otros</w:t>
      </w:r>
      <w:r w:rsidRPr="004E3E07">
        <w:rPr>
          <w:rFonts w:ascii="Cambria" w:eastAsia="Cambria" w:hAnsi="Cambria" w:cs="Cambria"/>
          <w:sz w:val="20"/>
          <w:szCs w:val="20"/>
          <w:vertAlign w:val="superscript"/>
          <w:lang w:val="es-MX"/>
        </w:rPr>
        <w:footnoteReference w:id="469"/>
      </w:r>
      <w:r w:rsidRPr="004E3E07">
        <w:rPr>
          <w:rFonts w:ascii="Cambria" w:eastAsia="Cambria" w:hAnsi="Cambria" w:cs="Cambria"/>
          <w:sz w:val="20"/>
          <w:szCs w:val="20"/>
          <w:lang w:val="es-MX"/>
        </w:rPr>
        <w:t xml:space="preserve">. </w:t>
      </w:r>
    </w:p>
    <w:p w14:paraId="719690E3" w14:textId="04A03C65" w:rsidR="00586913" w:rsidRPr="004E3E07" w:rsidRDefault="00586913" w:rsidP="00586913">
      <w:pPr>
        <w:numPr>
          <w:ilvl w:val="0"/>
          <w:numId w:val="5"/>
        </w:numPr>
        <w:shd w:val="clear" w:color="auto" w:fill="FFFFFF"/>
        <w:spacing w:after="240" w:line="240" w:lineRule="auto"/>
        <w:ind w:left="0" w:firstLine="720"/>
        <w:jc w:val="both"/>
        <w:rPr>
          <w:rFonts w:ascii="Cambria" w:eastAsia="Cambria" w:hAnsi="Cambria" w:cs="Cambria"/>
          <w:sz w:val="20"/>
          <w:szCs w:val="20"/>
          <w:lang w:val="es-MX"/>
        </w:rPr>
      </w:pPr>
      <w:r w:rsidRPr="004E3E07">
        <w:rPr>
          <w:rFonts w:ascii="Cambria" w:eastAsia="Cambria" w:hAnsi="Cambria" w:cs="Cambria"/>
          <w:sz w:val="20"/>
          <w:szCs w:val="20"/>
          <w:lang w:val="es-MX"/>
        </w:rPr>
        <w:t>Al respecto, el Estado ha informado que la sección “Quién es quién en las mentiras” constituye un mecanismo novedoso, pero legítimo canal de comunicación entre la sociedad y los servidores públicos (...) que busca generar una ciudadanía crítica y participativa de los asuntos públicos, que cuestione el comportamiento y decisiones del gobierno a efecto de transitar a un régimen más democrático”, y en respeto al derecho a la libertad de expresión consagrado constitucionalmente. Asimismo, indicaron que “si alguno de los señalamientos hechos durante la sección es impreciso o requiere de alguna aclaración, siempre se estará en disposición a reconocerlo”</w:t>
      </w:r>
      <w:r w:rsidRPr="004E3E07">
        <w:rPr>
          <w:rFonts w:ascii="Cambria" w:eastAsia="Cambria" w:hAnsi="Cambria" w:cs="Cambria"/>
          <w:sz w:val="20"/>
          <w:szCs w:val="20"/>
          <w:vertAlign w:val="superscript"/>
          <w:lang w:val="es-MX"/>
        </w:rPr>
        <w:footnoteReference w:id="470"/>
      </w:r>
      <w:r w:rsidRPr="004E3E07">
        <w:rPr>
          <w:rFonts w:ascii="Cambria" w:eastAsia="Cambria" w:hAnsi="Cambria" w:cs="Cambria"/>
          <w:sz w:val="20"/>
          <w:szCs w:val="20"/>
          <w:lang w:val="es-MX"/>
        </w:rPr>
        <w:t>.</w:t>
      </w:r>
    </w:p>
    <w:p w14:paraId="61992A18" w14:textId="7C0D9F00" w:rsidR="00586913" w:rsidRPr="004E3E07" w:rsidRDefault="00586913" w:rsidP="00586913">
      <w:pPr>
        <w:numPr>
          <w:ilvl w:val="0"/>
          <w:numId w:val="5"/>
        </w:numPr>
        <w:shd w:val="clear" w:color="auto" w:fill="FFFFFF"/>
        <w:spacing w:after="240" w:line="240" w:lineRule="auto"/>
        <w:ind w:left="0" w:firstLine="720"/>
        <w:jc w:val="both"/>
        <w:rPr>
          <w:rFonts w:ascii="Cambria" w:eastAsia="Cambria" w:hAnsi="Cambria" w:cs="Cambria"/>
          <w:sz w:val="20"/>
          <w:szCs w:val="20"/>
          <w:lang w:val="es-MX"/>
        </w:rPr>
      </w:pPr>
      <w:r w:rsidRPr="004E3E07">
        <w:rPr>
          <w:rFonts w:ascii="Cambria" w:eastAsia="Cambria" w:hAnsi="Cambria" w:cs="Cambria"/>
          <w:sz w:val="20"/>
          <w:szCs w:val="20"/>
          <w:lang w:val="es-MX"/>
        </w:rPr>
        <w:t>Esta Relatoría reconoce que es legítimo y, en ciertas ocasiones, un deber que las autoridades estatales se pronuncien sobre cuestiones de interés público y se defiendan ante críticas o cuestionamientos de la prensa. Sin embargo, al hacerlo no deben desacreditar ni estigmatizar a quien lo cuestiona, en razón de su alta investidura, del amplio alcance y eventuales efectos que sus expresiones pueden tener en ciertos sectores de la población. Asimismo, en las democracias contemporáneas, especialmente en países con altos índices de violencia contra la prensa, se acentúa el desafío de distinguir entre la defensa legítima de una posición oficial y un discurso que, bajo esa justificación, pueda implicar estigmatización. En relación con la desinformación, esta Oficina reconoce las consecuencias negativas que de ella se derivan y cree que las sociedades democráticas deben combatir los intentos de manipulación del debate público. Sin embargo, considera atípico</w:t>
      </w:r>
      <w:r w:rsidR="00220665">
        <w:rPr>
          <w:rFonts w:ascii="Cambria" w:eastAsia="Cambria" w:hAnsi="Cambria" w:cs="Cambria"/>
          <w:sz w:val="20"/>
          <w:szCs w:val="20"/>
          <w:lang w:val="es-MX"/>
        </w:rPr>
        <w:t xml:space="preserve">, </w:t>
      </w:r>
      <w:r w:rsidRPr="004E3E07">
        <w:rPr>
          <w:rFonts w:ascii="Cambria" w:eastAsia="Cambria" w:hAnsi="Cambria" w:cs="Cambria"/>
          <w:sz w:val="20"/>
          <w:szCs w:val="20"/>
          <w:lang w:val="es-MX"/>
        </w:rPr>
        <w:t>y no exento de riesgos para la democracia</w:t>
      </w:r>
      <w:r w:rsidR="00220665">
        <w:rPr>
          <w:rFonts w:ascii="Cambria" w:eastAsia="Cambria" w:hAnsi="Cambria" w:cs="Cambria"/>
          <w:sz w:val="20"/>
          <w:szCs w:val="20"/>
          <w:lang w:val="es-MX"/>
        </w:rPr>
        <w:t xml:space="preserve">, </w:t>
      </w:r>
      <w:r w:rsidRPr="004E3E07">
        <w:rPr>
          <w:rFonts w:ascii="Cambria" w:eastAsia="Cambria" w:hAnsi="Cambria" w:cs="Cambria"/>
          <w:sz w:val="20"/>
          <w:szCs w:val="20"/>
          <w:lang w:val="es-MX"/>
        </w:rPr>
        <w:t>que se promueva una sección de chequeo gubernamental que etiqueta tanto a los contenidos como a los medios y periodistas que las publican.</w:t>
      </w:r>
    </w:p>
    <w:p w14:paraId="288F3245" w14:textId="48415AF8" w:rsidR="00586913" w:rsidRPr="004E3E07" w:rsidRDefault="00586913" w:rsidP="00586913">
      <w:pPr>
        <w:numPr>
          <w:ilvl w:val="0"/>
          <w:numId w:val="5"/>
        </w:numPr>
        <w:shd w:val="clear" w:color="auto" w:fill="FFFFFF"/>
        <w:spacing w:after="240" w:line="240" w:lineRule="auto"/>
        <w:ind w:left="0" w:firstLine="720"/>
        <w:jc w:val="both"/>
        <w:rPr>
          <w:rFonts w:ascii="Cambria" w:eastAsia="Cambria" w:hAnsi="Cambria" w:cs="Cambria"/>
          <w:sz w:val="20"/>
          <w:szCs w:val="20"/>
          <w:lang w:val="es-MX"/>
        </w:rPr>
      </w:pPr>
      <w:r w:rsidRPr="004E3E07">
        <w:rPr>
          <w:rFonts w:ascii="Cambria" w:eastAsia="Cambria" w:hAnsi="Cambria" w:cs="Cambria"/>
          <w:sz w:val="20"/>
          <w:szCs w:val="20"/>
          <w:lang w:val="es-MX"/>
        </w:rPr>
        <w:t xml:space="preserve">En este contexto, la Comisión considera de especial preocupación los nuevos hallazgos sobre la utilización del software </w:t>
      </w:r>
      <w:r w:rsidRPr="004E3E07">
        <w:rPr>
          <w:rFonts w:ascii="Cambria" w:eastAsia="Cambria" w:hAnsi="Cambria" w:cs="Cambria"/>
          <w:i/>
          <w:sz w:val="20"/>
          <w:szCs w:val="20"/>
          <w:lang w:val="es-MX"/>
        </w:rPr>
        <w:t>Pegasus</w:t>
      </w:r>
      <w:r w:rsidRPr="004E3E07">
        <w:rPr>
          <w:rFonts w:ascii="Cambria" w:eastAsia="Cambria" w:hAnsi="Cambria" w:cs="Cambria"/>
          <w:sz w:val="20"/>
          <w:szCs w:val="20"/>
          <w:lang w:val="es-MX"/>
        </w:rPr>
        <w:t xml:space="preserve"> con fines de espionaje contra personas periodistas y defensoras de derechos humanos que investigan temas de elevada sensibilidad, como corrupción y graves violaciones de derechos humanos. En agosto, la CIDH, su RELE, y la </w:t>
      </w:r>
      <w:r w:rsidR="00220665">
        <w:rPr>
          <w:rFonts w:ascii="Cambria" w:eastAsia="Cambria" w:hAnsi="Cambria" w:cs="Cambria"/>
          <w:sz w:val="20"/>
          <w:szCs w:val="20"/>
          <w:lang w:val="es-MX"/>
        </w:rPr>
        <w:t xml:space="preserve">OACNUDH </w:t>
      </w:r>
      <w:r w:rsidRPr="004E3E07">
        <w:rPr>
          <w:rFonts w:ascii="Cambria" w:eastAsia="Cambria" w:hAnsi="Cambria" w:cs="Cambria"/>
          <w:sz w:val="20"/>
          <w:szCs w:val="20"/>
          <w:lang w:val="es-MX"/>
        </w:rPr>
        <w:t>expresaron su preocupación ante los hechos e hicieron un llamado al Estado mexicano a investigar los hechos de forma completa, efectiva e imparcial; y a garantizar la adopción de las medidas necesarias para respetar, proteger y garantizar el derecho a la privacidad y la libertad de expresión de la ciudadanía, el ejercicio del periodismo, la defensa de los derechos humanos, la participación pública y las garantías a la oposición política. La información pública revelada en 2021 se suma a las denuncias que al menos desde 2017 vienen realizando organizaciones, personas defensoras y periodistas, respecto al uso de ésta y otras herramientas de espionaje en México y otros países de la región</w:t>
      </w:r>
      <w:r w:rsidRPr="004E3E07">
        <w:rPr>
          <w:rFonts w:ascii="Cambria" w:eastAsia="Cambria" w:hAnsi="Cambria" w:cs="Cambria"/>
          <w:sz w:val="20"/>
          <w:szCs w:val="20"/>
          <w:vertAlign w:val="superscript"/>
          <w:lang w:val="es-MX"/>
        </w:rPr>
        <w:footnoteReference w:id="471"/>
      </w:r>
      <w:r w:rsidRPr="004E3E07">
        <w:rPr>
          <w:rFonts w:ascii="Cambria" w:eastAsia="Cambria" w:hAnsi="Cambria" w:cs="Cambria"/>
          <w:sz w:val="20"/>
          <w:szCs w:val="20"/>
          <w:lang w:val="es-MX"/>
        </w:rPr>
        <w:t>.</w:t>
      </w:r>
    </w:p>
    <w:p w14:paraId="1444E178" w14:textId="38C66F81" w:rsidR="00586913" w:rsidRPr="004E3E07" w:rsidRDefault="00586913" w:rsidP="00586913">
      <w:pPr>
        <w:numPr>
          <w:ilvl w:val="0"/>
          <w:numId w:val="5"/>
        </w:numPr>
        <w:shd w:val="clear" w:color="auto" w:fill="FFFFFF"/>
        <w:spacing w:after="240" w:line="240" w:lineRule="auto"/>
        <w:ind w:left="0" w:firstLine="720"/>
        <w:jc w:val="both"/>
        <w:rPr>
          <w:rFonts w:ascii="Cambria" w:eastAsia="Cambria" w:hAnsi="Cambria" w:cs="Cambria"/>
          <w:sz w:val="20"/>
          <w:szCs w:val="20"/>
          <w:lang w:val="es-MX"/>
        </w:rPr>
      </w:pPr>
      <w:r w:rsidRPr="004E3E07">
        <w:rPr>
          <w:rFonts w:ascii="Cambria" w:eastAsia="Cambria" w:hAnsi="Cambria" w:cs="Cambria"/>
          <w:sz w:val="20"/>
          <w:szCs w:val="20"/>
          <w:lang w:val="es-MX"/>
        </w:rPr>
        <w:t xml:space="preserve">Los reportes públicos de los últimos años han permitido conocer múltiples víctimas de intentos de espionaje a través del software, incluyendo a las y los periodistas Carmen Aristegui, Carlos </w:t>
      </w:r>
      <w:r w:rsidR="008016E7" w:rsidRPr="004E3E07">
        <w:rPr>
          <w:rFonts w:ascii="Cambria" w:eastAsia="Cambria" w:hAnsi="Cambria" w:cs="Cambria"/>
          <w:sz w:val="20"/>
          <w:szCs w:val="20"/>
          <w:lang w:val="es-MX"/>
        </w:rPr>
        <w:t>L</w:t>
      </w:r>
      <w:r w:rsidRPr="004E3E07">
        <w:rPr>
          <w:rFonts w:ascii="Cambria" w:eastAsia="Cambria" w:hAnsi="Cambria" w:cs="Cambria"/>
          <w:sz w:val="20"/>
          <w:szCs w:val="20"/>
          <w:lang w:val="es-MX"/>
        </w:rPr>
        <w:t>oret de Mola y Azam Amhed, además de Cecilio Pineda, reportero asesinado en el estado de Guerrero en 2017. También habrían sido blanco de vigilancia ilegal los integrantes del Centro de Derechos Humanos Miguel Agustín Pro Juárez (Centro PRODH); el juez de la Corte Interamericana Eduardo Ferrer Mac-Gregor; y al menos un integrante del Grupo Interdisciplinario de Expertos Independientes (GIEI) en el caso Ayotzinapa, establecido para investigar la desaparición masiva de estudiantes en Iguala en 2014. Según información pública, casi un tercio de los 50.000 números telefónicos presuntamente identificados para espionaje estarían basados en México</w:t>
      </w:r>
      <w:r w:rsidRPr="004E3E07">
        <w:rPr>
          <w:rFonts w:ascii="Cambria" w:eastAsia="Cambria" w:hAnsi="Cambria" w:cs="Cambria"/>
          <w:sz w:val="20"/>
          <w:szCs w:val="20"/>
          <w:vertAlign w:val="superscript"/>
          <w:lang w:val="es-MX"/>
        </w:rPr>
        <w:footnoteReference w:id="472"/>
      </w:r>
      <w:r w:rsidRPr="004E3E07">
        <w:rPr>
          <w:rFonts w:ascii="Cambria" w:eastAsia="Cambria" w:hAnsi="Cambria" w:cs="Cambria"/>
          <w:sz w:val="20"/>
          <w:szCs w:val="20"/>
          <w:lang w:val="es-MX"/>
        </w:rPr>
        <w:t>.</w:t>
      </w:r>
    </w:p>
    <w:p w14:paraId="7389203D" w14:textId="379D2F47" w:rsidR="00586913" w:rsidRPr="004E3E07" w:rsidRDefault="00586913" w:rsidP="00586913">
      <w:pPr>
        <w:numPr>
          <w:ilvl w:val="0"/>
          <w:numId w:val="5"/>
        </w:numPr>
        <w:shd w:val="clear" w:color="auto" w:fill="FFFFFF"/>
        <w:spacing w:after="240" w:line="240" w:lineRule="auto"/>
        <w:ind w:left="0" w:firstLine="720"/>
        <w:jc w:val="both"/>
        <w:rPr>
          <w:rFonts w:ascii="Cambria" w:eastAsia="Cambria" w:hAnsi="Cambria" w:cs="Cambria"/>
          <w:sz w:val="20"/>
          <w:szCs w:val="20"/>
          <w:lang w:val="es-MX"/>
        </w:rPr>
      </w:pPr>
      <w:r w:rsidRPr="004E3E07">
        <w:rPr>
          <w:rFonts w:ascii="Cambria" w:eastAsia="Cambria" w:hAnsi="Cambria" w:cs="Cambria"/>
          <w:sz w:val="20"/>
          <w:szCs w:val="20"/>
          <w:highlight w:val="white"/>
          <w:lang w:val="es-MX"/>
        </w:rPr>
        <w:t>Asimismo, la Comisión y su Relatoría Especial recibieron reportes sobre alegadas acciones de vigilancia estatal de las comunicaciones contra mujeres defensoras y periodistas que investigaban la matanza de las 196 personas halladas en 48 fosas clandestinas en San Fernando, Tamaulipas, en 2011</w:t>
      </w:r>
      <w:r w:rsidR="00220665">
        <w:rPr>
          <w:rFonts w:ascii="Cambria" w:eastAsia="Cambria" w:hAnsi="Cambria" w:cs="Cambria"/>
          <w:sz w:val="20"/>
          <w:szCs w:val="20"/>
          <w:highlight w:val="white"/>
          <w:lang w:val="es-MX"/>
        </w:rPr>
        <w:t>, como ya se reportó en este informe</w:t>
      </w:r>
      <w:r w:rsidRPr="004E3E07">
        <w:rPr>
          <w:rFonts w:ascii="Cambria" w:eastAsia="Cambria" w:hAnsi="Cambria" w:cs="Cambria"/>
          <w:sz w:val="20"/>
          <w:szCs w:val="20"/>
          <w:highlight w:val="white"/>
          <w:lang w:val="es-MX"/>
        </w:rPr>
        <w:t xml:space="preserve">. De acuerdo </w:t>
      </w:r>
      <w:r w:rsidR="00220665">
        <w:rPr>
          <w:rFonts w:ascii="Cambria" w:eastAsia="Cambria" w:hAnsi="Cambria" w:cs="Cambria"/>
          <w:sz w:val="20"/>
          <w:szCs w:val="20"/>
          <w:highlight w:val="white"/>
          <w:lang w:val="es-MX"/>
        </w:rPr>
        <w:t xml:space="preserve">con </w:t>
      </w:r>
      <w:r w:rsidRPr="004E3E07">
        <w:rPr>
          <w:rFonts w:ascii="Cambria" w:eastAsia="Cambria" w:hAnsi="Cambria" w:cs="Cambria"/>
          <w:sz w:val="20"/>
          <w:szCs w:val="20"/>
          <w:highlight w:val="white"/>
          <w:lang w:val="es-MX"/>
        </w:rPr>
        <w:t>la información disponible, entre febrero de 2015 y abril de 2016, las autoridades mexicanas, a través de la entonces Subprocuraduría Especializada en Investigaciones de Delincuencia Organizada, habrían abierto una investigación sobre presunto “secuestro y delincuencia organizada” en contra de la periodista Marcela Turati y las defensoras Ana Lorena Delgadillo y Mercedes Doretti, solicitando de forma “extra urgente” un registro completo de sus llamadas y mensajes enviados y recibidos, incluyendo la ubicación</w:t>
      </w:r>
      <w:r w:rsidRPr="004E3E07">
        <w:rPr>
          <w:rFonts w:ascii="Cambria" w:eastAsia="Cambria" w:hAnsi="Cambria" w:cs="Cambria"/>
          <w:sz w:val="20"/>
          <w:szCs w:val="20"/>
          <w:highlight w:val="white"/>
          <w:vertAlign w:val="superscript"/>
          <w:lang w:val="es-MX"/>
        </w:rPr>
        <w:footnoteReference w:id="473"/>
      </w:r>
      <w:r w:rsidRPr="004E3E07">
        <w:rPr>
          <w:rFonts w:ascii="Cambria" w:eastAsia="Cambria" w:hAnsi="Cambria" w:cs="Cambria"/>
          <w:sz w:val="20"/>
          <w:szCs w:val="20"/>
          <w:highlight w:val="white"/>
          <w:lang w:val="es-MX"/>
        </w:rPr>
        <w:t xml:space="preserve">. </w:t>
      </w:r>
    </w:p>
    <w:p w14:paraId="79844BBF" w14:textId="77777777" w:rsidR="00586913" w:rsidRPr="004E3E07" w:rsidRDefault="00586913" w:rsidP="00586913">
      <w:pPr>
        <w:numPr>
          <w:ilvl w:val="0"/>
          <w:numId w:val="5"/>
        </w:numPr>
        <w:shd w:val="clear" w:color="auto" w:fill="FFFFFF"/>
        <w:spacing w:after="240" w:line="240" w:lineRule="auto"/>
        <w:ind w:left="0" w:firstLine="720"/>
        <w:jc w:val="both"/>
        <w:rPr>
          <w:rFonts w:ascii="Cambria" w:eastAsia="Cambria" w:hAnsi="Cambria" w:cs="Cambria"/>
          <w:sz w:val="20"/>
          <w:szCs w:val="20"/>
          <w:lang w:val="es-MX"/>
        </w:rPr>
      </w:pPr>
      <w:r w:rsidRPr="004E3E07">
        <w:rPr>
          <w:rFonts w:ascii="Cambria" w:eastAsia="Cambria" w:hAnsi="Cambria" w:cs="Cambria"/>
          <w:sz w:val="20"/>
          <w:szCs w:val="20"/>
          <w:highlight w:val="white"/>
          <w:lang w:val="es-MX"/>
        </w:rPr>
        <w:t xml:space="preserve">La Comisión y su Relatoría </w:t>
      </w:r>
      <w:r w:rsidRPr="004E3E07">
        <w:rPr>
          <w:rFonts w:ascii="Cambria" w:eastAsia="Cambria" w:hAnsi="Cambria" w:cs="Cambria"/>
          <w:sz w:val="20"/>
          <w:szCs w:val="20"/>
          <w:lang w:val="es-MX"/>
        </w:rPr>
        <w:t>saludan la disponibilidad del Estado mexicano para dialogar acerca de estos temas. El 1 de julio de 2021, en el marco de una audiencia sobre México durante el 180 período de sesiones de la CIDH, el Estado subrayó su voluntad de participación en diálogos multisectoriales y su disposición de avanzar, conjuntamente, para constatar y combatir cualquier disposición o práctica que desacredite a periodistas y defensores de derechos humanos</w:t>
      </w:r>
      <w:r w:rsidRPr="004E3E07">
        <w:rPr>
          <w:rFonts w:ascii="Cambria" w:eastAsia="Cambria" w:hAnsi="Cambria" w:cs="Cambria"/>
          <w:sz w:val="20"/>
          <w:szCs w:val="20"/>
          <w:vertAlign w:val="superscript"/>
          <w:lang w:val="es-MX"/>
        </w:rPr>
        <w:footnoteReference w:id="474"/>
      </w:r>
      <w:r w:rsidRPr="004E3E07">
        <w:rPr>
          <w:rFonts w:ascii="Cambria" w:eastAsia="Cambria" w:hAnsi="Cambria" w:cs="Cambria"/>
          <w:sz w:val="20"/>
          <w:szCs w:val="20"/>
          <w:lang w:val="es-MX"/>
        </w:rPr>
        <w:t>.</w:t>
      </w:r>
    </w:p>
    <w:p w14:paraId="5C2928A5" w14:textId="77777777" w:rsidR="00586913" w:rsidRPr="004E3E07" w:rsidRDefault="00586913" w:rsidP="00586913">
      <w:pPr>
        <w:numPr>
          <w:ilvl w:val="0"/>
          <w:numId w:val="5"/>
        </w:numPr>
        <w:shd w:val="clear" w:color="auto" w:fill="FFFFFF"/>
        <w:spacing w:after="240" w:line="240" w:lineRule="auto"/>
        <w:ind w:left="0" w:firstLine="720"/>
        <w:jc w:val="both"/>
        <w:rPr>
          <w:rFonts w:ascii="Cambria" w:eastAsia="Cambria" w:hAnsi="Cambria" w:cs="Cambria"/>
          <w:sz w:val="20"/>
          <w:szCs w:val="20"/>
          <w:lang w:val="es-MX"/>
        </w:rPr>
      </w:pPr>
      <w:r w:rsidRPr="004E3E07">
        <w:rPr>
          <w:rFonts w:ascii="Cambria" w:eastAsia="Cambria" w:hAnsi="Cambria" w:cs="Cambria"/>
          <w:sz w:val="20"/>
          <w:szCs w:val="20"/>
          <w:highlight w:val="white"/>
          <w:lang w:val="es-MX"/>
        </w:rPr>
        <w:t>Ante la falta de reportes de avances en su implementación, la CIDH considera que la recomendación mantiene su calificación de parcialmente cumplida, al tiempo que llama al Estado mexicano a redoblar sus esfuerzos para promover un ambiente favorable al derecho a la libertad de expresión y de prensa y para erradicar cualquier tipo de pronunciamiento de autoridad que pueda legitimar o enviar un mensaje permisivo a las violencias contra la prensa.</w:t>
      </w:r>
    </w:p>
    <w:p w14:paraId="6CFC4242" w14:textId="77777777" w:rsidR="00586913" w:rsidRPr="004E3E07" w:rsidRDefault="00586913" w:rsidP="00586913">
      <w:pPr>
        <w:numPr>
          <w:ilvl w:val="0"/>
          <w:numId w:val="5"/>
        </w:numPr>
        <w:shd w:val="clear" w:color="auto" w:fill="FFFFFF"/>
        <w:spacing w:after="240" w:line="240" w:lineRule="auto"/>
        <w:ind w:left="0" w:firstLine="720"/>
        <w:jc w:val="both"/>
        <w:rPr>
          <w:rFonts w:ascii="Cambria" w:eastAsia="Cambria" w:hAnsi="Cambria" w:cs="Cambria"/>
          <w:sz w:val="20"/>
          <w:szCs w:val="20"/>
          <w:lang w:val="es-MX"/>
        </w:rPr>
      </w:pPr>
      <w:r w:rsidRPr="004E3E07">
        <w:rPr>
          <w:rFonts w:ascii="Cambria" w:eastAsia="Cambria" w:hAnsi="Cambria" w:cs="Cambria"/>
          <w:sz w:val="20"/>
          <w:szCs w:val="20"/>
          <w:highlight w:val="white"/>
          <w:lang w:val="es-MX"/>
        </w:rPr>
        <w:t xml:space="preserve">Con relación a la recomendación </w:t>
      </w:r>
      <w:r w:rsidRPr="004E3E07">
        <w:rPr>
          <w:rFonts w:ascii="Cambria" w:eastAsia="Cambria" w:hAnsi="Cambria" w:cs="Cambria"/>
          <w:b/>
          <w:sz w:val="20"/>
          <w:szCs w:val="20"/>
          <w:highlight w:val="white"/>
          <w:lang w:val="es-MX"/>
        </w:rPr>
        <w:t xml:space="preserve">definir una metodología única para generar y publicar estadísticas detalladas y desagregadas sobre violencia contra periodistas e investigaciones de las agresiones, así como sobre las medidas de protección adoptadas. Definir una autoridad estatal como encargada de capturar la información y publicar las estadísticas, e informar a los distintos actores sobre los desafíos que surjan en la aplicación de dicha metodología, </w:t>
      </w:r>
      <w:r w:rsidRPr="004E3E07">
        <w:rPr>
          <w:rFonts w:ascii="Cambria" w:eastAsia="Cambria" w:hAnsi="Cambria" w:cs="Cambria"/>
          <w:sz w:val="20"/>
          <w:szCs w:val="20"/>
          <w:highlight w:val="white"/>
          <w:lang w:val="es-MX"/>
        </w:rPr>
        <w:t>el Estado informó que la Fiscalía Especial para la Atención de Delitos cometidos contra la Libertad de Expresión (FEADLE), en conjunto con las autoridades competentes, dan seguimiento a través de la sistematización de información contenida en denuncias y averiguaciones previas relativas a delitos contra la libertad de expresión y emite informes mensuales de estadística al respecto</w:t>
      </w:r>
      <w:r w:rsidRPr="004E3E07">
        <w:rPr>
          <w:rStyle w:val="FootnoteReference"/>
          <w:rFonts w:ascii="Cambria" w:eastAsia="Cambria" w:hAnsi="Cambria" w:cs="Cambria"/>
          <w:sz w:val="20"/>
          <w:szCs w:val="20"/>
          <w:highlight w:val="white"/>
          <w:lang w:val="es-MX"/>
        </w:rPr>
        <w:footnoteReference w:id="475"/>
      </w:r>
      <w:r w:rsidRPr="004E3E07">
        <w:rPr>
          <w:rFonts w:ascii="Cambria" w:eastAsia="Cambria" w:hAnsi="Cambria" w:cs="Cambria"/>
          <w:sz w:val="20"/>
          <w:szCs w:val="20"/>
          <w:highlight w:val="white"/>
          <w:lang w:val="es-MX"/>
        </w:rPr>
        <w:t xml:space="preserve">. </w:t>
      </w:r>
    </w:p>
    <w:p w14:paraId="152EF1CD" w14:textId="77777777" w:rsidR="00BA5FE3" w:rsidRDefault="00586913" w:rsidP="00BA5FE3">
      <w:pPr>
        <w:numPr>
          <w:ilvl w:val="0"/>
          <w:numId w:val="5"/>
        </w:numPr>
        <w:shd w:val="clear" w:color="auto" w:fill="FFFFFF"/>
        <w:spacing w:after="240" w:line="240" w:lineRule="auto"/>
        <w:ind w:left="0" w:firstLine="720"/>
        <w:jc w:val="both"/>
        <w:rPr>
          <w:rFonts w:ascii="Cambria" w:eastAsia="Cambria" w:hAnsi="Cambria" w:cs="Cambria"/>
          <w:sz w:val="20"/>
          <w:szCs w:val="20"/>
          <w:lang w:val="es-MX"/>
        </w:rPr>
      </w:pPr>
      <w:r w:rsidRPr="004E3E07">
        <w:rPr>
          <w:rFonts w:ascii="Cambria" w:eastAsia="Cambria" w:hAnsi="Cambria" w:cs="Cambria"/>
          <w:sz w:val="20"/>
          <w:szCs w:val="20"/>
          <w:highlight w:val="white"/>
          <w:lang w:val="es-MX"/>
        </w:rPr>
        <w:t>En sus informes de seguimiento de recomendaciones previos, la CIDH y la Relatoría Especial han reconocido los esfuerzos de la FEADLE en el impulso procesal para investigar y sancionar delitos cometidos contra quienes ejercen la actividad periodística. Asimismo, han observado que la FEADLE tiene uno de los mayores índices en el cumplimiento en hacer pública la información relacionada con el número de investigaciones, consignaciones, sentencias, rezago y otros datos relevantes para la sociedad en materia de administración de justicia. No obstante, aún se observan retos relacionados con la falta de coordinación entre la jurisdicción federal y estatal en lo que respecta a la consolidación de una metodología única y publicación de estadísticas desagregadas. Como sostuvieron la Comisión y su Relatoría anteriormente, aún existen obstáculos para acceder a información detallada de las fiscalías o procuradurías estatales sobre las investigaciones de delitos contra periodistas.</w:t>
      </w:r>
    </w:p>
    <w:p w14:paraId="2EF85DC9" w14:textId="37F477CD" w:rsidR="000056B7" w:rsidRPr="00BA5FE3" w:rsidRDefault="00BA5FE3" w:rsidP="00BA5FE3">
      <w:pPr>
        <w:numPr>
          <w:ilvl w:val="0"/>
          <w:numId w:val="5"/>
        </w:numPr>
        <w:shd w:val="clear" w:color="auto" w:fill="FFFFFF"/>
        <w:spacing w:after="240" w:line="240" w:lineRule="auto"/>
        <w:ind w:left="0" w:firstLine="720"/>
        <w:jc w:val="both"/>
        <w:rPr>
          <w:rFonts w:asciiTheme="minorHAnsi" w:eastAsia="Cambria" w:hAnsiTheme="minorHAnsi" w:cs="Cambria"/>
          <w:sz w:val="16"/>
          <w:szCs w:val="16"/>
          <w:lang w:val="es-MX"/>
        </w:rPr>
      </w:pPr>
      <w:r w:rsidRPr="00BA5FE3">
        <w:rPr>
          <w:rFonts w:asciiTheme="minorHAnsi" w:eastAsia="Times New Roman" w:hAnsiTheme="minorHAnsi" w:cs="Segoe UI"/>
          <w:sz w:val="20"/>
          <w:szCs w:val="20"/>
          <w:lang w:val="es-ES_tradnl" w:eastAsia="es-MX"/>
        </w:rPr>
        <w:t>La Comisión considera que la recomendación continúa en cumplimiento parcial y anima al Estado mexicano a continuar en los esfuerzos de sistematización y actualización de cifras y de indicadores en materia de violencia contra periodistas, además de incrementar el trabajo de coordinación entre los distintos niveles de gobierno.</w:t>
      </w:r>
    </w:p>
    <w:p w14:paraId="4496221B" w14:textId="3A159A14" w:rsidR="00586913" w:rsidRPr="004E3E07" w:rsidRDefault="00586913" w:rsidP="00586913">
      <w:pPr>
        <w:numPr>
          <w:ilvl w:val="0"/>
          <w:numId w:val="5"/>
        </w:numPr>
        <w:shd w:val="clear" w:color="auto" w:fill="FFFFFF"/>
        <w:spacing w:after="240" w:line="240" w:lineRule="auto"/>
        <w:ind w:left="0" w:firstLine="720"/>
        <w:jc w:val="both"/>
        <w:rPr>
          <w:rFonts w:ascii="Cambria" w:eastAsia="Cambria" w:hAnsi="Cambria" w:cs="Cambria"/>
          <w:sz w:val="20"/>
          <w:szCs w:val="20"/>
          <w:lang w:val="es-MX"/>
        </w:rPr>
      </w:pPr>
      <w:r w:rsidRPr="004E3E07">
        <w:rPr>
          <w:rFonts w:ascii="Cambria" w:eastAsia="Cambria" w:hAnsi="Cambria" w:cs="Cambria"/>
          <w:sz w:val="20"/>
          <w:szCs w:val="20"/>
          <w:highlight w:val="white"/>
          <w:lang w:val="es-MX"/>
        </w:rPr>
        <w:t xml:space="preserve">Respecto de las recomendaciones </w:t>
      </w:r>
      <w:r w:rsidRPr="004E3E07">
        <w:rPr>
          <w:rFonts w:ascii="Cambria" w:eastAsia="Cambria" w:hAnsi="Cambria" w:cs="Cambria"/>
          <w:b/>
          <w:sz w:val="20"/>
          <w:szCs w:val="20"/>
          <w:highlight w:val="white"/>
          <w:lang w:val="es-MX"/>
        </w:rPr>
        <w:t xml:space="preserve">i) remover todos los obstáculos para que en la práctica la Fiscalía Especializada para la Atención de delitos contra la Libertad de Expresión, pueda atraer la investigación de los delitos cometido contra periodistas y contra la libertad de expresión; ii) mantener el carácter de fiscalía especializada de la FEADLE y dotarla de recursos económicos y humanos suficientes para que pueda cumplir con su labor; iii) adoptar protocolos especiales de investigación en virtud de los cuales se deba agotar completa y suficientemente la hipótesis de la relación del homicidio u agresión con el oficio periodístico; iv) mejorar la relación existente entre la jurisdicción federal y la jurisdicción estatal a fin de evitar que conflictos de competencia entorpezcan o retarden las investigaciones; y v) permitir que las víctimas, sus familias y cuando haya lugar sus coadyuvantes, puedan participar en los procesos penales con plenas garantías, tanto para la búsqueda de la verdad y el esclarecimiento de los hechos como al momento de exigir una reparación, </w:t>
      </w:r>
      <w:r w:rsidRPr="004E3E07">
        <w:rPr>
          <w:rFonts w:ascii="Cambria" w:eastAsia="Cambria" w:hAnsi="Cambria" w:cs="Cambria"/>
          <w:sz w:val="20"/>
          <w:szCs w:val="20"/>
          <w:highlight w:val="white"/>
          <w:lang w:val="es-MX"/>
        </w:rPr>
        <w:t xml:space="preserve">el Estado mexicano manifestó su compromiso en seguir avanzando con las medidas adoptadas hasta ahora para continuar ejerciendo la competencia de la FEADLE a fin de atraer las averiguaciones que las autoridades locales iniciaron con motivo de la probable </w:t>
      </w:r>
      <w:r w:rsidR="008016E7" w:rsidRPr="004E3E07">
        <w:rPr>
          <w:rFonts w:ascii="Cambria" w:eastAsia="Cambria" w:hAnsi="Cambria" w:cs="Cambria"/>
          <w:sz w:val="20"/>
          <w:szCs w:val="20"/>
          <w:highlight w:val="white"/>
          <w:lang w:val="es-MX"/>
        </w:rPr>
        <w:t>comisión</w:t>
      </w:r>
      <w:r w:rsidRPr="004E3E07">
        <w:rPr>
          <w:rFonts w:ascii="Cambria" w:eastAsia="Cambria" w:hAnsi="Cambria" w:cs="Cambria"/>
          <w:sz w:val="20"/>
          <w:szCs w:val="20"/>
          <w:highlight w:val="white"/>
          <w:lang w:val="es-MX"/>
        </w:rPr>
        <w:t xml:space="preserve"> de delitos cometidos contra periodistas. Asimismo, informó que, cuando se denuncia un caso de posibles agravios a periodistas, la FEADLE inicia una indagatoria de forma paralela a la </w:t>
      </w:r>
      <w:r w:rsidR="008016E7" w:rsidRPr="004E3E07">
        <w:rPr>
          <w:rFonts w:ascii="Cambria" w:eastAsia="Cambria" w:hAnsi="Cambria" w:cs="Cambria"/>
          <w:sz w:val="20"/>
          <w:szCs w:val="20"/>
          <w:highlight w:val="white"/>
          <w:lang w:val="es-MX"/>
        </w:rPr>
        <w:t>Procuraduría</w:t>
      </w:r>
      <w:r w:rsidRPr="004E3E07">
        <w:rPr>
          <w:rFonts w:ascii="Cambria" w:eastAsia="Cambria" w:hAnsi="Cambria" w:cs="Cambria"/>
          <w:sz w:val="20"/>
          <w:szCs w:val="20"/>
          <w:highlight w:val="white"/>
          <w:lang w:val="es-MX"/>
        </w:rPr>
        <w:t xml:space="preserve"> o </w:t>
      </w:r>
      <w:r w:rsidR="008016E7" w:rsidRPr="004E3E07">
        <w:rPr>
          <w:rFonts w:ascii="Cambria" w:eastAsia="Cambria" w:hAnsi="Cambria" w:cs="Cambria"/>
          <w:sz w:val="20"/>
          <w:szCs w:val="20"/>
          <w:highlight w:val="white"/>
          <w:lang w:val="es-MX"/>
        </w:rPr>
        <w:t>Fiscalía</w:t>
      </w:r>
      <w:r w:rsidRPr="004E3E07">
        <w:rPr>
          <w:rFonts w:ascii="Cambria" w:eastAsia="Cambria" w:hAnsi="Cambria" w:cs="Cambria"/>
          <w:sz w:val="20"/>
          <w:szCs w:val="20"/>
          <w:highlight w:val="white"/>
          <w:lang w:val="es-MX"/>
        </w:rPr>
        <w:t xml:space="preserve"> estatal competente. En dicha indagatoria, el agente del Ministerio </w:t>
      </w:r>
      <w:r w:rsidR="008016E7" w:rsidRPr="004E3E07">
        <w:rPr>
          <w:rFonts w:ascii="Cambria" w:eastAsia="Cambria" w:hAnsi="Cambria" w:cs="Cambria"/>
          <w:sz w:val="20"/>
          <w:szCs w:val="20"/>
          <w:highlight w:val="white"/>
          <w:lang w:val="es-MX"/>
        </w:rPr>
        <w:t>Publico</w:t>
      </w:r>
      <w:r w:rsidRPr="004E3E07">
        <w:rPr>
          <w:rFonts w:ascii="Cambria" w:eastAsia="Cambria" w:hAnsi="Cambria" w:cs="Cambria"/>
          <w:sz w:val="20"/>
          <w:szCs w:val="20"/>
          <w:highlight w:val="white"/>
          <w:lang w:val="es-MX"/>
        </w:rPr>
        <w:t xml:space="preserve"> recaba los elementos probatorios para </w:t>
      </w:r>
      <w:r w:rsidR="008016E7" w:rsidRPr="004E3E07">
        <w:rPr>
          <w:rFonts w:ascii="Cambria" w:eastAsia="Cambria" w:hAnsi="Cambria" w:cs="Cambria"/>
          <w:sz w:val="20"/>
          <w:szCs w:val="20"/>
          <w:highlight w:val="white"/>
          <w:lang w:val="es-MX"/>
        </w:rPr>
        <w:t>así</w:t>
      </w:r>
      <w:r w:rsidRPr="004E3E07">
        <w:rPr>
          <w:rFonts w:ascii="Cambria" w:eastAsia="Cambria" w:hAnsi="Cambria" w:cs="Cambria"/>
          <w:sz w:val="20"/>
          <w:szCs w:val="20"/>
          <w:highlight w:val="white"/>
          <w:lang w:val="es-MX"/>
        </w:rPr>
        <w:t xml:space="preserve">́ determinar si la persona agredida o asesinada podría haber sido </w:t>
      </w:r>
      <w:r w:rsidR="008016E7" w:rsidRPr="004E3E07">
        <w:rPr>
          <w:rFonts w:ascii="Cambria" w:eastAsia="Cambria" w:hAnsi="Cambria" w:cs="Cambria"/>
          <w:sz w:val="20"/>
          <w:szCs w:val="20"/>
          <w:highlight w:val="white"/>
          <w:lang w:val="es-MX"/>
        </w:rPr>
        <w:t>víctima</w:t>
      </w:r>
      <w:r w:rsidRPr="004E3E07">
        <w:rPr>
          <w:rFonts w:ascii="Cambria" w:eastAsia="Cambria" w:hAnsi="Cambria" w:cs="Cambria"/>
          <w:sz w:val="20"/>
          <w:szCs w:val="20"/>
          <w:highlight w:val="white"/>
          <w:lang w:val="es-MX"/>
        </w:rPr>
        <w:t xml:space="preserve"> de estos delitos como consecuencia directa de su labor </w:t>
      </w:r>
      <w:r w:rsidR="008016E7" w:rsidRPr="004E3E07">
        <w:rPr>
          <w:rFonts w:ascii="Cambria" w:eastAsia="Cambria" w:hAnsi="Cambria" w:cs="Cambria"/>
          <w:sz w:val="20"/>
          <w:szCs w:val="20"/>
          <w:highlight w:val="white"/>
          <w:lang w:val="es-MX"/>
        </w:rPr>
        <w:t>periodística</w:t>
      </w:r>
      <w:r w:rsidRPr="004E3E07">
        <w:rPr>
          <w:rFonts w:ascii="Cambria" w:eastAsia="Cambria" w:hAnsi="Cambria" w:cs="Cambria"/>
          <w:sz w:val="20"/>
          <w:szCs w:val="20"/>
          <w:highlight w:val="white"/>
          <w:lang w:val="es-MX"/>
        </w:rPr>
        <w:t xml:space="preserve">. A partir de ello, la FEADLE está en aptitud de ejercer la facultad de </w:t>
      </w:r>
      <w:r w:rsidR="008016E7" w:rsidRPr="004E3E07">
        <w:rPr>
          <w:rFonts w:ascii="Cambria" w:eastAsia="Cambria" w:hAnsi="Cambria" w:cs="Cambria"/>
          <w:sz w:val="20"/>
          <w:szCs w:val="20"/>
          <w:highlight w:val="white"/>
          <w:lang w:val="es-MX"/>
        </w:rPr>
        <w:t>atracción</w:t>
      </w:r>
      <w:r w:rsidRPr="004E3E07">
        <w:rPr>
          <w:rFonts w:ascii="Cambria" w:eastAsia="Cambria" w:hAnsi="Cambria" w:cs="Cambria"/>
          <w:sz w:val="20"/>
          <w:szCs w:val="20"/>
          <w:highlight w:val="white"/>
          <w:lang w:val="es-MX"/>
        </w:rPr>
        <w:t xml:space="preserve"> en </w:t>
      </w:r>
      <w:r w:rsidR="008016E7" w:rsidRPr="004E3E07">
        <w:rPr>
          <w:rFonts w:ascii="Cambria" w:eastAsia="Cambria" w:hAnsi="Cambria" w:cs="Cambria"/>
          <w:sz w:val="20"/>
          <w:szCs w:val="20"/>
          <w:highlight w:val="white"/>
          <w:lang w:val="es-MX"/>
        </w:rPr>
        <w:t>términos</w:t>
      </w:r>
      <w:r w:rsidRPr="004E3E07">
        <w:rPr>
          <w:rFonts w:ascii="Cambria" w:eastAsia="Cambria" w:hAnsi="Cambria" w:cs="Cambria"/>
          <w:sz w:val="20"/>
          <w:szCs w:val="20"/>
          <w:highlight w:val="white"/>
          <w:lang w:val="es-MX"/>
        </w:rPr>
        <w:t xml:space="preserve"> de lo dispuesto por el Código de Procedimientos Penales</w:t>
      </w:r>
      <w:r w:rsidRPr="004E3E07">
        <w:rPr>
          <w:rStyle w:val="FootnoteReference"/>
          <w:rFonts w:ascii="Cambria" w:eastAsia="Cambria" w:hAnsi="Cambria" w:cs="Cambria"/>
          <w:sz w:val="20"/>
          <w:szCs w:val="20"/>
          <w:highlight w:val="white"/>
          <w:lang w:val="es-MX"/>
        </w:rPr>
        <w:footnoteReference w:id="476"/>
      </w:r>
      <w:r w:rsidRPr="004E3E07">
        <w:rPr>
          <w:rFonts w:ascii="Cambria" w:eastAsia="Cambria" w:hAnsi="Cambria" w:cs="Cambria"/>
          <w:sz w:val="20"/>
          <w:szCs w:val="20"/>
          <w:highlight w:val="white"/>
          <w:lang w:val="es-MX"/>
        </w:rPr>
        <w:t xml:space="preserve">. </w:t>
      </w:r>
    </w:p>
    <w:p w14:paraId="6DA41A45" w14:textId="6CCCBE30" w:rsidR="00586913" w:rsidRPr="004E3E07" w:rsidRDefault="00586913" w:rsidP="00586913">
      <w:pPr>
        <w:numPr>
          <w:ilvl w:val="0"/>
          <w:numId w:val="5"/>
        </w:numPr>
        <w:shd w:val="clear" w:color="auto" w:fill="FFFFFF"/>
        <w:spacing w:after="240" w:line="240" w:lineRule="auto"/>
        <w:ind w:left="0" w:firstLine="720"/>
        <w:jc w:val="both"/>
        <w:rPr>
          <w:rFonts w:ascii="Cambria" w:eastAsia="Cambria" w:hAnsi="Cambria" w:cs="Cambria"/>
          <w:sz w:val="20"/>
          <w:szCs w:val="20"/>
          <w:lang w:val="es-MX"/>
        </w:rPr>
      </w:pPr>
      <w:r w:rsidRPr="004E3E07">
        <w:rPr>
          <w:rFonts w:ascii="Cambria" w:eastAsia="Cambria" w:hAnsi="Cambria" w:cs="Cambria"/>
          <w:sz w:val="20"/>
          <w:szCs w:val="20"/>
          <w:highlight w:val="white"/>
          <w:lang w:val="es-MX"/>
        </w:rPr>
        <w:t xml:space="preserve">Según indicó el Estado, como mecanismo de </w:t>
      </w:r>
      <w:r w:rsidR="008016E7" w:rsidRPr="004E3E07">
        <w:rPr>
          <w:rFonts w:ascii="Cambria" w:eastAsia="Cambria" w:hAnsi="Cambria" w:cs="Cambria"/>
          <w:sz w:val="20"/>
          <w:szCs w:val="20"/>
          <w:highlight w:val="white"/>
          <w:lang w:val="es-MX"/>
        </w:rPr>
        <w:t>evaluación</w:t>
      </w:r>
      <w:r w:rsidRPr="004E3E07">
        <w:rPr>
          <w:rFonts w:ascii="Cambria" w:eastAsia="Cambria" w:hAnsi="Cambria" w:cs="Cambria"/>
          <w:sz w:val="20"/>
          <w:szCs w:val="20"/>
          <w:highlight w:val="white"/>
          <w:lang w:val="es-MX"/>
        </w:rPr>
        <w:t xml:space="preserve"> han elaborado el </w:t>
      </w:r>
      <w:r w:rsidR="008016E7" w:rsidRPr="004E3E07">
        <w:rPr>
          <w:rFonts w:ascii="Cambria" w:eastAsia="Cambria" w:hAnsi="Cambria" w:cs="Cambria"/>
          <w:sz w:val="20"/>
          <w:szCs w:val="20"/>
          <w:highlight w:val="white"/>
          <w:lang w:val="es-MX"/>
        </w:rPr>
        <w:t>estándar</w:t>
      </w:r>
      <w:r w:rsidRPr="004E3E07">
        <w:rPr>
          <w:rFonts w:ascii="Cambria" w:eastAsia="Cambria" w:hAnsi="Cambria" w:cs="Cambria"/>
          <w:sz w:val="20"/>
          <w:szCs w:val="20"/>
          <w:highlight w:val="white"/>
          <w:lang w:val="es-MX"/>
        </w:rPr>
        <w:t xml:space="preserve"> de competencia de “</w:t>
      </w:r>
      <w:r w:rsidR="008016E7" w:rsidRPr="004E3E07">
        <w:rPr>
          <w:rFonts w:ascii="Cambria" w:eastAsia="Cambria" w:hAnsi="Cambria" w:cs="Cambria"/>
          <w:sz w:val="20"/>
          <w:szCs w:val="20"/>
          <w:highlight w:val="white"/>
          <w:lang w:val="es-MX"/>
        </w:rPr>
        <w:t>Investigación</w:t>
      </w:r>
      <w:r w:rsidRPr="004E3E07">
        <w:rPr>
          <w:rFonts w:ascii="Cambria" w:eastAsia="Cambria" w:hAnsi="Cambria" w:cs="Cambria"/>
          <w:sz w:val="20"/>
          <w:szCs w:val="20"/>
          <w:highlight w:val="white"/>
          <w:lang w:val="es-MX"/>
        </w:rPr>
        <w:t xml:space="preserve"> de delitos cometidos contra la libertad de </w:t>
      </w:r>
      <w:r w:rsidR="008016E7" w:rsidRPr="004E3E07">
        <w:rPr>
          <w:rFonts w:ascii="Cambria" w:eastAsia="Cambria" w:hAnsi="Cambria" w:cs="Cambria"/>
          <w:sz w:val="20"/>
          <w:szCs w:val="20"/>
          <w:highlight w:val="white"/>
          <w:lang w:val="es-MX"/>
        </w:rPr>
        <w:t>expresión</w:t>
      </w:r>
      <w:r w:rsidRPr="004E3E07">
        <w:rPr>
          <w:rFonts w:ascii="Cambria" w:eastAsia="Cambria" w:hAnsi="Cambria" w:cs="Cambria"/>
          <w:sz w:val="20"/>
          <w:szCs w:val="20"/>
          <w:highlight w:val="white"/>
          <w:lang w:val="es-MX"/>
        </w:rPr>
        <w:t xml:space="preserve"> bajo el enfoque diferencial y especializado”, y </w:t>
      </w:r>
      <w:r w:rsidR="008016E7" w:rsidRPr="004E3E07">
        <w:rPr>
          <w:rFonts w:ascii="Cambria" w:eastAsia="Cambria" w:hAnsi="Cambria" w:cs="Cambria"/>
          <w:sz w:val="20"/>
          <w:szCs w:val="20"/>
          <w:highlight w:val="white"/>
          <w:lang w:val="es-MX"/>
        </w:rPr>
        <w:t>continúan</w:t>
      </w:r>
      <w:r w:rsidRPr="004E3E07">
        <w:rPr>
          <w:rFonts w:ascii="Cambria" w:eastAsia="Cambria" w:hAnsi="Cambria" w:cs="Cambria"/>
          <w:sz w:val="20"/>
          <w:szCs w:val="20"/>
          <w:highlight w:val="white"/>
          <w:lang w:val="es-MX"/>
        </w:rPr>
        <w:t xml:space="preserve"> realizando foros o mesas de </w:t>
      </w:r>
      <w:r w:rsidR="008016E7" w:rsidRPr="004E3E07">
        <w:rPr>
          <w:rFonts w:ascii="Cambria" w:eastAsia="Cambria" w:hAnsi="Cambria" w:cs="Cambria"/>
          <w:sz w:val="20"/>
          <w:szCs w:val="20"/>
          <w:highlight w:val="white"/>
          <w:lang w:val="es-MX"/>
        </w:rPr>
        <w:t>discusión</w:t>
      </w:r>
      <w:r w:rsidRPr="004E3E07">
        <w:rPr>
          <w:rFonts w:ascii="Cambria" w:eastAsia="Cambria" w:hAnsi="Cambria" w:cs="Cambria"/>
          <w:sz w:val="20"/>
          <w:szCs w:val="20"/>
          <w:highlight w:val="white"/>
          <w:lang w:val="es-MX"/>
        </w:rPr>
        <w:t xml:space="preserve"> “tendientes a sensibilizar al Poder Judicial de la </w:t>
      </w:r>
      <w:r w:rsidR="008016E7" w:rsidRPr="004E3E07">
        <w:rPr>
          <w:rFonts w:ascii="Cambria" w:eastAsia="Cambria" w:hAnsi="Cambria" w:cs="Cambria"/>
          <w:sz w:val="20"/>
          <w:szCs w:val="20"/>
          <w:highlight w:val="white"/>
          <w:lang w:val="es-MX"/>
        </w:rPr>
        <w:t>Federación</w:t>
      </w:r>
      <w:r w:rsidRPr="004E3E07">
        <w:rPr>
          <w:rFonts w:ascii="Cambria" w:eastAsia="Cambria" w:hAnsi="Cambria" w:cs="Cambria"/>
          <w:sz w:val="20"/>
          <w:szCs w:val="20"/>
          <w:highlight w:val="white"/>
          <w:lang w:val="es-MX"/>
        </w:rPr>
        <w:t xml:space="preserve"> de la relevancia de la libertad de </w:t>
      </w:r>
      <w:r w:rsidR="008016E7" w:rsidRPr="004E3E07">
        <w:rPr>
          <w:rFonts w:ascii="Cambria" w:eastAsia="Cambria" w:hAnsi="Cambria" w:cs="Cambria"/>
          <w:sz w:val="20"/>
          <w:szCs w:val="20"/>
          <w:highlight w:val="white"/>
          <w:lang w:val="es-MX"/>
        </w:rPr>
        <w:t>expresión</w:t>
      </w:r>
      <w:r w:rsidRPr="004E3E07">
        <w:rPr>
          <w:rFonts w:ascii="Cambria" w:eastAsia="Cambria" w:hAnsi="Cambria" w:cs="Cambria"/>
          <w:sz w:val="20"/>
          <w:szCs w:val="20"/>
          <w:highlight w:val="white"/>
          <w:lang w:val="es-MX"/>
        </w:rPr>
        <w:t xml:space="preserve"> e imprenta, como valores </w:t>
      </w:r>
      <w:r w:rsidR="008016E7" w:rsidRPr="004E3E07">
        <w:rPr>
          <w:rFonts w:ascii="Cambria" w:eastAsia="Cambria" w:hAnsi="Cambria" w:cs="Cambria"/>
          <w:sz w:val="20"/>
          <w:szCs w:val="20"/>
          <w:highlight w:val="white"/>
          <w:lang w:val="es-MX"/>
        </w:rPr>
        <w:t>democráticos</w:t>
      </w:r>
      <w:r w:rsidRPr="004E3E07">
        <w:rPr>
          <w:rFonts w:ascii="Cambria" w:eastAsia="Cambria" w:hAnsi="Cambria" w:cs="Cambria"/>
          <w:sz w:val="20"/>
          <w:szCs w:val="20"/>
          <w:highlight w:val="white"/>
          <w:lang w:val="es-MX"/>
        </w:rPr>
        <w:t xml:space="preserve"> de las sociedades libres”</w:t>
      </w:r>
      <w:r w:rsidRPr="004E3E07">
        <w:rPr>
          <w:rStyle w:val="FootnoteReference"/>
          <w:rFonts w:ascii="Cambria" w:eastAsia="Cambria" w:hAnsi="Cambria" w:cs="Cambria"/>
          <w:sz w:val="20"/>
          <w:szCs w:val="20"/>
          <w:highlight w:val="white"/>
          <w:lang w:val="es-MX"/>
        </w:rPr>
        <w:footnoteReference w:id="477"/>
      </w:r>
      <w:r w:rsidRPr="004E3E07">
        <w:rPr>
          <w:rFonts w:ascii="Cambria" w:eastAsia="Cambria" w:hAnsi="Cambria" w:cs="Cambria"/>
          <w:sz w:val="20"/>
          <w:szCs w:val="20"/>
          <w:highlight w:val="white"/>
          <w:lang w:val="es-MX"/>
        </w:rPr>
        <w:t>.</w:t>
      </w:r>
    </w:p>
    <w:p w14:paraId="52E289E0" w14:textId="2CE2D776" w:rsidR="00586913" w:rsidRPr="004E3E07" w:rsidRDefault="00586913" w:rsidP="00586913">
      <w:pPr>
        <w:numPr>
          <w:ilvl w:val="0"/>
          <w:numId w:val="5"/>
        </w:numPr>
        <w:shd w:val="clear" w:color="auto" w:fill="FFFFFF"/>
        <w:spacing w:after="240" w:line="240" w:lineRule="auto"/>
        <w:ind w:left="0" w:firstLine="720"/>
        <w:jc w:val="both"/>
        <w:rPr>
          <w:rFonts w:ascii="Cambria" w:eastAsia="Cambria" w:hAnsi="Cambria" w:cs="Cambria"/>
          <w:sz w:val="20"/>
          <w:szCs w:val="20"/>
          <w:lang w:val="es-MX"/>
        </w:rPr>
      </w:pPr>
      <w:r w:rsidRPr="004E3E07">
        <w:rPr>
          <w:rFonts w:ascii="Cambria" w:eastAsia="Cambria" w:hAnsi="Cambria" w:cs="Cambria"/>
          <w:sz w:val="20"/>
          <w:szCs w:val="20"/>
          <w:highlight w:val="white"/>
          <w:lang w:val="es-MX"/>
        </w:rPr>
        <w:t xml:space="preserve">Por otra parte, el Estado ha informado a la Comisión acerca de la elaboración de un registro de control y seguimiento de procesos penales que permitiría “construir canales de </w:t>
      </w:r>
      <w:r w:rsidR="008016E7" w:rsidRPr="004E3E07">
        <w:rPr>
          <w:rFonts w:ascii="Cambria" w:eastAsia="Cambria" w:hAnsi="Cambria" w:cs="Cambria"/>
          <w:sz w:val="20"/>
          <w:szCs w:val="20"/>
          <w:highlight w:val="white"/>
          <w:lang w:val="es-MX"/>
        </w:rPr>
        <w:t>comunicación</w:t>
      </w:r>
      <w:r w:rsidRPr="004E3E07">
        <w:rPr>
          <w:rFonts w:ascii="Cambria" w:eastAsia="Cambria" w:hAnsi="Cambria" w:cs="Cambria"/>
          <w:sz w:val="20"/>
          <w:szCs w:val="20"/>
          <w:highlight w:val="white"/>
          <w:lang w:val="es-MX"/>
        </w:rPr>
        <w:t xml:space="preserve"> eficaces con los agentes del Ministerio </w:t>
      </w:r>
      <w:r w:rsidR="008016E7" w:rsidRPr="004E3E07">
        <w:rPr>
          <w:rFonts w:ascii="Cambria" w:eastAsia="Cambria" w:hAnsi="Cambria" w:cs="Cambria"/>
          <w:sz w:val="20"/>
          <w:szCs w:val="20"/>
          <w:highlight w:val="white"/>
          <w:lang w:val="es-MX"/>
        </w:rPr>
        <w:t>Publico</w:t>
      </w:r>
      <w:r w:rsidRPr="004E3E07">
        <w:rPr>
          <w:rFonts w:ascii="Cambria" w:eastAsia="Cambria" w:hAnsi="Cambria" w:cs="Cambria"/>
          <w:sz w:val="20"/>
          <w:szCs w:val="20"/>
          <w:highlight w:val="white"/>
          <w:lang w:val="es-MX"/>
        </w:rPr>
        <w:t xml:space="preserve"> adscritos a los respectivos </w:t>
      </w:r>
      <w:r w:rsidR="008016E7" w:rsidRPr="004E3E07">
        <w:rPr>
          <w:rFonts w:ascii="Cambria" w:eastAsia="Cambria" w:hAnsi="Cambria" w:cs="Cambria"/>
          <w:sz w:val="20"/>
          <w:szCs w:val="20"/>
          <w:highlight w:val="white"/>
          <w:lang w:val="es-MX"/>
        </w:rPr>
        <w:t>órganos</w:t>
      </w:r>
      <w:r w:rsidRPr="004E3E07">
        <w:rPr>
          <w:rFonts w:ascii="Cambria" w:eastAsia="Cambria" w:hAnsi="Cambria" w:cs="Cambria"/>
          <w:sz w:val="20"/>
          <w:szCs w:val="20"/>
          <w:highlight w:val="white"/>
          <w:lang w:val="es-MX"/>
        </w:rPr>
        <w:t xml:space="preserve"> jurisdiccionales (federales y locales) en los que se substancien respectivamente las causas penales con el objeto de brindarles apoyo </w:t>
      </w:r>
      <w:r w:rsidR="008016E7" w:rsidRPr="004E3E07">
        <w:rPr>
          <w:rFonts w:ascii="Cambria" w:eastAsia="Cambria" w:hAnsi="Cambria" w:cs="Cambria"/>
          <w:sz w:val="20"/>
          <w:szCs w:val="20"/>
          <w:highlight w:val="white"/>
          <w:lang w:val="es-MX"/>
        </w:rPr>
        <w:t>técnico</w:t>
      </w:r>
      <w:r w:rsidRPr="004E3E07">
        <w:rPr>
          <w:rFonts w:ascii="Cambria" w:eastAsia="Cambria" w:hAnsi="Cambria" w:cs="Cambria"/>
          <w:sz w:val="20"/>
          <w:szCs w:val="20"/>
          <w:highlight w:val="white"/>
          <w:lang w:val="es-MX"/>
        </w:rPr>
        <w:t>-</w:t>
      </w:r>
      <w:r w:rsidR="008016E7" w:rsidRPr="004E3E07">
        <w:rPr>
          <w:rFonts w:ascii="Cambria" w:eastAsia="Cambria" w:hAnsi="Cambria" w:cs="Cambria"/>
          <w:sz w:val="20"/>
          <w:szCs w:val="20"/>
          <w:highlight w:val="white"/>
          <w:lang w:val="es-MX"/>
        </w:rPr>
        <w:t>jurídico</w:t>
      </w:r>
      <w:r w:rsidRPr="004E3E07">
        <w:rPr>
          <w:rFonts w:ascii="Cambria" w:eastAsia="Cambria" w:hAnsi="Cambria" w:cs="Cambria"/>
          <w:sz w:val="20"/>
          <w:szCs w:val="20"/>
          <w:highlight w:val="white"/>
          <w:lang w:val="es-MX"/>
        </w:rPr>
        <w:t xml:space="preserve"> de ser necesario”. Asimismo, informaron sobre la realización de un curso de </w:t>
      </w:r>
      <w:r w:rsidR="008016E7" w:rsidRPr="004E3E07">
        <w:rPr>
          <w:rFonts w:ascii="Cambria" w:eastAsia="Cambria" w:hAnsi="Cambria" w:cs="Cambria"/>
          <w:sz w:val="20"/>
          <w:szCs w:val="20"/>
          <w:highlight w:val="white"/>
          <w:lang w:val="es-MX"/>
        </w:rPr>
        <w:t>capacitación</w:t>
      </w:r>
      <w:r w:rsidRPr="004E3E07">
        <w:rPr>
          <w:rFonts w:ascii="Cambria" w:eastAsia="Cambria" w:hAnsi="Cambria" w:cs="Cambria"/>
          <w:sz w:val="20"/>
          <w:szCs w:val="20"/>
          <w:highlight w:val="white"/>
          <w:lang w:val="es-MX"/>
        </w:rPr>
        <w:t xml:space="preserve"> sobre el “Protocolo de Medidas Preventivas de </w:t>
      </w:r>
      <w:r w:rsidR="008016E7" w:rsidRPr="004E3E07">
        <w:rPr>
          <w:rFonts w:ascii="Cambria" w:eastAsia="Cambria" w:hAnsi="Cambria" w:cs="Cambria"/>
          <w:sz w:val="20"/>
          <w:szCs w:val="20"/>
          <w:highlight w:val="white"/>
          <w:lang w:val="es-MX"/>
        </w:rPr>
        <w:t>Protección</w:t>
      </w:r>
      <w:r w:rsidRPr="004E3E07">
        <w:rPr>
          <w:rFonts w:ascii="Cambria" w:eastAsia="Cambria" w:hAnsi="Cambria" w:cs="Cambria"/>
          <w:sz w:val="20"/>
          <w:szCs w:val="20"/>
          <w:highlight w:val="white"/>
          <w:lang w:val="es-MX"/>
        </w:rPr>
        <w:t xml:space="preserve"> y Medidas Urgentes de </w:t>
      </w:r>
      <w:r w:rsidR="008016E7" w:rsidRPr="004E3E07">
        <w:rPr>
          <w:rFonts w:ascii="Cambria" w:eastAsia="Cambria" w:hAnsi="Cambria" w:cs="Cambria"/>
          <w:sz w:val="20"/>
          <w:szCs w:val="20"/>
          <w:highlight w:val="white"/>
          <w:lang w:val="es-MX"/>
        </w:rPr>
        <w:t>Protección</w:t>
      </w:r>
      <w:r w:rsidRPr="004E3E07">
        <w:rPr>
          <w:rFonts w:ascii="Cambria" w:eastAsia="Cambria" w:hAnsi="Cambria" w:cs="Cambria"/>
          <w:sz w:val="20"/>
          <w:szCs w:val="20"/>
          <w:highlight w:val="white"/>
          <w:lang w:val="es-MX"/>
        </w:rPr>
        <w:t xml:space="preserve">”, a </w:t>
      </w:r>
      <w:r w:rsidR="008016E7" w:rsidRPr="004E3E07">
        <w:rPr>
          <w:rFonts w:ascii="Cambria" w:eastAsia="Cambria" w:hAnsi="Cambria" w:cs="Cambria"/>
          <w:sz w:val="20"/>
          <w:szCs w:val="20"/>
          <w:highlight w:val="white"/>
          <w:lang w:val="es-MX"/>
        </w:rPr>
        <w:t>través</w:t>
      </w:r>
      <w:r w:rsidRPr="004E3E07">
        <w:rPr>
          <w:rFonts w:ascii="Cambria" w:eastAsia="Cambria" w:hAnsi="Cambria" w:cs="Cambria"/>
          <w:sz w:val="20"/>
          <w:szCs w:val="20"/>
          <w:highlight w:val="white"/>
          <w:lang w:val="es-MX"/>
        </w:rPr>
        <w:t xml:space="preserve"> del cual se buscaría unificar los criterios de </w:t>
      </w:r>
      <w:r w:rsidR="008016E7" w:rsidRPr="004E3E07">
        <w:rPr>
          <w:rFonts w:ascii="Cambria" w:eastAsia="Cambria" w:hAnsi="Cambria" w:cs="Cambria"/>
          <w:sz w:val="20"/>
          <w:szCs w:val="20"/>
          <w:highlight w:val="white"/>
          <w:lang w:val="es-MX"/>
        </w:rPr>
        <w:t>actuación</w:t>
      </w:r>
      <w:r w:rsidRPr="004E3E07">
        <w:rPr>
          <w:rFonts w:ascii="Cambria" w:eastAsia="Cambria" w:hAnsi="Cambria" w:cs="Cambria"/>
          <w:sz w:val="20"/>
          <w:szCs w:val="20"/>
          <w:highlight w:val="white"/>
          <w:lang w:val="es-MX"/>
        </w:rPr>
        <w:t xml:space="preserve"> ministerial en la debida </w:t>
      </w:r>
      <w:r w:rsidR="008016E7" w:rsidRPr="004E3E07">
        <w:rPr>
          <w:rFonts w:ascii="Cambria" w:eastAsia="Cambria" w:hAnsi="Cambria" w:cs="Cambria"/>
          <w:sz w:val="20"/>
          <w:szCs w:val="20"/>
          <w:highlight w:val="white"/>
          <w:lang w:val="es-MX"/>
        </w:rPr>
        <w:t>aplicación</w:t>
      </w:r>
      <w:r w:rsidRPr="004E3E07">
        <w:rPr>
          <w:rFonts w:ascii="Cambria" w:eastAsia="Cambria" w:hAnsi="Cambria" w:cs="Cambria"/>
          <w:sz w:val="20"/>
          <w:szCs w:val="20"/>
          <w:highlight w:val="white"/>
          <w:lang w:val="es-MX"/>
        </w:rPr>
        <w:t xml:space="preserve"> de las leyes de </w:t>
      </w:r>
      <w:r w:rsidR="008016E7" w:rsidRPr="004E3E07">
        <w:rPr>
          <w:rFonts w:ascii="Cambria" w:eastAsia="Cambria" w:hAnsi="Cambria" w:cs="Cambria"/>
          <w:sz w:val="20"/>
          <w:szCs w:val="20"/>
          <w:highlight w:val="white"/>
          <w:lang w:val="es-MX"/>
        </w:rPr>
        <w:t>protección</w:t>
      </w:r>
      <w:r w:rsidRPr="004E3E07">
        <w:rPr>
          <w:rFonts w:ascii="Cambria" w:eastAsia="Cambria" w:hAnsi="Cambria" w:cs="Cambria"/>
          <w:sz w:val="20"/>
          <w:szCs w:val="20"/>
          <w:highlight w:val="white"/>
          <w:lang w:val="es-MX"/>
        </w:rPr>
        <w:t xml:space="preserve"> a periodistas</w:t>
      </w:r>
      <w:r w:rsidRPr="004E3E07">
        <w:rPr>
          <w:rStyle w:val="FootnoteReference"/>
          <w:rFonts w:ascii="Cambria" w:eastAsia="Cambria" w:hAnsi="Cambria" w:cs="Cambria"/>
          <w:sz w:val="20"/>
          <w:szCs w:val="20"/>
          <w:highlight w:val="white"/>
          <w:lang w:val="es-MX"/>
        </w:rPr>
        <w:footnoteReference w:id="478"/>
      </w:r>
      <w:r w:rsidRPr="004E3E07">
        <w:rPr>
          <w:rFonts w:ascii="Cambria" w:eastAsia="Cambria" w:hAnsi="Cambria" w:cs="Cambria"/>
          <w:sz w:val="20"/>
          <w:szCs w:val="20"/>
          <w:highlight w:val="white"/>
          <w:lang w:val="es-MX"/>
        </w:rPr>
        <w:t>.</w:t>
      </w:r>
    </w:p>
    <w:p w14:paraId="2B85D397" w14:textId="344A6031" w:rsidR="00586913" w:rsidRPr="004E3E07" w:rsidRDefault="00586913" w:rsidP="00586913">
      <w:pPr>
        <w:numPr>
          <w:ilvl w:val="0"/>
          <w:numId w:val="5"/>
        </w:numPr>
        <w:shd w:val="clear" w:color="auto" w:fill="FFFFFF"/>
        <w:spacing w:after="240" w:line="240" w:lineRule="auto"/>
        <w:ind w:left="0" w:firstLine="720"/>
        <w:jc w:val="both"/>
        <w:rPr>
          <w:rFonts w:ascii="Cambria" w:eastAsia="Cambria" w:hAnsi="Cambria" w:cs="Cambria"/>
          <w:sz w:val="20"/>
          <w:szCs w:val="20"/>
          <w:lang w:val="es-MX"/>
        </w:rPr>
      </w:pPr>
      <w:r w:rsidRPr="004E3E07">
        <w:rPr>
          <w:rFonts w:ascii="Cambria" w:eastAsia="Cambria" w:hAnsi="Cambria" w:cs="Cambria"/>
          <w:sz w:val="20"/>
          <w:szCs w:val="20"/>
          <w:highlight w:val="white"/>
          <w:lang w:val="es-MX"/>
        </w:rPr>
        <w:t xml:space="preserve">El Estado mexicano aclaró, además, que la FEADLE inicia las investigaciones independientemente de las que realizan las </w:t>
      </w:r>
      <w:r w:rsidR="008016E7" w:rsidRPr="004E3E07">
        <w:rPr>
          <w:rFonts w:ascii="Cambria" w:eastAsia="Cambria" w:hAnsi="Cambria" w:cs="Cambria"/>
          <w:sz w:val="20"/>
          <w:szCs w:val="20"/>
          <w:highlight w:val="white"/>
          <w:lang w:val="es-MX"/>
        </w:rPr>
        <w:t>fiscalías</w:t>
      </w:r>
      <w:r w:rsidRPr="004E3E07">
        <w:rPr>
          <w:rFonts w:ascii="Cambria" w:eastAsia="Cambria" w:hAnsi="Cambria" w:cs="Cambria"/>
          <w:sz w:val="20"/>
          <w:szCs w:val="20"/>
          <w:highlight w:val="white"/>
          <w:lang w:val="es-MX"/>
        </w:rPr>
        <w:t xml:space="preserve"> o </w:t>
      </w:r>
      <w:r w:rsidR="008016E7" w:rsidRPr="004E3E07">
        <w:rPr>
          <w:rFonts w:ascii="Cambria" w:eastAsia="Cambria" w:hAnsi="Cambria" w:cs="Cambria"/>
          <w:sz w:val="20"/>
          <w:szCs w:val="20"/>
          <w:highlight w:val="white"/>
          <w:lang w:val="es-MX"/>
        </w:rPr>
        <w:t>procuradurías</w:t>
      </w:r>
      <w:r w:rsidRPr="004E3E07">
        <w:rPr>
          <w:rFonts w:ascii="Cambria" w:eastAsia="Cambria" w:hAnsi="Cambria" w:cs="Cambria"/>
          <w:sz w:val="20"/>
          <w:szCs w:val="20"/>
          <w:highlight w:val="white"/>
          <w:lang w:val="es-MX"/>
        </w:rPr>
        <w:t xml:space="preserve"> estatales de todo el </w:t>
      </w:r>
      <w:r w:rsidR="008016E7" w:rsidRPr="004E3E07">
        <w:rPr>
          <w:rFonts w:ascii="Cambria" w:eastAsia="Cambria" w:hAnsi="Cambria" w:cs="Cambria"/>
          <w:sz w:val="20"/>
          <w:szCs w:val="20"/>
          <w:highlight w:val="white"/>
          <w:lang w:val="es-MX"/>
        </w:rPr>
        <w:t>país</w:t>
      </w:r>
      <w:r w:rsidRPr="004E3E07">
        <w:rPr>
          <w:rFonts w:ascii="Cambria" w:eastAsia="Cambria" w:hAnsi="Cambria" w:cs="Cambria"/>
          <w:sz w:val="20"/>
          <w:szCs w:val="20"/>
          <w:highlight w:val="white"/>
          <w:lang w:val="es-MX"/>
        </w:rPr>
        <w:t xml:space="preserve"> y se trabaja de manera coordinada; ya que al tener estas la responsabilidad de origen, en muchas ocasiones, cuentan con </w:t>
      </w:r>
      <w:r w:rsidR="008016E7" w:rsidRPr="004E3E07">
        <w:rPr>
          <w:rFonts w:ascii="Cambria" w:eastAsia="Cambria" w:hAnsi="Cambria" w:cs="Cambria"/>
          <w:sz w:val="20"/>
          <w:szCs w:val="20"/>
          <w:highlight w:val="white"/>
          <w:lang w:val="es-MX"/>
        </w:rPr>
        <w:t>información</w:t>
      </w:r>
      <w:r w:rsidRPr="004E3E07">
        <w:rPr>
          <w:rFonts w:ascii="Cambria" w:eastAsia="Cambria" w:hAnsi="Cambria" w:cs="Cambria"/>
          <w:sz w:val="20"/>
          <w:szCs w:val="20"/>
          <w:highlight w:val="white"/>
          <w:lang w:val="es-MX"/>
        </w:rPr>
        <w:t xml:space="preserve"> derivada de las primeras diligencias en la </w:t>
      </w:r>
      <w:r w:rsidR="008016E7" w:rsidRPr="004E3E07">
        <w:rPr>
          <w:rFonts w:ascii="Cambria" w:eastAsia="Cambria" w:hAnsi="Cambria" w:cs="Cambria"/>
          <w:sz w:val="20"/>
          <w:szCs w:val="20"/>
          <w:highlight w:val="white"/>
          <w:lang w:val="es-MX"/>
        </w:rPr>
        <w:t>investigación</w:t>
      </w:r>
      <w:r w:rsidRPr="004E3E07">
        <w:rPr>
          <w:rStyle w:val="FootnoteReference"/>
          <w:rFonts w:ascii="Cambria" w:eastAsia="Cambria" w:hAnsi="Cambria" w:cs="Cambria"/>
          <w:sz w:val="20"/>
          <w:szCs w:val="20"/>
          <w:highlight w:val="white"/>
          <w:lang w:val="es-MX"/>
        </w:rPr>
        <w:footnoteReference w:id="479"/>
      </w:r>
      <w:r w:rsidRPr="004E3E07">
        <w:rPr>
          <w:rFonts w:ascii="Cambria" w:eastAsia="Cambria" w:hAnsi="Cambria" w:cs="Cambria"/>
          <w:sz w:val="20"/>
          <w:szCs w:val="20"/>
          <w:highlight w:val="white"/>
          <w:lang w:val="es-MX"/>
        </w:rPr>
        <w:t xml:space="preserve">. </w:t>
      </w:r>
    </w:p>
    <w:p w14:paraId="2ECBC889" w14:textId="717CCEB3" w:rsidR="00586913" w:rsidRPr="004E3E07" w:rsidRDefault="00586913" w:rsidP="00586913">
      <w:pPr>
        <w:numPr>
          <w:ilvl w:val="0"/>
          <w:numId w:val="5"/>
        </w:numPr>
        <w:shd w:val="clear" w:color="auto" w:fill="FFFFFF"/>
        <w:spacing w:after="240" w:line="240" w:lineRule="auto"/>
        <w:ind w:left="0" w:firstLine="720"/>
        <w:jc w:val="both"/>
        <w:rPr>
          <w:rFonts w:ascii="Cambria" w:eastAsia="Cambria" w:hAnsi="Cambria" w:cs="Cambria"/>
          <w:sz w:val="20"/>
          <w:szCs w:val="20"/>
          <w:lang w:val="es-MX"/>
        </w:rPr>
      </w:pPr>
      <w:r w:rsidRPr="004E3E07">
        <w:rPr>
          <w:rFonts w:ascii="Cambria" w:eastAsia="Cambria" w:hAnsi="Cambria" w:cs="Cambria"/>
          <w:sz w:val="20"/>
          <w:szCs w:val="20"/>
          <w:highlight w:val="white"/>
          <w:lang w:val="es-MX"/>
        </w:rPr>
        <w:t xml:space="preserve">En relación con la recomendación orientada a que las víctimas, sus familias y coadyuvantes puedan participar en los procesos penales con plenas </w:t>
      </w:r>
      <w:r w:rsidR="008016E7" w:rsidRPr="004E3E07">
        <w:rPr>
          <w:rFonts w:ascii="Cambria" w:eastAsia="Cambria" w:hAnsi="Cambria" w:cs="Cambria"/>
          <w:sz w:val="20"/>
          <w:szCs w:val="20"/>
          <w:highlight w:val="white"/>
          <w:lang w:val="es-MX"/>
        </w:rPr>
        <w:t>garantías</w:t>
      </w:r>
      <w:r w:rsidRPr="004E3E07">
        <w:rPr>
          <w:rFonts w:ascii="Cambria" w:eastAsia="Cambria" w:hAnsi="Cambria" w:cs="Cambria"/>
          <w:sz w:val="20"/>
          <w:szCs w:val="20"/>
          <w:highlight w:val="white"/>
          <w:lang w:val="es-MX"/>
        </w:rPr>
        <w:t xml:space="preserve">, tanto para la </w:t>
      </w:r>
      <w:r w:rsidR="008016E7" w:rsidRPr="004E3E07">
        <w:rPr>
          <w:rFonts w:ascii="Cambria" w:eastAsia="Cambria" w:hAnsi="Cambria" w:cs="Cambria"/>
          <w:sz w:val="20"/>
          <w:szCs w:val="20"/>
          <w:highlight w:val="white"/>
          <w:lang w:val="es-MX"/>
        </w:rPr>
        <w:t>búsqueda</w:t>
      </w:r>
      <w:r w:rsidRPr="004E3E07">
        <w:rPr>
          <w:rFonts w:ascii="Cambria" w:eastAsia="Cambria" w:hAnsi="Cambria" w:cs="Cambria"/>
          <w:sz w:val="20"/>
          <w:szCs w:val="20"/>
          <w:highlight w:val="white"/>
          <w:lang w:val="es-MX"/>
        </w:rPr>
        <w:t xml:space="preserve"> de la verdad y el esclarecimiento de los hechos como al momento de exigir una </w:t>
      </w:r>
      <w:r w:rsidR="008016E7" w:rsidRPr="004E3E07">
        <w:rPr>
          <w:rFonts w:ascii="Cambria" w:eastAsia="Cambria" w:hAnsi="Cambria" w:cs="Cambria"/>
          <w:sz w:val="20"/>
          <w:szCs w:val="20"/>
          <w:highlight w:val="white"/>
          <w:lang w:val="es-MX"/>
        </w:rPr>
        <w:t>reparación</w:t>
      </w:r>
      <w:r w:rsidRPr="004E3E07">
        <w:rPr>
          <w:rFonts w:ascii="Cambria" w:eastAsia="Cambria" w:hAnsi="Cambria" w:cs="Cambria"/>
          <w:sz w:val="20"/>
          <w:szCs w:val="20"/>
          <w:highlight w:val="white"/>
          <w:lang w:val="es-MX"/>
        </w:rPr>
        <w:t xml:space="preserve">, las autoridades informaron que la </w:t>
      </w:r>
      <w:r w:rsidR="008016E7" w:rsidRPr="004E3E07">
        <w:rPr>
          <w:rFonts w:ascii="Cambria" w:eastAsia="Cambria" w:hAnsi="Cambria" w:cs="Cambria"/>
          <w:sz w:val="20"/>
          <w:szCs w:val="20"/>
          <w:highlight w:val="white"/>
          <w:lang w:val="es-MX"/>
        </w:rPr>
        <w:t>Comisión</w:t>
      </w:r>
      <w:r w:rsidRPr="004E3E07">
        <w:rPr>
          <w:rFonts w:ascii="Cambria" w:eastAsia="Cambria" w:hAnsi="Cambria" w:cs="Cambria"/>
          <w:sz w:val="20"/>
          <w:szCs w:val="20"/>
          <w:highlight w:val="white"/>
          <w:lang w:val="es-MX"/>
        </w:rPr>
        <w:t xml:space="preserve"> Ejecutiva de </w:t>
      </w:r>
      <w:r w:rsidR="008016E7" w:rsidRPr="004E3E07">
        <w:rPr>
          <w:rFonts w:ascii="Cambria" w:eastAsia="Cambria" w:hAnsi="Cambria" w:cs="Cambria"/>
          <w:sz w:val="20"/>
          <w:szCs w:val="20"/>
          <w:highlight w:val="white"/>
          <w:lang w:val="es-MX"/>
        </w:rPr>
        <w:t>Atención</w:t>
      </w:r>
      <w:r w:rsidRPr="004E3E07">
        <w:rPr>
          <w:rFonts w:ascii="Cambria" w:eastAsia="Cambria" w:hAnsi="Cambria" w:cs="Cambria"/>
          <w:sz w:val="20"/>
          <w:szCs w:val="20"/>
          <w:highlight w:val="white"/>
          <w:lang w:val="es-MX"/>
        </w:rPr>
        <w:t xml:space="preserve"> a </w:t>
      </w:r>
      <w:r w:rsidR="008016E7" w:rsidRPr="004E3E07">
        <w:rPr>
          <w:rFonts w:ascii="Cambria" w:eastAsia="Cambria" w:hAnsi="Cambria" w:cs="Cambria"/>
          <w:sz w:val="20"/>
          <w:szCs w:val="20"/>
          <w:highlight w:val="white"/>
          <w:lang w:val="es-MX"/>
        </w:rPr>
        <w:t>Víctimas</w:t>
      </w:r>
      <w:r w:rsidRPr="004E3E07">
        <w:rPr>
          <w:rFonts w:ascii="Cambria" w:eastAsia="Cambria" w:hAnsi="Cambria" w:cs="Cambria"/>
          <w:sz w:val="20"/>
          <w:szCs w:val="20"/>
          <w:highlight w:val="white"/>
          <w:lang w:val="es-MX"/>
        </w:rPr>
        <w:t xml:space="preserve">, a </w:t>
      </w:r>
      <w:r w:rsidR="008016E7" w:rsidRPr="004E3E07">
        <w:rPr>
          <w:rFonts w:ascii="Cambria" w:eastAsia="Cambria" w:hAnsi="Cambria" w:cs="Cambria"/>
          <w:sz w:val="20"/>
          <w:szCs w:val="20"/>
          <w:highlight w:val="white"/>
          <w:lang w:val="es-MX"/>
        </w:rPr>
        <w:t>través</w:t>
      </w:r>
      <w:r w:rsidRPr="004E3E07">
        <w:rPr>
          <w:rFonts w:ascii="Cambria" w:eastAsia="Cambria" w:hAnsi="Cambria" w:cs="Cambria"/>
          <w:sz w:val="20"/>
          <w:szCs w:val="20"/>
          <w:highlight w:val="white"/>
          <w:lang w:val="es-MX"/>
        </w:rPr>
        <w:t xml:space="preserve"> de la </w:t>
      </w:r>
      <w:r w:rsidR="008016E7" w:rsidRPr="004E3E07">
        <w:rPr>
          <w:rFonts w:ascii="Cambria" w:eastAsia="Cambria" w:hAnsi="Cambria" w:cs="Cambria"/>
          <w:sz w:val="20"/>
          <w:szCs w:val="20"/>
          <w:highlight w:val="white"/>
          <w:lang w:val="es-MX"/>
        </w:rPr>
        <w:t>Dirección</w:t>
      </w:r>
      <w:r w:rsidRPr="004E3E07">
        <w:rPr>
          <w:rFonts w:ascii="Cambria" w:eastAsia="Cambria" w:hAnsi="Cambria" w:cs="Cambria"/>
          <w:sz w:val="20"/>
          <w:szCs w:val="20"/>
          <w:highlight w:val="white"/>
          <w:lang w:val="es-MX"/>
        </w:rPr>
        <w:t xml:space="preserve"> General de la </w:t>
      </w:r>
      <w:r w:rsidR="008016E7" w:rsidRPr="004E3E07">
        <w:rPr>
          <w:rFonts w:ascii="Cambria" w:eastAsia="Cambria" w:hAnsi="Cambria" w:cs="Cambria"/>
          <w:sz w:val="20"/>
          <w:szCs w:val="20"/>
          <w:highlight w:val="white"/>
          <w:lang w:val="es-MX"/>
        </w:rPr>
        <w:t>Asesoría</w:t>
      </w:r>
      <w:r w:rsidRPr="004E3E07">
        <w:rPr>
          <w:rFonts w:ascii="Cambria" w:eastAsia="Cambria" w:hAnsi="Cambria" w:cs="Cambria"/>
          <w:sz w:val="20"/>
          <w:szCs w:val="20"/>
          <w:highlight w:val="white"/>
          <w:lang w:val="es-MX"/>
        </w:rPr>
        <w:t xml:space="preserve"> </w:t>
      </w:r>
      <w:r w:rsidR="008016E7" w:rsidRPr="004E3E07">
        <w:rPr>
          <w:rFonts w:ascii="Cambria" w:eastAsia="Cambria" w:hAnsi="Cambria" w:cs="Cambria"/>
          <w:sz w:val="20"/>
          <w:szCs w:val="20"/>
          <w:highlight w:val="white"/>
          <w:lang w:val="es-MX"/>
        </w:rPr>
        <w:t>Jurídica</w:t>
      </w:r>
      <w:r w:rsidRPr="004E3E07">
        <w:rPr>
          <w:rFonts w:ascii="Cambria" w:eastAsia="Cambria" w:hAnsi="Cambria" w:cs="Cambria"/>
          <w:sz w:val="20"/>
          <w:szCs w:val="20"/>
          <w:highlight w:val="white"/>
          <w:lang w:val="es-MX"/>
        </w:rPr>
        <w:t xml:space="preserve"> Federal, brinda </w:t>
      </w:r>
      <w:r w:rsidR="008016E7" w:rsidRPr="004E3E07">
        <w:rPr>
          <w:rFonts w:ascii="Cambria" w:eastAsia="Cambria" w:hAnsi="Cambria" w:cs="Cambria"/>
          <w:sz w:val="20"/>
          <w:szCs w:val="20"/>
          <w:highlight w:val="white"/>
          <w:lang w:val="es-MX"/>
        </w:rPr>
        <w:t>orientación</w:t>
      </w:r>
      <w:r w:rsidRPr="004E3E07">
        <w:rPr>
          <w:rFonts w:ascii="Cambria" w:eastAsia="Cambria" w:hAnsi="Cambria" w:cs="Cambria"/>
          <w:sz w:val="20"/>
          <w:szCs w:val="20"/>
          <w:highlight w:val="white"/>
          <w:lang w:val="es-MX"/>
        </w:rPr>
        <w:t xml:space="preserve">, </w:t>
      </w:r>
      <w:r w:rsidR="008016E7" w:rsidRPr="004E3E07">
        <w:rPr>
          <w:rFonts w:ascii="Cambria" w:eastAsia="Cambria" w:hAnsi="Cambria" w:cs="Cambria"/>
          <w:sz w:val="20"/>
          <w:szCs w:val="20"/>
          <w:highlight w:val="white"/>
          <w:lang w:val="es-MX"/>
        </w:rPr>
        <w:t>asesoría</w:t>
      </w:r>
      <w:r w:rsidRPr="004E3E07">
        <w:rPr>
          <w:rFonts w:ascii="Cambria" w:eastAsia="Cambria" w:hAnsi="Cambria" w:cs="Cambria"/>
          <w:sz w:val="20"/>
          <w:szCs w:val="20"/>
          <w:highlight w:val="white"/>
          <w:lang w:val="es-MX"/>
        </w:rPr>
        <w:t xml:space="preserve">, </w:t>
      </w:r>
      <w:r w:rsidR="008016E7" w:rsidRPr="004E3E07">
        <w:rPr>
          <w:rFonts w:ascii="Cambria" w:eastAsia="Cambria" w:hAnsi="Cambria" w:cs="Cambria"/>
          <w:sz w:val="20"/>
          <w:szCs w:val="20"/>
          <w:highlight w:val="white"/>
          <w:lang w:val="es-MX"/>
        </w:rPr>
        <w:t>representación</w:t>
      </w:r>
      <w:r w:rsidRPr="004E3E07">
        <w:rPr>
          <w:rFonts w:ascii="Cambria" w:eastAsia="Cambria" w:hAnsi="Cambria" w:cs="Cambria"/>
          <w:sz w:val="20"/>
          <w:szCs w:val="20"/>
          <w:highlight w:val="white"/>
          <w:lang w:val="es-MX"/>
        </w:rPr>
        <w:t xml:space="preserve"> y </w:t>
      </w:r>
      <w:r w:rsidR="008016E7" w:rsidRPr="004E3E07">
        <w:rPr>
          <w:rFonts w:ascii="Cambria" w:eastAsia="Cambria" w:hAnsi="Cambria" w:cs="Cambria"/>
          <w:sz w:val="20"/>
          <w:szCs w:val="20"/>
          <w:highlight w:val="white"/>
          <w:lang w:val="es-MX"/>
        </w:rPr>
        <w:t>acompañamiento</w:t>
      </w:r>
      <w:r w:rsidRPr="004E3E07">
        <w:rPr>
          <w:rFonts w:ascii="Cambria" w:eastAsia="Cambria" w:hAnsi="Cambria" w:cs="Cambria"/>
          <w:sz w:val="20"/>
          <w:szCs w:val="20"/>
          <w:highlight w:val="white"/>
          <w:lang w:val="es-MX"/>
        </w:rPr>
        <w:t xml:space="preserve"> legal a los familiares de las </w:t>
      </w:r>
      <w:r w:rsidR="008016E7" w:rsidRPr="004E3E07">
        <w:rPr>
          <w:rFonts w:ascii="Cambria" w:eastAsia="Cambria" w:hAnsi="Cambria" w:cs="Cambria"/>
          <w:sz w:val="20"/>
          <w:szCs w:val="20"/>
          <w:highlight w:val="white"/>
          <w:lang w:val="es-MX"/>
        </w:rPr>
        <w:t>víctimas</w:t>
      </w:r>
      <w:r w:rsidRPr="004E3E07">
        <w:rPr>
          <w:rFonts w:ascii="Cambria" w:eastAsia="Cambria" w:hAnsi="Cambria" w:cs="Cambria"/>
          <w:sz w:val="20"/>
          <w:szCs w:val="20"/>
          <w:highlight w:val="white"/>
          <w:lang w:val="es-MX"/>
        </w:rPr>
        <w:t xml:space="preserve"> directas garantizando su </w:t>
      </w:r>
      <w:r w:rsidR="008016E7" w:rsidRPr="004E3E07">
        <w:rPr>
          <w:rFonts w:ascii="Cambria" w:eastAsia="Cambria" w:hAnsi="Cambria" w:cs="Cambria"/>
          <w:sz w:val="20"/>
          <w:szCs w:val="20"/>
          <w:highlight w:val="white"/>
          <w:lang w:val="es-MX"/>
        </w:rPr>
        <w:t>participación</w:t>
      </w:r>
      <w:r w:rsidRPr="004E3E07">
        <w:rPr>
          <w:rFonts w:ascii="Cambria" w:eastAsia="Cambria" w:hAnsi="Cambria" w:cs="Cambria"/>
          <w:sz w:val="20"/>
          <w:szCs w:val="20"/>
          <w:highlight w:val="white"/>
          <w:lang w:val="es-MX"/>
        </w:rPr>
        <w:t xml:space="preserve"> en los procesos penales. En ese sentido, se les otorga </w:t>
      </w:r>
      <w:r w:rsidR="008016E7" w:rsidRPr="004E3E07">
        <w:rPr>
          <w:rFonts w:ascii="Cambria" w:eastAsia="Cambria" w:hAnsi="Cambria" w:cs="Cambria"/>
          <w:sz w:val="20"/>
          <w:szCs w:val="20"/>
          <w:highlight w:val="white"/>
          <w:lang w:val="es-MX"/>
        </w:rPr>
        <w:t>información</w:t>
      </w:r>
      <w:r w:rsidRPr="004E3E07">
        <w:rPr>
          <w:rFonts w:ascii="Cambria" w:eastAsia="Cambria" w:hAnsi="Cambria" w:cs="Cambria"/>
          <w:sz w:val="20"/>
          <w:szCs w:val="20"/>
          <w:highlight w:val="white"/>
          <w:lang w:val="es-MX"/>
        </w:rPr>
        <w:t xml:space="preserve"> de manera clara sobre los procesos y medios de defensa en aras de garantizar su acceso a la verdad, justicia y esclarecimiento de los hechos ante las autoridades correspondientes</w:t>
      </w:r>
      <w:r w:rsidRPr="004E3E07">
        <w:rPr>
          <w:rStyle w:val="FootnoteReference"/>
          <w:rFonts w:ascii="Cambria" w:eastAsia="Cambria" w:hAnsi="Cambria" w:cs="Cambria"/>
          <w:sz w:val="20"/>
          <w:szCs w:val="20"/>
          <w:highlight w:val="white"/>
          <w:lang w:val="es-MX"/>
        </w:rPr>
        <w:footnoteReference w:id="480"/>
      </w:r>
      <w:r w:rsidRPr="004E3E07">
        <w:rPr>
          <w:rFonts w:ascii="Cambria" w:eastAsia="Cambria" w:hAnsi="Cambria" w:cs="Cambria"/>
          <w:sz w:val="20"/>
          <w:szCs w:val="20"/>
          <w:highlight w:val="white"/>
          <w:lang w:val="es-MX"/>
        </w:rPr>
        <w:t xml:space="preserve">. </w:t>
      </w:r>
    </w:p>
    <w:p w14:paraId="5C0D5572" w14:textId="24590414" w:rsidR="00586913" w:rsidRPr="004E3E07" w:rsidRDefault="00586913" w:rsidP="00586913">
      <w:pPr>
        <w:numPr>
          <w:ilvl w:val="0"/>
          <w:numId w:val="5"/>
        </w:numPr>
        <w:shd w:val="clear" w:color="auto" w:fill="FFFFFF"/>
        <w:spacing w:after="240" w:line="240" w:lineRule="auto"/>
        <w:ind w:left="0" w:firstLine="720"/>
        <w:jc w:val="both"/>
        <w:rPr>
          <w:rFonts w:ascii="Cambria" w:eastAsia="Cambria" w:hAnsi="Cambria" w:cs="Cambria"/>
          <w:sz w:val="20"/>
          <w:szCs w:val="20"/>
          <w:lang w:val="es-MX"/>
        </w:rPr>
      </w:pPr>
      <w:r w:rsidRPr="004E3E07">
        <w:rPr>
          <w:rFonts w:ascii="Cambria" w:eastAsia="Cambria" w:hAnsi="Cambria" w:cs="Cambria"/>
          <w:sz w:val="20"/>
          <w:szCs w:val="20"/>
          <w:highlight w:val="white"/>
          <w:lang w:val="es-MX"/>
        </w:rPr>
        <w:t>La Comisión y su Relatoría recibieron con gratificación los avances en la procuración de justicia en algunos de los casos más emblemáticos de asesinatos cometidos contra personas periodistas en México durante las últimas décadas, algunos de los cuales fueron acompañados por la FEADLE</w:t>
      </w:r>
      <w:r w:rsidRPr="004E3E07">
        <w:rPr>
          <w:rFonts w:ascii="Cambria" w:eastAsia="Cambria" w:hAnsi="Cambria" w:cs="Cambria"/>
          <w:sz w:val="20"/>
          <w:szCs w:val="20"/>
          <w:highlight w:val="white"/>
          <w:vertAlign w:val="superscript"/>
          <w:lang w:val="es-MX"/>
        </w:rPr>
        <w:footnoteReference w:id="481"/>
      </w:r>
      <w:r w:rsidRPr="004E3E07">
        <w:rPr>
          <w:rFonts w:ascii="Cambria" w:eastAsia="Cambria" w:hAnsi="Cambria" w:cs="Cambria"/>
          <w:sz w:val="20"/>
          <w:szCs w:val="20"/>
          <w:highlight w:val="white"/>
          <w:lang w:val="es-MX"/>
        </w:rPr>
        <w:t>. De acuerdo a la información disponible, el 15 de junio de 2021, Hugo Amed Schultz, exalcalde de Chí</w:t>
      </w:r>
      <w:r w:rsidRPr="004E3E07">
        <w:rPr>
          <w:rFonts w:ascii="Cambria" w:eastAsia="Cambria" w:hAnsi="Cambria" w:cs="Cambria"/>
          <w:sz w:val="20"/>
          <w:szCs w:val="20"/>
          <w:lang w:val="es-MX"/>
        </w:rPr>
        <w:t>nipas, Chihuahua, fue condenado a 8 años de prisión como partícipe auxiliador en el homicidio de la periodista Miroslava Breach Velducea, ocurrido el 23 de marzo de 2017. La jueza a cargo de la audiencia estableció la obligación de reparar el daño de forma integral a todas las víctimas, así como también la realización de un acto de reconocimiento y disculpa pública. Según la información recibida, el exfuncionario renunció en audiencia a su derecho de presentar recurso de apelación en contra de la sentencia dictada, por lo que la misma quedó firme y el procedimiento pasó a etapa de ejecución de sentencia</w:t>
      </w:r>
      <w:r w:rsidRPr="004E3E07">
        <w:rPr>
          <w:rFonts w:ascii="Cambria" w:eastAsia="Cambria" w:hAnsi="Cambria" w:cs="Cambria"/>
          <w:sz w:val="20"/>
          <w:szCs w:val="20"/>
          <w:vertAlign w:val="superscript"/>
          <w:lang w:val="es-MX"/>
        </w:rPr>
        <w:footnoteReference w:id="482"/>
      </w:r>
      <w:r w:rsidRPr="004E3E07">
        <w:rPr>
          <w:rFonts w:ascii="Cambria" w:eastAsia="Cambria" w:hAnsi="Cambria" w:cs="Cambria"/>
          <w:sz w:val="20"/>
          <w:szCs w:val="20"/>
          <w:lang w:val="es-MX"/>
        </w:rPr>
        <w:t>. La Relatoría saluda este significativo avance en la investigación de los hechos y sanción de los responsables por el asesinato de la periodista. Esta es la segunda sentencia condenatoria en el caso, además de la decisión judicial de 2020 que condenó a Juan Carlos Moreno Ochoa, alias ‘El Larry’, a 50 años de prisión al ser considerado coautor material del asesinato de la reportera.</w:t>
      </w:r>
    </w:p>
    <w:p w14:paraId="006D6F4F" w14:textId="77777777" w:rsidR="00586913" w:rsidRPr="004E3E07" w:rsidRDefault="00586913" w:rsidP="00586913">
      <w:pPr>
        <w:numPr>
          <w:ilvl w:val="0"/>
          <w:numId w:val="5"/>
        </w:numPr>
        <w:shd w:val="clear" w:color="auto" w:fill="FFFFFF"/>
        <w:spacing w:after="240" w:line="240" w:lineRule="auto"/>
        <w:ind w:left="0" w:firstLine="720"/>
        <w:jc w:val="both"/>
        <w:rPr>
          <w:rFonts w:ascii="Cambria" w:eastAsia="Cambria" w:hAnsi="Cambria" w:cs="Cambria"/>
          <w:sz w:val="20"/>
          <w:szCs w:val="20"/>
          <w:lang w:val="es-MX"/>
        </w:rPr>
      </w:pPr>
      <w:r w:rsidRPr="004E3E07">
        <w:rPr>
          <w:rFonts w:ascii="Cambria" w:eastAsia="Cambria" w:hAnsi="Cambria" w:cs="Cambria"/>
          <w:sz w:val="20"/>
          <w:szCs w:val="20"/>
          <w:lang w:val="es-MX"/>
        </w:rPr>
        <w:t xml:space="preserve">Asimismo, esta Oficina considera especialmente importantes los avances en torno a la investigación por el asesinato del periodista Javier Valdez, ocurrido el 15 de mayo de 2017, en Culiacán, Sinaloa. Según la información recibida, el 8 de junio de 2021, el juez federal José Noé Egure dictó fallo condenatorio en contra de Juan Francisco Picos, alias “El Quillo”, integrante de una banda criminal local, por su participación material en el asesinato del reportero. Asimismo, estableció que Javier Valdez fue víctima de homicidio como consecuencia de sus investigaciones periodísticas. Según la organización Alianza Cívica, este fallo representa un “precedente importante” en el combate a la impunidad de crímenes contra periodistas en México. Javier Valdez se desempeñaba como periodista y escritor, investigando principalmente asuntos de crimen organizado y narcotráfico; fue el fundador y director del semanario sinaloense </w:t>
      </w:r>
      <w:r w:rsidRPr="004E3E07">
        <w:rPr>
          <w:rFonts w:ascii="Cambria" w:eastAsia="Cambria" w:hAnsi="Cambria" w:cs="Cambria"/>
          <w:i/>
          <w:sz w:val="20"/>
          <w:szCs w:val="20"/>
          <w:lang w:val="es-MX"/>
        </w:rPr>
        <w:t>Ríodoce</w:t>
      </w:r>
      <w:r w:rsidRPr="004E3E07">
        <w:rPr>
          <w:rFonts w:ascii="Cambria" w:eastAsia="Cambria" w:hAnsi="Cambria" w:cs="Cambria"/>
          <w:sz w:val="20"/>
          <w:szCs w:val="20"/>
          <w:lang w:val="es-MX"/>
        </w:rPr>
        <w:t xml:space="preserve"> y corresponsal en Sinaloa del periódico </w:t>
      </w:r>
      <w:r w:rsidRPr="004E3E07">
        <w:rPr>
          <w:rFonts w:ascii="Cambria" w:eastAsia="Cambria" w:hAnsi="Cambria" w:cs="Cambria"/>
          <w:i/>
          <w:sz w:val="20"/>
          <w:szCs w:val="20"/>
          <w:lang w:val="es-MX"/>
        </w:rPr>
        <w:t>La Jornada</w:t>
      </w:r>
      <w:r w:rsidRPr="004E3E07">
        <w:rPr>
          <w:rFonts w:ascii="Cambria" w:eastAsia="Cambria" w:hAnsi="Cambria" w:cs="Cambria"/>
          <w:sz w:val="20"/>
          <w:szCs w:val="20"/>
          <w:vertAlign w:val="superscript"/>
          <w:lang w:val="es-MX"/>
        </w:rPr>
        <w:footnoteReference w:id="483"/>
      </w:r>
      <w:r w:rsidRPr="004E3E07">
        <w:rPr>
          <w:rFonts w:ascii="Cambria" w:eastAsia="Cambria" w:hAnsi="Cambria" w:cs="Cambria"/>
          <w:sz w:val="20"/>
          <w:szCs w:val="20"/>
          <w:lang w:val="es-MX"/>
        </w:rPr>
        <w:t>.</w:t>
      </w:r>
    </w:p>
    <w:p w14:paraId="40D97BEA" w14:textId="77777777" w:rsidR="00586913" w:rsidRPr="004E3E07" w:rsidRDefault="00586913" w:rsidP="00586913">
      <w:pPr>
        <w:numPr>
          <w:ilvl w:val="0"/>
          <w:numId w:val="5"/>
        </w:numPr>
        <w:shd w:val="clear" w:color="auto" w:fill="FFFFFF"/>
        <w:spacing w:after="240" w:line="240" w:lineRule="auto"/>
        <w:ind w:left="0" w:firstLine="720"/>
        <w:jc w:val="both"/>
        <w:rPr>
          <w:rFonts w:ascii="Cambria" w:eastAsia="Cambria" w:hAnsi="Cambria" w:cs="Cambria"/>
          <w:sz w:val="20"/>
          <w:szCs w:val="20"/>
          <w:lang w:val="es-MX"/>
        </w:rPr>
      </w:pPr>
      <w:r w:rsidRPr="004E3E07">
        <w:rPr>
          <w:rFonts w:ascii="Cambria" w:eastAsia="Cambria" w:hAnsi="Cambria" w:cs="Cambria"/>
          <w:sz w:val="20"/>
          <w:szCs w:val="20"/>
          <w:lang w:val="es-MX"/>
        </w:rPr>
        <w:t xml:space="preserve">No obstante los progresos mencionados, la CIDH y su Relatoría Especial consideran imperativo que, </w:t>
      </w:r>
      <w:r w:rsidRPr="004E3E07">
        <w:rPr>
          <w:rFonts w:ascii="Cambria" w:eastAsia="Cambria" w:hAnsi="Cambria" w:cs="Cambria"/>
          <w:sz w:val="20"/>
          <w:szCs w:val="20"/>
          <w:highlight w:val="white"/>
          <w:lang w:val="es-MX"/>
        </w:rPr>
        <w:t>ante la magnitud, gravedad y naturaleza estructural de la violencia contra personas comunicadoras en México, se intensifique aún más el uso de la potestad legal de la FEADLE para investigar y enjuiciar delitos contra periodistas y adoptar medidas de amplio alcance que pongan fin a la impunidad, tal como fue advertido en el Informe Especial sobre la Situación de la Libertad de Expresión en México, publicado a raíz de la visita conjunta de los relatores especiales de ONU y OEA para la libertad de expresión en 2017</w:t>
      </w:r>
      <w:r w:rsidRPr="004E3E07">
        <w:rPr>
          <w:rFonts w:ascii="Cambria" w:eastAsia="Cambria" w:hAnsi="Cambria" w:cs="Cambria"/>
          <w:sz w:val="20"/>
          <w:szCs w:val="20"/>
          <w:highlight w:val="white"/>
          <w:vertAlign w:val="superscript"/>
          <w:lang w:val="es-MX"/>
        </w:rPr>
        <w:footnoteReference w:id="484"/>
      </w:r>
      <w:r w:rsidRPr="004E3E07">
        <w:rPr>
          <w:rFonts w:ascii="Cambria" w:eastAsia="Cambria" w:hAnsi="Cambria" w:cs="Cambria"/>
          <w:sz w:val="20"/>
          <w:szCs w:val="20"/>
          <w:highlight w:val="white"/>
          <w:lang w:val="es-MX"/>
        </w:rPr>
        <w:t>.</w:t>
      </w:r>
    </w:p>
    <w:p w14:paraId="51C306B1" w14:textId="28C7A014" w:rsidR="00586913" w:rsidRPr="004E3E07" w:rsidRDefault="00586913" w:rsidP="00586913">
      <w:pPr>
        <w:numPr>
          <w:ilvl w:val="0"/>
          <w:numId w:val="5"/>
        </w:numPr>
        <w:shd w:val="clear" w:color="auto" w:fill="FFFFFF"/>
        <w:spacing w:after="240" w:line="240" w:lineRule="auto"/>
        <w:ind w:left="0" w:firstLine="720"/>
        <w:jc w:val="both"/>
        <w:rPr>
          <w:rFonts w:ascii="Cambria" w:eastAsia="Cambria" w:hAnsi="Cambria" w:cs="Cambria"/>
          <w:sz w:val="20"/>
          <w:szCs w:val="20"/>
          <w:lang w:val="es-MX"/>
        </w:rPr>
      </w:pPr>
      <w:r w:rsidRPr="004E3E07">
        <w:rPr>
          <w:rFonts w:ascii="Cambria" w:eastAsia="Cambria" w:hAnsi="Cambria" w:cs="Cambria"/>
          <w:sz w:val="20"/>
          <w:szCs w:val="20"/>
          <w:highlight w:val="white"/>
          <w:lang w:val="es-MX"/>
        </w:rPr>
        <w:t>En este sentido, conforme surge del informe estadístico de la FEADLE actualizado a septiembre de 2021, de los 92 homicidios de periodistas registrados desde 2010 hasta la fecha, la Fiscalía Especial habría reconocido la competencia en 27 de ellos al entender que existía un móvil vinculado a la actividad periodística. Por el contrario, en 65 casos –lo que representa el 70.7%– se habría determinado la incompetencia al no encontrar relación alguna con el ejercicio del derecho a la libertad de expresión</w:t>
      </w:r>
      <w:r w:rsidRPr="004E3E07">
        <w:rPr>
          <w:rFonts w:ascii="Cambria" w:eastAsia="Cambria" w:hAnsi="Cambria" w:cs="Cambria"/>
          <w:sz w:val="20"/>
          <w:szCs w:val="20"/>
          <w:highlight w:val="white"/>
          <w:vertAlign w:val="superscript"/>
          <w:lang w:val="es-MX"/>
        </w:rPr>
        <w:footnoteReference w:id="485"/>
      </w:r>
      <w:r w:rsidRPr="004E3E07">
        <w:rPr>
          <w:rFonts w:ascii="Cambria" w:eastAsia="Cambria" w:hAnsi="Cambria" w:cs="Cambria"/>
          <w:sz w:val="20"/>
          <w:szCs w:val="20"/>
          <w:highlight w:val="white"/>
          <w:lang w:val="es-MX"/>
        </w:rPr>
        <w:t xml:space="preserve">. La Comisión y su Relatoría consideran que el número de casos bajo competencia de la FEADLE continúa siendo bajo en comparación con las cifras de elevadas de asesinatos de periodistas que organizaciones de la sociedad civil dedicadas a la defensa y protección de periodistas continúan reportando. </w:t>
      </w:r>
    </w:p>
    <w:p w14:paraId="7D4E5ACB" w14:textId="77777777" w:rsidR="00586913" w:rsidRPr="004E3E07" w:rsidRDefault="00586913" w:rsidP="00586913">
      <w:pPr>
        <w:numPr>
          <w:ilvl w:val="0"/>
          <w:numId w:val="5"/>
        </w:numPr>
        <w:shd w:val="clear" w:color="auto" w:fill="FFFFFF"/>
        <w:spacing w:after="240" w:line="240" w:lineRule="auto"/>
        <w:ind w:left="0" w:firstLine="720"/>
        <w:jc w:val="both"/>
        <w:rPr>
          <w:rFonts w:ascii="Cambria" w:eastAsia="Cambria" w:hAnsi="Cambria" w:cs="Cambria"/>
          <w:sz w:val="20"/>
          <w:szCs w:val="20"/>
          <w:lang w:val="es-MX"/>
        </w:rPr>
      </w:pPr>
      <w:r w:rsidRPr="004E3E07">
        <w:rPr>
          <w:rFonts w:ascii="Cambria" w:eastAsia="Cambria" w:hAnsi="Cambria" w:cs="Cambria"/>
          <w:sz w:val="20"/>
          <w:szCs w:val="20"/>
          <w:highlight w:val="white"/>
          <w:lang w:val="es-MX"/>
        </w:rPr>
        <w:t>Por otra parte, la Comisión recibió reportes sobre una supuesta reducción presupuestaria para el año 2022, tanto en el ámbito de la FEADLE como de otras fiscalías especializadas adscritas a la Fiscalía General de la República (FGR). Según la información disponible, el proyecto presupuestario para la Fiscalía Especial para la Atención de delitos contra la libertad de Expresión representaría uno de los más bajos de todas las fiscalías especiales con las que cuenta la FGR</w:t>
      </w:r>
      <w:r w:rsidRPr="004E3E07">
        <w:rPr>
          <w:rFonts w:ascii="Cambria" w:eastAsia="Cambria" w:hAnsi="Cambria" w:cs="Cambria"/>
          <w:sz w:val="20"/>
          <w:szCs w:val="20"/>
          <w:highlight w:val="white"/>
          <w:vertAlign w:val="superscript"/>
          <w:lang w:val="es-MX"/>
        </w:rPr>
        <w:footnoteReference w:id="486"/>
      </w:r>
      <w:r w:rsidRPr="004E3E07">
        <w:rPr>
          <w:rFonts w:ascii="Cambria" w:eastAsia="Cambria" w:hAnsi="Cambria" w:cs="Cambria"/>
          <w:sz w:val="20"/>
          <w:szCs w:val="20"/>
          <w:highlight w:val="white"/>
          <w:lang w:val="es-MX"/>
        </w:rPr>
        <w:t>.</w:t>
      </w:r>
    </w:p>
    <w:p w14:paraId="455C68B3" w14:textId="77777777" w:rsidR="00586913" w:rsidRPr="004E3E07" w:rsidRDefault="00586913" w:rsidP="00586913">
      <w:pPr>
        <w:numPr>
          <w:ilvl w:val="0"/>
          <w:numId w:val="5"/>
        </w:numPr>
        <w:shd w:val="clear" w:color="auto" w:fill="FFFFFF"/>
        <w:spacing w:after="240" w:line="240" w:lineRule="auto"/>
        <w:ind w:left="0" w:firstLine="720"/>
        <w:jc w:val="both"/>
        <w:rPr>
          <w:rFonts w:ascii="Cambria" w:eastAsia="Cambria" w:hAnsi="Cambria" w:cs="Cambria"/>
          <w:sz w:val="20"/>
          <w:szCs w:val="20"/>
          <w:lang w:val="es-MX"/>
        </w:rPr>
      </w:pPr>
      <w:r w:rsidRPr="004E3E07">
        <w:rPr>
          <w:rFonts w:ascii="Cambria" w:eastAsia="Cambria" w:hAnsi="Cambria" w:cs="Cambria"/>
          <w:sz w:val="20"/>
          <w:szCs w:val="20"/>
          <w:highlight w:val="white"/>
          <w:lang w:val="es-MX"/>
        </w:rPr>
        <w:t>La Comisión y su Relatoría Especial han reiterado en varias ocasiones que el ataque contra los periodistas continúa acentuándose en México, agravado en gran parte por la falta de consecuencias legales y los índices de impunidad que prevalecen sobre varios de estos delitos. Según reportes de la organización Artículo 19, un promedio de 98% de las agresiones contra la prensa no son sancionadas en México</w:t>
      </w:r>
      <w:r w:rsidRPr="004E3E07">
        <w:rPr>
          <w:rFonts w:ascii="Cambria" w:eastAsia="Cambria" w:hAnsi="Cambria" w:cs="Cambria"/>
          <w:sz w:val="20"/>
          <w:szCs w:val="20"/>
          <w:highlight w:val="white"/>
          <w:vertAlign w:val="superscript"/>
          <w:lang w:val="es-MX"/>
        </w:rPr>
        <w:footnoteReference w:id="487"/>
      </w:r>
      <w:r w:rsidRPr="004E3E07">
        <w:rPr>
          <w:rFonts w:ascii="Cambria" w:eastAsia="Cambria" w:hAnsi="Cambria" w:cs="Cambria"/>
          <w:sz w:val="20"/>
          <w:szCs w:val="20"/>
          <w:highlight w:val="white"/>
          <w:lang w:val="es-MX"/>
        </w:rPr>
        <w:t xml:space="preserve">. </w:t>
      </w:r>
      <w:r w:rsidRPr="004E3E07">
        <w:rPr>
          <w:rFonts w:ascii="Cambria" w:eastAsia="Cambria" w:hAnsi="Cambria" w:cs="Cambria"/>
          <w:sz w:val="20"/>
          <w:szCs w:val="20"/>
          <w:lang w:val="es-MX"/>
        </w:rPr>
        <w:t>El Comité para la Protección de Periodistas (CPJ) continúa posicionando a México como uno de los países más violentos del mundo para el ejercicio del periodismo en el 2021</w:t>
      </w:r>
      <w:r w:rsidRPr="004E3E07">
        <w:rPr>
          <w:rFonts w:ascii="Cambria" w:eastAsia="Cambria" w:hAnsi="Cambria" w:cs="Cambria"/>
          <w:sz w:val="20"/>
          <w:szCs w:val="20"/>
          <w:vertAlign w:val="superscript"/>
          <w:lang w:val="es-MX"/>
        </w:rPr>
        <w:footnoteReference w:id="488"/>
      </w:r>
      <w:r w:rsidRPr="004E3E07">
        <w:rPr>
          <w:rFonts w:ascii="Cambria" w:eastAsia="Cambria" w:hAnsi="Cambria" w:cs="Cambria"/>
          <w:sz w:val="20"/>
          <w:szCs w:val="20"/>
          <w:lang w:val="es-MX"/>
        </w:rPr>
        <w:t xml:space="preserve"> y, de acuerdo a un consorcio de organizaciones vinculadas a la prote</w:t>
      </w:r>
      <w:r w:rsidRPr="004E3E07">
        <w:rPr>
          <w:rFonts w:ascii="Cambria" w:eastAsia="Cambria" w:hAnsi="Cambria" w:cs="Cambria"/>
          <w:sz w:val="20"/>
          <w:szCs w:val="20"/>
          <w:highlight w:val="white"/>
          <w:lang w:val="es-MX"/>
        </w:rPr>
        <w:t>cción de personas defensoras y periodistas, las actuales políticas públicas de protección resultan insuficientes y “no han logrado contrarrestar las causas estructurales de violencia y agresiones contra la prensa en los últimos años”</w:t>
      </w:r>
      <w:r w:rsidRPr="004E3E07">
        <w:rPr>
          <w:rFonts w:ascii="Cambria" w:eastAsia="Cambria" w:hAnsi="Cambria" w:cs="Cambria"/>
          <w:sz w:val="20"/>
          <w:szCs w:val="20"/>
          <w:highlight w:val="white"/>
          <w:vertAlign w:val="superscript"/>
          <w:lang w:val="es-MX"/>
        </w:rPr>
        <w:footnoteReference w:id="489"/>
      </w:r>
      <w:r w:rsidRPr="004E3E07">
        <w:rPr>
          <w:rFonts w:ascii="Cambria" w:eastAsia="Cambria" w:hAnsi="Cambria" w:cs="Cambria"/>
          <w:sz w:val="20"/>
          <w:szCs w:val="20"/>
          <w:highlight w:val="white"/>
          <w:lang w:val="es-MX"/>
        </w:rPr>
        <w:t>.</w:t>
      </w:r>
    </w:p>
    <w:p w14:paraId="20DD7317" w14:textId="77777777" w:rsidR="00897787" w:rsidRDefault="00586913" w:rsidP="00897787">
      <w:pPr>
        <w:numPr>
          <w:ilvl w:val="0"/>
          <w:numId w:val="5"/>
        </w:numPr>
        <w:shd w:val="clear" w:color="auto" w:fill="FFFFFF"/>
        <w:spacing w:after="240" w:line="240" w:lineRule="auto"/>
        <w:ind w:left="0" w:firstLine="720"/>
        <w:jc w:val="both"/>
        <w:rPr>
          <w:rFonts w:ascii="Cambria" w:eastAsia="Cambria" w:hAnsi="Cambria" w:cs="Cambria"/>
          <w:sz w:val="20"/>
          <w:szCs w:val="20"/>
          <w:lang w:val="es-MX"/>
        </w:rPr>
      </w:pPr>
      <w:r w:rsidRPr="004E3E07">
        <w:rPr>
          <w:rFonts w:ascii="Cambria" w:eastAsia="Cambria" w:hAnsi="Cambria" w:cs="Cambria"/>
          <w:sz w:val="20"/>
          <w:szCs w:val="20"/>
          <w:highlight w:val="white"/>
          <w:lang w:val="es-MX"/>
        </w:rPr>
        <w:t>La CIDH reitera la necesidad de que la FEADLE cuente con todas las condiciones para ejercer sus facultades legales para el despliegue de su competencia respecto de casos de asesinatos, secuestros o desapariciones de periodistas en las entidades federativas con los más altos niveles de violencia e impunidad. Además, la CIDH observa con preocupación que la implementación del Mecanismo de Protección para periodistas sigue siendo poco efectiva, sin que se pueda evidenciar de lo reportado buenos niveles de coordinación entre el gobierno y otras instituciones</w:t>
      </w:r>
      <w:r w:rsidR="00897787">
        <w:rPr>
          <w:rFonts w:ascii="Cambria" w:eastAsia="Cambria" w:hAnsi="Cambria" w:cs="Cambria"/>
          <w:sz w:val="20"/>
          <w:szCs w:val="20"/>
          <w:lang w:val="es-MX"/>
        </w:rPr>
        <w:t xml:space="preserve">. </w:t>
      </w:r>
    </w:p>
    <w:p w14:paraId="36624D7E" w14:textId="6A950BB3" w:rsidR="00897787" w:rsidRPr="00F978E5" w:rsidRDefault="00897787" w:rsidP="00897787">
      <w:pPr>
        <w:numPr>
          <w:ilvl w:val="0"/>
          <w:numId w:val="5"/>
        </w:numPr>
        <w:shd w:val="clear" w:color="auto" w:fill="FFFFFF"/>
        <w:spacing w:after="240" w:line="240" w:lineRule="auto"/>
        <w:ind w:left="0" w:firstLine="720"/>
        <w:jc w:val="both"/>
        <w:rPr>
          <w:rFonts w:ascii="Cambria" w:eastAsia="Cambria" w:hAnsi="Cambria" w:cs="Cambria"/>
          <w:sz w:val="20"/>
          <w:szCs w:val="20"/>
          <w:lang w:val="es-MX"/>
        </w:rPr>
      </w:pPr>
      <w:r w:rsidRPr="00F978E5">
        <w:rPr>
          <w:rFonts w:ascii="Cambria" w:eastAsia="Cambria" w:hAnsi="Cambria" w:cs="Cambria"/>
          <w:sz w:val="20"/>
          <w:szCs w:val="20"/>
          <w:lang w:val="es-MX"/>
        </w:rPr>
        <w:t xml:space="preserve">En sus observaciones al proyecto del presente informe, el Estado indicó que </w:t>
      </w:r>
      <w:r w:rsidRPr="00F978E5">
        <w:rPr>
          <w:rFonts w:ascii="Cambria" w:eastAsia="Cambria" w:hAnsi="Cambria" w:cs="Cambria"/>
          <w:sz w:val="20"/>
          <w:szCs w:val="20"/>
        </w:rPr>
        <w:t>desde el 2013 a 2021, la FEADLE ha ejercido la facultad de atracción en 93 ocasiones; asimismo es importante señalar, que en 2021 se ejerció 24 ocasiones la Facultad de Atracción, siendo este el año con el mayor número de atracciones realizadas</w:t>
      </w:r>
      <w:r w:rsidRPr="00F978E5">
        <w:rPr>
          <w:rStyle w:val="FootnoteReference"/>
          <w:rFonts w:ascii="Cambria" w:eastAsia="Cambria" w:hAnsi="Cambria" w:cs="Cambria"/>
          <w:sz w:val="20"/>
          <w:szCs w:val="20"/>
        </w:rPr>
        <w:footnoteReference w:id="490"/>
      </w:r>
      <w:r w:rsidRPr="00F978E5">
        <w:rPr>
          <w:rFonts w:ascii="Cambria" w:eastAsia="Cambria" w:hAnsi="Cambria" w:cs="Cambria"/>
          <w:sz w:val="20"/>
          <w:szCs w:val="20"/>
        </w:rPr>
        <w:t>.</w:t>
      </w:r>
    </w:p>
    <w:p w14:paraId="69854ECE" w14:textId="77777777" w:rsidR="00586913" w:rsidRPr="004E3E07" w:rsidRDefault="00586913" w:rsidP="00586913">
      <w:pPr>
        <w:numPr>
          <w:ilvl w:val="0"/>
          <w:numId w:val="5"/>
        </w:numPr>
        <w:shd w:val="clear" w:color="auto" w:fill="FFFFFF"/>
        <w:spacing w:after="240" w:line="240" w:lineRule="auto"/>
        <w:ind w:left="0" w:firstLine="720"/>
        <w:jc w:val="both"/>
        <w:rPr>
          <w:rFonts w:ascii="Cambria" w:eastAsia="Cambria" w:hAnsi="Cambria" w:cs="Cambria"/>
          <w:sz w:val="20"/>
          <w:szCs w:val="20"/>
          <w:lang w:val="es-MX"/>
        </w:rPr>
      </w:pPr>
      <w:r w:rsidRPr="00F978E5">
        <w:rPr>
          <w:rFonts w:ascii="Cambria" w:eastAsia="Cambria" w:hAnsi="Cambria" w:cs="Cambria"/>
          <w:sz w:val="20"/>
          <w:szCs w:val="20"/>
          <w:lang w:val="es-MX"/>
        </w:rPr>
        <w:t xml:space="preserve">La CIDH observa que la FEADLE mantiene su categoría de Fiscalía y que se han adoptado </w:t>
      </w:r>
      <w:r w:rsidRPr="004E3E07">
        <w:rPr>
          <w:rFonts w:ascii="Cambria" w:eastAsia="Cambria" w:hAnsi="Cambria" w:cs="Cambria"/>
          <w:sz w:val="20"/>
          <w:szCs w:val="20"/>
          <w:highlight w:val="white"/>
          <w:lang w:val="es-MX"/>
        </w:rPr>
        <w:t>protocolos especiales de investigación por lo que considera que esta parte de la recomendación se encuentra cumplida, tal como fue calificado en los últimos informes anuales. Sin embargo, en lo que respecta a la porción de la recomendación sobre la operatividad de la FEADLE, la Comisión encuentra que es menester continuar desplegando esfuerzos para lograr su cumplimiento.</w:t>
      </w:r>
    </w:p>
    <w:p w14:paraId="510790F7" w14:textId="6474A25A" w:rsidR="00586913" w:rsidRPr="004E3E07" w:rsidRDefault="00586913" w:rsidP="00586913">
      <w:pPr>
        <w:numPr>
          <w:ilvl w:val="0"/>
          <w:numId w:val="5"/>
        </w:numPr>
        <w:shd w:val="clear" w:color="auto" w:fill="FFFFFF"/>
        <w:spacing w:after="240" w:line="240" w:lineRule="auto"/>
        <w:ind w:left="0" w:firstLine="720"/>
        <w:jc w:val="both"/>
        <w:rPr>
          <w:rFonts w:ascii="Cambria" w:eastAsia="Cambria" w:hAnsi="Cambria" w:cs="Cambria"/>
          <w:sz w:val="20"/>
          <w:szCs w:val="20"/>
          <w:lang w:val="es-MX"/>
        </w:rPr>
      </w:pPr>
      <w:r w:rsidRPr="004E3E07">
        <w:rPr>
          <w:rFonts w:ascii="Cambria" w:eastAsia="Cambria" w:hAnsi="Cambria" w:cs="Cambria"/>
          <w:sz w:val="20"/>
          <w:szCs w:val="20"/>
          <w:highlight w:val="white"/>
          <w:lang w:val="es-MX"/>
        </w:rPr>
        <w:t>En atención a las consideraciones previas, la CIDH considera que las recomendaciones se encuentran en cumplimiento parcial.</w:t>
      </w:r>
      <w:r w:rsidRPr="004E3E07">
        <w:rPr>
          <w:rFonts w:ascii="Cambria" w:eastAsia="Cambria" w:hAnsi="Cambria" w:cs="Cambria"/>
          <w:sz w:val="20"/>
          <w:szCs w:val="20"/>
          <w:highlight w:val="white"/>
          <w:lang w:val="es-MX"/>
        </w:rPr>
        <w:tab/>
      </w:r>
    </w:p>
    <w:p w14:paraId="14606B74" w14:textId="4B45E2B7" w:rsidR="002277F5" w:rsidRPr="004E3E07" w:rsidRDefault="007E25FF">
      <w:pPr>
        <w:pStyle w:val="Heading1"/>
        <w:spacing w:before="280" w:after="280"/>
        <w:rPr>
          <w:sz w:val="20"/>
          <w:lang w:val="es-MX"/>
        </w:rPr>
      </w:pPr>
      <w:r w:rsidRPr="004E3E07">
        <w:rPr>
          <w:sz w:val="20"/>
          <w:lang w:val="es-MX"/>
        </w:rPr>
        <w:t>Acceso a la información</w:t>
      </w:r>
    </w:p>
    <w:p w14:paraId="14606B75" w14:textId="77777777" w:rsidR="002277F5" w:rsidRPr="004E3E07" w:rsidRDefault="007E25FF">
      <w:pPr>
        <w:widowControl w:val="0"/>
        <w:numPr>
          <w:ilvl w:val="0"/>
          <w:numId w:val="19"/>
        </w:numPr>
        <w:pBdr>
          <w:top w:val="nil"/>
          <w:left w:val="nil"/>
          <w:bottom w:val="nil"/>
          <w:right w:val="nil"/>
          <w:between w:val="nil"/>
        </w:pBdr>
        <w:shd w:val="clear" w:color="auto" w:fill="D9D9D9"/>
        <w:spacing w:after="0" w:line="240" w:lineRule="auto"/>
        <w:ind w:left="1440" w:hanging="720"/>
        <w:jc w:val="both"/>
        <w:rPr>
          <w:rFonts w:ascii="Cambria" w:hAnsi="Cambria"/>
          <w:lang w:val="es-MX"/>
        </w:rPr>
      </w:pPr>
      <w:r w:rsidRPr="004E3E07">
        <w:rPr>
          <w:rFonts w:ascii="Cambria" w:eastAsia="Cambria" w:hAnsi="Cambria" w:cs="Cambria"/>
          <w:sz w:val="20"/>
          <w:szCs w:val="20"/>
          <w:lang w:val="es-MX"/>
        </w:rPr>
        <w:t xml:space="preserve">En cuanto a la atribución que le confiere la ley de Acceso a la Información a la Consejería Jurídica de la presidencia, se recomienda reglamentar dicha facultad de acuerdo a los principios internacionales referidos a acceso a la información pública y seguridad nacional. </w:t>
      </w:r>
    </w:p>
    <w:p w14:paraId="14606B76" w14:textId="77777777" w:rsidR="002277F5" w:rsidRPr="004E3E07" w:rsidRDefault="007E25FF">
      <w:pPr>
        <w:widowControl w:val="0"/>
        <w:numPr>
          <w:ilvl w:val="0"/>
          <w:numId w:val="19"/>
        </w:numPr>
        <w:pBdr>
          <w:top w:val="nil"/>
          <w:left w:val="nil"/>
          <w:bottom w:val="nil"/>
          <w:right w:val="nil"/>
          <w:between w:val="nil"/>
        </w:pBdr>
        <w:shd w:val="clear" w:color="auto" w:fill="D9D9D9"/>
        <w:spacing w:after="0" w:line="240" w:lineRule="auto"/>
        <w:ind w:left="1440" w:hanging="720"/>
        <w:jc w:val="both"/>
        <w:rPr>
          <w:rFonts w:ascii="Cambria" w:hAnsi="Cambria"/>
          <w:lang w:val="es-MX"/>
        </w:rPr>
      </w:pPr>
      <w:r w:rsidRPr="004E3E07">
        <w:rPr>
          <w:rFonts w:ascii="Cambria" w:eastAsia="Cambria" w:hAnsi="Cambria" w:cs="Cambria"/>
          <w:sz w:val="20"/>
          <w:szCs w:val="20"/>
          <w:lang w:val="es-MX"/>
        </w:rPr>
        <w:t>Fortalecer las leyes, políticas y prácticas para asegurar que las autoridades judiciales tengan pleno acceso a la información relevante cuando investigan y procesan casos de violaciones a los derechos humanos atribuidas a miembros de las fuerzas de seguridad.</w:t>
      </w:r>
    </w:p>
    <w:p w14:paraId="14606B77" w14:textId="77777777" w:rsidR="002277F5" w:rsidRPr="004E3E07" w:rsidRDefault="007E25FF">
      <w:pPr>
        <w:widowControl w:val="0"/>
        <w:numPr>
          <w:ilvl w:val="0"/>
          <w:numId w:val="19"/>
        </w:numPr>
        <w:pBdr>
          <w:top w:val="nil"/>
          <w:left w:val="nil"/>
          <w:bottom w:val="nil"/>
          <w:right w:val="nil"/>
          <w:between w:val="nil"/>
        </w:pBdr>
        <w:shd w:val="clear" w:color="auto" w:fill="D9D9D9"/>
        <w:spacing w:after="0" w:line="240" w:lineRule="auto"/>
        <w:ind w:left="1440" w:hanging="720"/>
        <w:jc w:val="both"/>
        <w:rPr>
          <w:rFonts w:ascii="Cambria" w:hAnsi="Cambria"/>
          <w:lang w:val="es-MX"/>
        </w:rPr>
      </w:pPr>
      <w:r w:rsidRPr="004E3E07">
        <w:rPr>
          <w:rFonts w:ascii="Cambria" w:eastAsia="Cambria" w:hAnsi="Cambria" w:cs="Cambria"/>
          <w:sz w:val="20"/>
          <w:szCs w:val="20"/>
          <w:lang w:val="es-MX"/>
        </w:rPr>
        <w:t xml:space="preserve">Adoptar las medidas pertinentes para que los cuerpos de seguridad recopilen, sistematicen y publiquen periódicamente la información referida a afectaciones a la vida e integridad, como consecuencia de la lucha contra el crimen organizado. La información relativa a tales afectaciones deberá hacer una descripción del lugar donde ocurrieron, la fecha, los datos de la unidad del sector seguridad que hubiera estado presente cuando ocurrieron, información sobre su mandato y control. Así mismo, cuáles fueron las causas de la afectación y de la incapacidad para impedirlas. </w:t>
      </w:r>
    </w:p>
    <w:p w14:paraId="14606B78" w14:textId="77777777" w:rsidR="002277F5" w:rsidRPr="004E3E07" w:rsidRDefault="002277F5" w:rsidP="00BD18FA">
      <w:pPr>
        <w:shd w:val="clear" w:color="auto" w:fill="FFFFFF"/>
        <w:spacing w:after="0" w:line="240" w:lineRule="auto"/>
        <w:jc w:val="both"/>
        <w:rPr>
          <w:rFonts w:ascii="Cambria" w:eastAsia="Cambria" w:hAnsi="Cambria" w:cs="Cambria"/>
          <w:sz w:val="20"/>
          <w:szCs w:val="20"/>
          <w:lang w:val="es-MX"/>
        </w:rPr>
      </w:pPr>
    </w:p>
    <w:p w14:paraId="14606B79" w14:textId="77777777" w:rsidR="00075FF5" w:rsidRPr="004E3E07" w:rsidRDefault="007E25FF" w:rsidP="00075FF5">
      <w:pPr>
        <w:numPr>
          <w:ilvl w:val="0"/>
          <w:numId w:val="5"/>
        </w:numPr>
        <w:shd w:val="clear" w:color="auto" w:fill="FFFFFF"/>
        <w:spacing w:after="240" w:line="240" w:lineRule="auto"/>
        <w:ind w:left="0" w:firstLine="720"/>
        <w:jc w:val="both"/>
        <w:rPr>
          <w:rFonts w:ascii="Cambria" w:eastAsia="Cambria" w:hAnsi="Cambria" w:cs="Cambria"/>
          <w:sz w:val="20"/>
          <w:szCs w:val="20"/>
          <w:lang w:val="es-MX"/>
        </w:rPr>
      </w:pPr>
      <w:r w:rsidRPr="004E3E07">
        <w:rPr>
          <w:rFonts w:ascii="Cambria" w:eastAsia="Cambria" w:hAnsi="Cambria" w:cs="Cambria"/>
          <w:sz w:val="20"/>
          <w:szCs w:val="20"/>
          <w:lang w:val="es-MX"/>
        </w:rPr>
        <w:t>La Relatoría Especial ha tomado nota en sus anteriores informes sobre la aprobación de la Ley General de Transparencia y Acceso a la Información Pública, lo que muestra un compromiso del Estado mexicano con la transparencia y el derecho de acceso a la información. Sin embargo, la Relatoría Especial ha manifestado su preocupación por la información recibida sobre los obstáculos que existirían para garantizar el acceso a la información relacionada con violaciones a derechos humanos.</w:t>
      </w:r>
    </w:p>
    <w:p w14:paraId="386AE42A" w14:textId="4E989035" w:rsidR="00075FF5" w:rsidRPr="004E3E07" w:rsidRDefault="00075FF5" w:rsidP="00075FF5">
      <w:pPr>
        <w:numPr>
          <w:ilvl w:val="0"/>
          <w:numId w:val="5"/>
        </w:numPr>
        <w:shd w:val="clear" w:color="auto" w:fill="FFFFFF"/>
        <w:spacing w:after="240" w:line="240" w:lineRule="auto"/>
        <w:ind w:left="0" w:firstLine="720"/>
        <w:jc w:val="both"/>
        <w:rPr>
          <w:rFonts w:ascii="Cambria" w:eastAsia="Cambria" w:hAnsi="Cambria" w:cs="Cambria"/>
          <w:sz w:val="20"/>
          <w:szCs w:val="20"/>
          <w:lang w:val="es-MX"/>
        </w:rPr>
      </w:pPr>
      <w:r w:rsidRPr="004E3E07">
        <w:rPr>
          <w:rFonts w:ascii="Cambria" w:eastAsia="Cambria" w:hAnsi="Cambria" w:cs="Cambria"/>
          <w:sz w:val="20"/>
          <w:szCs w:val="20"/>
          <w:lang w:val="es-MX"/>
        </w:rPr>
        <w:t xml:space="preserve">Respecto a la recomendación de </w:t>
      </w:r>
      <w:r w:rsidRPr="004E3E07">
        <w:rPr>
          <w:rFonts w:ascii="Cambria" w:eastAsia="Cambria" w:hAnsi="Cambria" w:cs="Cambria"/>
          <w:b/>
          <w:sz w:val="20"/>
          <w:szCs w:val="20"/>
          <w:lang w:val="es-MX"/>
        </w:rPr>
        <w:t>reglamentar la atribución que le confiere la ley de Acceso a la Información a la Consejería Jurídica de la presidencia para que se ajuste de acuerdo a los principios internacionales referidos a acceso a la información pública y seguridad nacional</w:t>
      </w:r>
      <w:r w:rsidRPr="004E3E07">
        <w:rPr>
          <w:rFonts w:ascii="Cambria" w:eastAsia="Cambria" w:hAnsi="Cambria" w:cs="Cambria"/>
          <w:sz w:val="20"/>
          <w:szCs w:val="20"/>
          <w:lang w:val="es-MX"/>
        </w:rPr>
        <w:t xml:space="preserve"> el Estado informó </w:t>
      </w:r>
      <w:r w:rsidR="008016E7" w:rsidRPr="004E3E07">
        <w:rPr>
          <w:rFonts w:ascii="Cambria" w:eastAsia="Cambria" w:hAnsi="Cambria" w:cs="Cambria"/>
          <w:sz w:val="20"/>
          <w:szCs w:val="20"/>
          <w:lang w:val="es-MX"/>
        </w:rPr>
        <w:t>que</w:t>
      </w:r>
      <w:r w:rsidRPr="004E3E07">
        <w:rPr>
          <w:rFonts w:ascii="Cambria" w:eastAsia="Cambria" w:hAnsi="Cambria" w:cs="Cambria"/>
          <w:sz w:val="20"/>
          <w:szCs w:val="20"/>
          <w:lang w:val="es-MX"/>
        </w:rPr>
        <w:t xml:space="preserve"> “el posible ejercicio de dicha </w:t>
      </w:r>
      <w:r w:rsidR="008016E7" w:rsidRPr="004E3E07">
        <w:rPr>
          <w:rFonts w:ascii="Cambria" w:eastAsia="Cambria" w:hAnsi="Cambria" w:cs="Cambria"/>
          <w:sz w:val="20"/>
          <w:szCs w:val="20"/>
          <w:lang w:val="es-MX"/>
        </w:rPr>
        <w:t>atribución</w:t>
      </w:r>
      <w:r w:rsidRPr="004E3E07">
        <w:rPr>
          <w:rFonts w:ascii="Cambria" w:eastAsia="Cambria" w:hAnsi="Cambria" w:cs="Cambria"/>
          <w:sz w:val="20"/>
          <w:szCs w:val="20"/>
          <w:lang w:val="es-MX"/>
        </w:rPr>
        <w:t xml:space="preserve"> respeta en todo momento los principios internacionales referidos al derecho de acceso a la </w:t>
      </w:r>
      <w:r w:rsidR="008016E7" w:rsidRPr="004E3E07">
        <w:rPr>
          <w:rFonts w:ascii="Cambria" w:eastAsia="Cambria" w:hAnsi="Cambria" w:cs="Cambria"/>
          <w:sz w:val="20"/>
          <w:szCs w:val="20"/>
          <w:lang w:val="es-MX"/>
        </w:rPr>
        <w:t>información</w:t>
      </w:r>
      <w:r w:rsidRPr="004E3E07">
        <w:rPr>
          <w:rFonts w:ascii="Cambria" w:eastAsia="Cambria" w:hAnsi="Cambria" w:cs="Cambria"/>
          <w:sz w:val="20"/>
          <w:szCs w:val="20"/>
          <w:lang w:val="es-MX"/>
        </w:rPr>
        <w:t xml:space="preserve"> pública y seguridad nacional, ya que </w:t>
      </w:r>
      <w:r w:rsidR="008016E7" w:rsidRPr="004E3E07">
        <w:rPr>
          <w:rFonts w:ascii="Cambria" w:eastAsia="Cambria" w:hAnsi="Cambria" w:cs="Cambria"/>
          <w:sz w:val="20"/>
          <w:szCs w:val="20"/>
          <w:lang w:val="es-MX"/>
        </w:rPr>
        <w:t>únicamente</w:t>
      </w:r>
      <w:r w:rsidRPr="004E3E07">
        <w:rPr>
          <w:rFonts w:ascii="Cambria" w:eastAsia="Cambria" w:hAnsi="Cambria" w:cs="Cambria"/>
          <w:sz w:val="20"/>
          <w:szCs w:val="20"/>
          <w:lang w:val="es-MX"/>
        </w:rPr>
        <w:t xml:space="preserve"> resulta procedente el recurso de mérito en aquellos casos en que se considera necesario resguardar la </w:t>
      </w:r>
      <w:r w:rsidR="008016E7" w:rsidRPr="004E3E07">
        <w:rPr>
          <w:rFonts w:ascii="Cambria" w:eastAsia="Cambria" w:hAnsi="Cambria" w:cs="Cambria"/>
          <w:sz w:val="20"/>
          <w:szCs w:val="20"/>
          <w:lang w:val="es-MX"/>
        </w:rPr>
        <w:t>información</w:t>
      </w:r>
      <w:r w:rsidRPr="004E3E07">
        <w:rPr>
          <w:rFonts w:ascii="Cambria" w:eastAsia="Cambria" w:hAnsi="Cambria" w:cs="Cambria"/>
          <w:sz w:val="20"/>
          <w:szCs w:val="20"/>
          <w:lang w:val="es-MX"/>
        </w:rPr>
        <w:t xml:space="preserve"> relativa a garantizar las bases y estructuras </w:t>
      </w:r>
      <w:r w:rsidR="008016E7" w:rsidRPr="004E3E07">
        <w:rPr>
          <w:rFonts w:ascii="Cambria" w:eastAsia="Cambria" w:hAnsi="Cambria" w:cs="Cambria"/>
          <w:sz w:val="20"/>
          <w:szCs w:val="20"/>
          <w:lang w:val="es-MX"/>
        </w:rPr>
        <w:t>mínimas</w:t>
      </w:r>
      <w:r w:rsidRPr="004E3E07">
        <w:rPr>
          <w:rFonts w:ascii="Cambria" w:eastAsia="Cambria" w:hAnsi="Cambria" w:cs="Cambria"/>
          <w:sz w:val="20"/>
          <w:szCs w:val="20"/>
          <w:lang w:val="es-MX"/>
        </w:rPr>
        <w:t xml:space="preserve"> que se requieren para lograr la estabilidad, permanencia e integridad del Estado Mexicano”. En este sentido, explican que este medio de impugnación no es procedente cuando se trata de </w:t>
      </w:r>
      <w:r w:rsidR="008016E7" w:rsidRPr="004E3E07">
        <w:rPr>
          <w:rFonts w:ascii="Cambria" w:eastAsia="Cambria" w:hAnsi="Cambria" w:cs="Cambria"/>
          <w:sz w:val="20"/>
          <w:szCs w:val="20"/>
          <w:lang w:val="es-MX"/>
        </w:rPr>
        <w:t>información</w:t>
      </w:r>
      <w:r w:rsidRPr="004E3E07">
        <w:rPr>
          <w:rFonts w:ascii="Cambria" w:eastAsia="Cambria" w:hAnsi="Cambria" w:cs="Cambria"/>
          <w:sz w:val="20"/>
          <w:szCs w:val="20"/>
          <w:lang w:val="es-MX"/>
        </w:rPr>
        <w:t xml:space="preserve"> vinculada con investigaciones sobre violaciones a los derechos humanos; con lo que se respetan las obligaciones internacionales derivadas de la </w:t>
      </w:r>
      <w:r w:rsidR="008016E7" w:rsidRPr="004E3E07">
        <w:rPr>
          <w:rFonts w:ascii="Cambria" w:eastAsia="Cambria" w:hAnsi="Cambria" w:cs="Cambria"/>
          <w:sz w:val="20"/>
          <w:szCs w:val="20"/>
          <w:lang w:val="es-MX"/>
        </w:rPr>
        <w:t>Convención</w:t>
      </w:r>
      <w:r w:rsidRPr="004E3E07">
        <w:rPr>
          <w:rFonts w:ascii="Cambria" w:eastAsia="Cambria" w:hAnsi="Cambria" w:cs="Cambria"/>
          <w:sz w:val="20"/>
          <w:szCs w:val="20"/>
          <w:lang w:val="es-MX"/>
        </w:rPr>
        <w:t xml:space="preserve"> Americana de Derechos Humanos para garantizar el derecho de acceso a la </w:t>
      </w:r>
      <w:r w:rsidR="008016E7" w:rsidRPr="004E3E07">
        <w:rPr>
          <w:rFonts w:ascii="Cambria" w:eastAsia="Cambria" w:hAnsi="Cambria" w:cs="Cambria"/>
          <w:sz w:val="20"/>
          <w:szCs w:val="20"/>
          <w:lang w:val="es-MX"/>
        </w:rPr>
        <w:t>información</w:t>
      </w:r>
      <w:r w:rsidRPr="004E3E07">
        <w:rPr>
          <w:rFonts w:ascii="Cambria" w:eastAsia="Cambria" w:hAnsi="Cambria" w:cs="Cambria"/>
          <w:sz w:val="20"/>
          <w:szCs w:val="20"/>
          <w:lang w:val="es-MX"/>
        </w:rPr>
        <w:t xml:space="preserve"> </w:t>
      </w:r>
      <w:r w:rsidR="008016E7" w:rsidRPr="004E3E07">
        <w:rPr>
          <w:rFonts w:ascii="Cambria" w:eastAsia="Cambria" w:hAnsi="Cambria" w:cs="Cambria"/>
          <w:sz w:val="20"/>
          <w:szCs w:val="20"/>
          <w:lang w:val="es-MX"/>
        </w:rPr>
        <w:t>pública</w:t>
      </w:r>
      <w:r w:rsidRPr="004E3E07">
        <w:rPr>
          <w:rStyle w:val="FootnoteReference"/>
          <w:rFonts w:ascii="Cambria" w:eastAsia="Cambria" w:hAnsi="Cambria" w:cs="Cambria"/>
          <w:sz w:val="20"/>
          <w:szCs w:val="20"/>
          <w:lang w:val="es-MX"/>
        </w:rPr>
        <w:footnoteReference w:id="491"/>
      </w:r>
      <w:r w:rsidRPr="004E3E07">
        <w:rPr>
          <w:rFonts w:ascii="Cambria" w:eastAsia="Cambria" w:hAnsi="Cambria" w:cs="Cambria"/>
          <w:sz w:val="20"/>
          <w:szCs w:val="20"/>
          <w:lang w:val="es-MX"/>
        </w:rPr>
        <w:t xml:space="preserve">. </w:t>
      </w:r>
      <w:r w:rsidRPr="004E3E07">
        <w:rPr>
          <w:rFonts w:ascii="Cambria" w:eastAsia="Cambria" w:hAnsi="Cambria" w:cs="Cambria"/>
          <w:sz w:val="20"/>
          <w:szCs w:val="20"/>
          <w:lang w:val="es-MX"/>
        </w:rPr>
        <w:tab/>
      </w:r>
    </w:p>
    <w:p w14:paraId="29255825" w14:textId="77777777" w:rsidR="00075FF5" w:rsidRPr="00A63F15" w:rsidRDefault="00075FF5" w:rsidP="00075FF5">
      <w:pPr>
        <w:numPr>
          <w:ilvl w:val="0"/>
          <w:numId w:val="5"/>
        </w:numPr>
        <w:shd w:val="clear" w:color="auto" w:fill="FFFFFF"/>
        <w:spacing w:after="240" w:line="240" w:lineRule="auto"/>
        <w:ind w:left="0" w:firstLine="720"/>
        <w:jc w:val="both"/>
        <w:rPr>
          <w:rFonts w:ascii="Cambria" w:eastAsia="Cambria" w:hAnsi="Cambria" w:cs="Cambria"/>
          <w:sz w:val="20"/>
          <w:szCs w:val="20"/>
          <w:lang w:val="es-MX"/>
        </w:rPr>
      </w:pPr>
      <w:r w:rsidRPr="004E3E07">
        <w:rPr>
          <w:rFonts w:ascii="Cambria" w:eastAsia="Cambria" w:hAnsi="Cambria" w:cs="Cambria"/>
          <w:sz w:val="20"/>
          <w:szCs w:val="20"/>
          <w:lang w:val="es-MX"/>
        </w:rPr>
        <w:t xml:space="preserve">La CIDH vuelve a llamar la atención sobre la disposición de la Ley de Transparencia que habilita a la Consejería Jurídica de la Presidencia de la República a apelar cualquier decisión de desclasificar información realizada por el Instituto Nacional de Acceso a la Información que ponga en riesgo los intereses de seguridad nacional. Tal como ya fue señalado en informes previos, esta norma podría constituir un obstáculo </w:t>
      </w:r>
      <w:r w:rsidRPr="00A63F15">
        <w:rPr>
          <w:rFonts w:ascii="Cambria" w:eastAsia="Cambria" w:hAnsi="Cambria" w:cs="Cambria"/>
          <w:sz w:val="20"/>
          <w:szCs w:val="20"/>
          <w:lang w:val="es-MX"/>
        </w:rPr>
        <w:t xml:space="preserve">significativo para garantizar el acceso a información de elevado interés público. </w:t>
      </w:r>
    </w:p>
    <w:p w14:paraId="3C7C8612" w14:textId="39E0782A" w:rsidR="00897787" w:rsidRPr="00A63F15" w:rsidRDefault="00075FF5" w:rsidP="00897787">
      <w:pPr>
        <w:numPr>
          <w:ilvl w:val="0"/>
          <w:numId w:val="5"/>
        </w:numPr>
        <w:shd w:val="clear" w:color="auto" w:fill="FFFFFF"/>
        <w:spacing w:after="240" w:line="240" w:lineRule="auto"/>
        <w:ind w:left="0" w:firstLine="720"/>
        <w:jc w:val="both"/>
        <w:rPr>
          <w:rFonts w:ascii="Cambria" w:eastAsia="Cambria" w:hAnsi="Cambria" w:cs="Cambria"/>
          <w:sz w:val="20"/>
          <w:szCs w:val="20"/>
          <w:lang w:val="es-MX"/>
        </w:rPr>
      </w:pPr>
      <w:r w:rsidRPr="00A63F15">
        <w:rPr>
          <w:rFonts w:ascii="Cambria" w:eastAsia="Cambria" w:hAnsi="Cambria" w:cs="Cambria"/>
          <w:sz w:val="20"/>
          <w:szCs w:val="20"/>
          <w:lang w:val="es-MX"/>
        </w:rPr>
        <w:t xml:space="preserve">En este contexto, la CIDH y su Relatoría Especial para la Libertad de Expresión fueron informadas de que la </w:t>
      </w:r>
      <w:r w:rsidR="006715DB" w:rsidRPr="00A63F15">
        <w:rPr>
          <w:rFonts w:ascii="Cambria" w:eastAsia="Cambria" w:hAnsi="Cambria" w:cs="Cambria"/>
          <w:sz w:val="20"/>
          <w:szCs w:val="20"/>
          <w:lang w:val="es-MX"/>
        </w:rPr>
        <w:t>SCJN</w:t>
      </w:r>
      <w:r w:rsidRPr="00A63F15">
        <w:rPr>
          <w:rFonts w:ascii="Cambria" w:eastAsia="Cambria" w:hAnsi="Cambria" w:cs="Cambria"/>
          <w:sz w:val="20"/>
          <w:szCs w:val="20"/>
          <w:lang w:val="es-MX"/>
        </w:rPr>
        <w:t xml:space="preserve"> suspendió las órdenes de transparentar información sobre la recepción de lotes, aplicación y estado actual de los procesos de vacunación contra COVID-19, con fundamento en el riesgo que constituiría para la seguridad nacional. Según la información recibida, el caso surgió a partir de la petición de un ciudadano quien solicitó conocer los lotes de vacunas de cada farmacéutica que se han recibido en México, al igual que “en dónde se aplicaron, precisando los números, cuántas dosis tiene cada lote, dónde fueron administradas, si ya fueron administradas, así como en qué almacén y estado se encuentran”. La Consejería Jurídica del Ejecutivo Federal habría presentado un recurso de revisión en materia de seguridad nacional para revocar la resolución emitida el 10 de noviembre por el Instituto Nacional de Transparencia, Acceso a la Información y Protección de Datos Personales (INAI) que ordenaba al Ejecutivo divulgar dicha información</w:t>
      </w:r>
      <w:r w:rsidRPr="00A63F15">
        <w:rPr>
          <w:rFonts w:ascii="Cambria" w:eastAsia="Cambria" w:hAnsi="Cambria" w:cs="Cambria"/>
          <w:sz w:val="20"/>
          <w:szCs w:val="20"/>
          <w:vertAlign w:val="superscript"/>
          <w:lang w:val="es-MX"/>
        </w:rPr>
        <w:footnoteReference w:id="492"/>
      </w:r>
      <w:r w:rsidRPr="00A63F15">
        <w:rPr>
          <w:rFonts w:ascii="Cambria" w:eastAsia="Cambria" w:hAnsi="Cambria" w:cs="Cambria"/>
          <w:sz w:val="20"/>
          <w:szCs w:val="20"/>
          <w:lang w:val="es-MX"/>
        </w:rPr>
        <w:t>. De acuerdo a la información públicamente disponible, la Consejería Jurídica de la presidencia habría interpuesto más de 20 impugnaciones contra resoluciones del INAI en relación con las vacunas contra COVID-19</w:t>
      </w:r>
      <w:r w:rsidRPr="00A63F15">
        <w:rPr>
          <w:rFonts w:ascii="Cambria" w:eastAsia="Cambria" w:hAnsi="Cambria" w:cs="Cambria"/>
          <w:sz w:val="20"/>
          <w:szCs w:val="20"/>
          <w:vertAlign w:val="superscript"/>
          <w:lang w:val="es-MX"/>
        </w:rPr>
        <w:footnoteReference w:id="493"/>
      </w:r>
      <w:r w:rsidRPr="00A63F15">
        <w:rPr>
          <w:rFonts w:ascii="Cambria" w:eastAsia="Cambria" w:hAnsi="Cambria" w:cs="Cambria"/>
          <w:sz w:val="20"/>
          <w:szCs w:val="20"/>
          <w:lang w:val="es-MX"/>
        </w:rPr>
        <w:t>.</w:t>
      </w:r>
      <w:r w:rsidR="00897787" w:rsidRPr="00A63F15">
        <w:rPr>
          <w:rFonts w:ascii="Cambria" w:eastAsia="Cambria" w:hAnsi="Cambria" w:cs="Cambria"/>
          <w:sz w:val="20"/>
          <w:szCs w:val="20"/>
          <w:lang w:val="es-MX"/>
        </w:rPr>
        <w:t xml:space="preserve"> El Estado informó en sus observaciones al proyecto del presente informe que a la fecha existen 25 recursos de revisión, mismos que están pendientes de resolución por el Pleno de la SCJN, pues siguen siendo materia de estudio</w:t>
      </w:r>
      <w:r w:rsidR="00897787" w:rsidRPr="00A63F15">
        <w:rPr>
          <w:rStyle w:val="FootnoteReference"/>
          <w:rFonts w:ascii="Cambria" w:eastAsia="Cambria" w:hAnsi="Cambria" w:cs="Cambria"/>
          <w:sz w:val="20"/>
          <w:szCs w:val="20"/>
          <w:lang w:val="es-MX"/>
        </w:rPr>
        <w:footnoteReference w:id="494"/>
      </w:r>
      <w:r w:rsidR="00897787" w:rsidRPr="00A63F15">
        <w:rPr>
          <w:rFonts w:ascii="Cambria" w:eastAsia="Cambria" w:hAnsi="Cambria" w:cs="Cambria"/>
          <w:sz w:val="20"/>
          <w:szCs w:val="20"/>
          <w:lang w:val="es-MX"/>
        </w:rPr>
        <w:t>.</w:t>
      </w:r>
    </w:p>
    <w:p w14:paraId="0015D73D" w14:textId="77777777" w:rsidR="00075FF5" w:rsidRPr="004E3E07" w:rsidRDefault="00075FF5" w:rsidP="00075FF5">
      <w:pPr>
        <w:numPr>
          <w:ilvl w:val="0"/>
          <w:numId w:val="5"/>
        </w:numPr>
        <w:shd w:val="clear" w:color="auto" w:fill="FFFFFF"/>
        <w:spacing w:after="240" w:line="240" w:lineRule="auto"/>
        <w:ind w:left="0" w:firstLine="720"/>
        <w:jc w:val="both"/>
        <w:rPr>
          <w:rFonts w:ascii="Cambria" w:eastAsia="Cambria" w:hAnsi="Cambria" w:cs="Cambria"/>
          <w:sz w:val="20"/>
          <w:szCs w:val="20"/>
          <w:lang w:val="es-MX"/>
        </w:rPr>
      </w:pPr>
      <w:r w:rsidRPr="004E3E07">
        <w:rPr>
          <w:rFonts w:ascii="Cambria" w:eastAsia="Cambria" w:hAnsi="Cambria" w:cs="Cambria"/>
          <w:sz w:val="20"/>
          <w:szCs w:val="20"/>
          <w:lang w:val="es-MX"/>
        </w:rPr>
        <w:t>En relación con la opacidad relativa a la información sobre “seguridad nacional”, la Comisión tomó conocimiento de un decreto emitido por el gobierno federal por el que se declaró de “interés público y seguridad nacional la realización de proyectos y obras a cargo del Gobierno de México asociados a infraestructura de los sectores comunicaciones, telecomunicaciones, aduanero, fronterizo, hidráulico, hídrico, medio ambiente, turístico, salud, vías férreas, ferrocarriles en todas sus modalidades, energético, puertos, aeropuertos y aquellos que, por su objeto, características, naturaleza, complejidad y magnitud, se consideren prioritarios y/o estratégicos para el desarrollo nacional”. Según fue reportado a la Comisión y su Relatoría Especial, la norma podría constituir una vulneración directa al derecho de acceso a la información pública, reconocido por la Constitución mexicana y los tratados internacionales de derechos humanos a los que el Estado se ha adherido</w:t>
      </w:r>
      <w:r w:rsidRPr="004E3E07">
        <w:rPr>
          <w:rFonts w:ascii="Cambria" w:eastAsia="Cambria" w:hAnsi="Cambria" w:cs="Cambria"/>
          <w:sz w:val="20"/>
          <w:szCs w:val="20"/>
          <w:vertAlign w:val="superscript"/>
          <w:lang w:val="es-MX"/>
        </w:rPr>
        <w:footnoteReference w:id="495"/>
      </w:r>
      <w:r w:rsidRPr="004E3E07">
        <w:rPr>
          <w:rFonts w:ascii="Cambria" w:eastAsia="Cambria" w:hAnsi="Cambria" w:cs="Cambria"/>
          <w:sz w:val="20"/>
          <w:szCs w:val="20"/>
          <w:lang w:val="es-MX"/>
        </w:rPr>
        <w:t>.</w:t>
      </w:r>
    </w:p>
    <w:p w14:paraId="6CBEA9DB" w14:textId="77777777" w:rsidR="00075FF5" w:rsidRPr="004E3E07" w:rsidRDefault="00075FF5" w:rsidP="00075FF5">
      <w:pPr>
        <w:numPr>
          <w:ilvl w:val="0"/>
          <w:numId w:val="5"/>
        </w:numPr>
        <w:shd w:val="clear" w:color="auto" w:fill="FFFFFF"/>
        <w:spacing w:after="240" w:line="240" w:lineRule="auto"/>
        <w:ind w:left="0" w:firstLine="720"/>
        <w:jc w:val="both"/>
        <w:rPr>
          <w:rFonts w:ascii="Cambria" w:eastAsia="Cambria" w:hAnsi="Cambria" w:cs="Cambria"/>
          <w:sz w:val="20"/>
          <w:szCs w:val="20"/>
          <w:lang w:val="es-MX"/>
        </w:rPr>
      </w:pPr>
      <w:r w:rsidRPr="004E3E07">
        <w:rPr>
          <w:rFonts w:ascii="Cambria" w:eastAsia="Cambria" w:hAnsi="Cambria" w:cs="Cambria"/>
          <w:sz w:val="20"/>
          <w:szCs w:val="20"/>
          <w:lang w:val="es-MX"/>
        </w:rPr>
        <w:t>Con base en la información presentada, la Comisión evalúa que la recomendación aún se encuentra pendiente de cumplimiento.</w:t>
      </w:r>
    </w:p>
    <w:p w14:paraId="2FA04886" w14:textId="259AE6EC" w:rsidR="00075FF5" w:rsidRPr="004E3E07" w:rsidRDefault="00075FF5" w:rsidP="00075FF5">
      <w:pPr>
        <w:numPr>
          <w:ilvl w:val="0"/>
          <w:numId w:val="5"/>
        </w:numPr>
        <w:shd w:val="clear" w:color="auto" w:fill="FFFFFF"/>
        <w:spacing w:after="240" w:line="240" w:lineRule="auto"/>
        <w:ind w:left="0" w:firstLine="720"/>
        <w:jc w:val="both"/>
        <w:rPr>
          <w:rFonts w:ascii="Cambria" w:eastAsia="Cambria" w:hAnsi="Cambria" w:cs="Cambria"/>
          <w:sz w:val="20"/>
          <w:szCs w:val="20"/>
          <w:lang w:val="es-MX"/>
        </w:rPr>
      </w:pPr>
      <w:r w:rsidRPr="004E3E07">
        <w:rPr>
          <w:rFonts w:ascii="Cambria" w:eastAsia="Cambria" w:hAnsi="Cambria" w:cs="Cambria"/>
          <w:sz w:val="20"/>
          <w:szCs w:val="20"/>
          <w:lang w:val="es-MX"/>
        </w:rPr>
        <w:t xml:space="preserve">En relación con la recomendación </w:t>
      </w:r>
      <w:r w:rsidRPr="004E3E07">
        <w:rPr>
          <w:rFonts w:ascii="Cambria" w:eastAsia="Cambria" w:hAnsi="Cambria" w:cs="Cambria"/>
          <w:b/>
          <w:sz w:val="20"/>
          <w:szCs w:val="20"/>
          <w:lang w:val="es-MX"/>
        </w:rPr>
        <w:t>fortalecer las leyes, políticas y prácticas para asegurar que las autoridades judiciales tengan pleno acceso a la información relevante cuando investigan y procesan casos de violaciones a los derechos humanos atribuidas a miembros de las fuerzas de seguridad</w:t>
      </w:r>
      <w:r w:rsidR="00057A41">
        <w:rPr>
          <w:rFonts w:ascii="Cambria" w:eastAsia="Cambria" w:hAnsi="Cambria" w:cs="Cambria"/>
          <w:sz w:val="20"/>
          <w:szCs w:val="20"/>
          <w:lang w:val="es-MX"/>
        </w:rPr>
        <w:t>,</w:t>
      </w:r>
      <w:r w:rsidRPr="004E3E07">
        <w:rPr>
          <w:rFonts w:ascii="Cambria" w:eastAsia="Cambria" w:hAnsi="Cambria" w:cs="Cambria"/>
          <w:sz w:val="20"/>
          <w:szCs w:val="20"/>
          <w:lang w:val="es-MX"/>
        </w:rPr>
        <w:t xml:space="preserve"> el Estado informó que “la Ley General de Transparencia y Acceso a la </w:t>
      </w:r>
      <w:r w:rsidR="008016E7" w:rsidRPr="004E3E07">
        <w:rPr>
          <w:rFonts w:ascii="Cambria" w:eastAsia="Cambria" w:hAnsi="Cambria" w:cs="Cambria"/>
          <w:sz w:val="20"/>
          <w:szCs w:val="20"/>
          <w:lang w:val="es-MX"/>
        </w:rPr>
        <w:t>Información</w:t>
      </w:r>
      <w:r w:rsidRPr="004E3E07">
        <w:rPr>
          <w:rFonts w:ascii="Cambria" w:eastAsia="Cambria" w:hAnsi="Cambria" w:cs="Cambria"/>
          <w:sz w:val="20"/>
          <w:szCs w:val="20"/>
          <w:lang w:val="es-MX"/>
        </w:rPr>
        <w:t xml:space="preserve"> </w:t>
      </w:r>
      <w:r w:rsidR="008016E7" w:rsidRPr="004E3E07">
        <w:rPr>
          <w:rFonts w:ascii="Cambria" w:eastAsia="Cambria" w:hAnsi="Cambria" w:cs="Cambria"/>
          <w:sz w:val="20"/>
          <w:szCs w:val="20"/>
          <w:lang w:val="es-MX"/>
        </w:rPr>
        <w:t>Pública</w:t>
      </w:r>
      <w:r w:rsidRPr="004E3E07">
        <w:rPr>
          <w:rFonts w:ascii="Cambria" w:eastAsia="Cambria" w:hAnsi="Cambria" w:cs="Cambria"/>
          <w:sz w:val="20"/>
          <w:szCs w:val="20"/>
          <w:lang w:val="es-MX"/>
        </w:rPr>
        <w:t xml:space="preserve"> y la Ley Federal de Transparencia y Acceso a la </w:t>
      </w:r>
      <w:r w:rsidR="008016E7" w:rsidRPr="004E3E07">
        <w:rPr>
          <w:rFonts w:ascii="Cambria" w:eastAsia="Cambria" w:hAnsi="Cambria" w:cs="Cambria"/>
          <w:sz w:val="20"/>
          <w:szCs w:val="20"/>
          <w:lang w:val="es-MX"/>
        </w:rPr>
        <w:t>Información</w:t>
      </w:r>
      <w:r w:rsidRPr="004E3E07">
        <w:rPr>
          <w:rFonts w:ascii="Cambria" w:eastAsia="Cambria" w:hAnsi="Cambria" w:cs="Cambria"/>
          <w:sz w:val="20"/>
          <w:szCs w:val="20"/>
          <w:lang w:val="es-MX"/>
        </w:rPr>
        <w:t xml:space="preserve"> </w:t>
      </w:r>
      <w:r w:rsidR="00546E11" w:rsidRPr="004E3E07">
        <w:rPr>
          <w:rFonts w:ascii="Cambria" w:eastAsia="Cambria" w:hAnsi="Cambria" w:cs="Cambria"/>
          <w:sz w:val="20"/>
          <w:szCs w:val="20"/>
          <w:lang w:val="es-MX"/>
        </w:rPr>
        <w:t>P</w:t>
      </w:r>
      <w:r w:rsidR="008016E7" w:rsidRPr="004E3E07">
        <w:rPr>
          <w:rFonts w:ascii="Cambria" w:eastAsia="Cambria" w:hAnsi="Cambria" w:cs="Cambria"/>
          <w:sz w:val="20"/>
          <w:szCs w:val="20"/>
          <w:lang w:val="es-MX"/>
        </w:rPr>
        <w:t>ública</w:t>
      </w:r>
      <w:r w:rsidRPr="004E3E07">
        <w:rPr>
          <w:rFonts w:ascii="Cambria" w:eastAsia="Cambria" w:hAnsi="Cambria" w:cs="Cambria"/>
          <w:sz w:val="20"/>
          <w:szCs w:val="20"/>
          <w:lang w:val="es-MX"/>
        </w:rPr>
        <w:t xml:space="preserve"> extienden el ejercicio de los derechos de acceso a la </w:t>
      </w:r>
      <w:r w:rsidR="00546E11" w:rsidRPr="004E3E07">
        <w:rPr>
          <w:rFonts w:ascii="Cambria" w:eastAsia="Cambria" w:hAnsi="Cambria" w:cs="Cambria"/>
          <w:sz w:val="20"/>
          <w:szCs w:val="20"/>
          <w:lang w:val="es-MX"/>
        </w:rPr>
        <w:t>información</w:t>
      </w:r>
      <w:r w:rsidRPr="004E3E07">
        <w:rPr>
          <w:rFonts w:ascii="Cambria" w:eastAsia="Cambria" w:hAnsi="Cambria" w:cs="Cambria"/>
          <w:sz w:val="20"/>
          <w:szCs w:val="20"/>
          <w:lang w:val="es-MX"/>
        </w:rPr>
        <w:t xml:space="preserve"> de manera </w:t>
      </w:r>
      <w:r w:rsidR="00546E11" w:rsidRPr="004E3E07">
        <w:rPr>
          <w:rFonts w:ascii="Cambria" w:eastAsia="Cambria" w:hAnsi="Cambria" w:cs="Cambria"/>
          <w:sz w:val="20"/>
          <w:szCs w:val="20"/>
          <w:lang w:val="es-MX"/>
        </w:rPr>
        <w:t>homogénea</w:t>
      </w:r>
      <w:r w:rsidRPr="004E3E07">
        <w:rPr>
          <w:rFonts w:ascii="Cambria" w:eastAsia="Cambria" w:hAnsi="Cambria" w:cs="Cambria"/>
          <w:sz w:val="20"/>
          <w:szCs w:val="20"/>
          <w:lang w:val="es-MX"/>
        </w:rPr>
        <w:t xml:space="preserve"> en todo el </w:t>
      </w:r>
      <w:r w:rsidR="00546E11" w:rsidRPr="004E3E07">
        <w:rPr>
          <w:rFonts w:ascii="Cambria" w:eastAsia="Cambria" w:hAnsi="Cambria" w:cs="Cambria"/>
          <w:sz w:val="20"/>
          <w:szCs w:val="20"/>
          <w:lang w:val="es-MX"/>
        </w:rPr>
        <w:t>país</w:t>
      </w:r>
      <w:r w:rsidRPr="004E3E07">
        <w:rPr>
          <w:rFonts w:ascii="Cambria" w:eastAsia="Cambria" w:hAnsi="Cambria" w:cs="Cambria"/>
          <w:sz w:val="20"/>
          <w:szCs w:val="20"/>
          <w:lang w:val="es-MX"/>
        </w:rPr>
        <w:t xml:space="preserve"> con el objetivo de continuar garantizando el derecho de acceso a la </w:t>
      </w:r>
      <w:r w:rsidR="00546E11" w:rsidRPr="004E3E07">
        <w:rPr>
          <w:rFonts w:ascii="Cambria" w:eastAsia="Cambria" w:hAnsi="Cambria" w:cs="Cambria"/>
          <w:sz w:val="20"/>
          <w:szCs w:val="20"/>
          <w:lang w:val="es-MX"/>
        </w:rPr>
        <w:t>información pública</w:t>
      </w:r>
      <w:r w:rsidRPr="004E3E07">
        <w:rPr>
          <w:rFonts w:ascii="Cambria" w:eastAsia="Cambria" w:hAnsi="Cambria" w:cs="Cambria"/>
          <w:sz w:val="20"/>
          <w:szCs w:val="20"/>
          <w:lang w:val="es-MX"/>
        </w:rPr>
        <w:t xml:space="preserve"> en </w:t>
      </w:r>
      <w:r w:rsidR="00546E11" w:rsidRPr="004E3E07">
        <w:rPr>
          <w:rFonts w:ascii="Cambria" w:eastAsia="Cambria" w:hAnsi="Cambria" w:cs="Cambria"/>
          <w:sz w:val="20"/>
          <w:szCs w:val="20"/>
          <w:lang w:val="es-MX"/>
        </w:rPr>
        <w:t>posesión</w:t>
      </w:r>
      <w:r w:rsidRPr="004E3E07">
        <w:rPr>
          <w:rFonts w:ascii="Cambria" w:eastAsia="Cambria" w:hAnsi="Cambria" w:cs="Cambria"/>
          <w:sz w:val="20"/>
          <w:szCs w:val="20"/>
          <w:lang w:val="es-MX"/>
        </w:rPr>
        <w:t xml:space="preserve"> de cualquier autoridad”</w:t>
      </w:r>
      <w:r w:rsidRPr="004E3E07">
        <w:rPr>
          <w:rStyle w:val="FootnoteReference"/>
          <w:rFonts w:ascii="Cambria" w:eastAsia="Cambria" w:hAnsi="Cambria" w:cs="Cambria"/>
          <w:sz w:val="20"/>
          <w:szCs w:val="20"/>
          <w:lang w:val="es-MX"/>
        </w:rPr>
        <w:footnoteReference w:id="496"/>
      </w:r>
      <w:r w:rsidRPr="004E3E07">
        <w:rPr>
          <w:rFonts w:ascii="Cambria" w:eastAsia="Cambria" w:hAnsi="Cambria" w:cs="Cambria"/>
          <w:sz w:val="20"/>
          <w:szCs w:val="20"/>
          <w:lang w:val="es-MX"/>
        </w:rPr>
        <w:t>.</w:t>
      </w:r>
    </w:p>
    <w:p w14:paraId="14606B85" w14:textId="415E72D5" w:rsidR="00075FF5" w:rsidRPr="004E3E07" w:rsidRDefault="00075FF5" w:rsidP="00075FF5">
      <w:pPr>
        <w:numPr>
          <w:ilvl w:val="0"/>
          <w:numId w:val="5"/>
        </w:numPr>
        <w:shd w:val="clear" w:color="auto" w:fill="FFFFFF"/>
        <w:spacing w:after="240" w:line="240" w:lineRule="auto"/>
        <w:ind w:left="0" w:firstLine="720"/>
        <w:jc w:val="both"/>
        <w:rPr>
          <w:rFonts w:ascii="Cambria" w:eastAsia="Cambria" w:hAnsi="Cambria" w:cs="Cambria"/>
          <w:sz w:val="20"/>
          <w:szCs w:val="20"/>
          <w:lang w:val="es-MX"/>
        </w:rPr>
      </w:pPr>
      <w:r w:rsidRPr="004E3E07">
        <w:rPr>
          <w:rFonts w:ascii="Cambria" w:eastAsia="Cambria" w:hAnsi="Cambria" w:cs="Cambria"/>
          <w:sz w:val="20"/>
          <w:szCs w:val="20"/>
          <w:lang w:val="es-MX"/>
        </w:rPr>
        <w:t xml:space="preserve">La CIDH considera que la información brindada por el Estado resulta insuficiente </w:t>
      </w:r>
      <w:r w:rsidR="00220665">
        <w:rPr>
          <w:rFonts w:ascii="Cambria" w:eastAsia="Cambria" w:hAnsi="Cambria" w:cs="Cambria"/>
          <w:sz w:val="20"/>
          <w:szCs w:val="20"/>
          <w:lang w:val="es-MX"/>
        </w:rPr>
        <w:t>para analizar</w:t>
      </w:r>
      <w:r w:rsidRPr="004E3E07">
        <w:rPr>
          <w:rFonts w:ascii="Cambria" w:eastAsia="Cambria" w:hAnsi="Cambria" w:cs="Cambria"/>
          <w:sz w:val="20"/>
          <w:szCs w:val="20"/>
          <w:lang w:val="es-MX"/>
        </w:rPr>
        <w:t xml:space="preserve"> </w:t>
      </w:r>
      <w:r w:rsidR="00220665">
        <w:rPr>
          <w:rFonts w:ascii="Cambria" w:eastAsia="Cambria" w:hAnsi="Cambria" w:cs="Cambria"/>
          <w:sz w:val="20"/>
          <w:szCs w:val="20"/>
          <w:lang w:val="es-MX"/>
        </w:rPr>
        <w:t xml:space="preserve">el </w:t>
      </w:r>
      <w:r w:rsidRPr="004E3E07">
        <w:rPr>
          <w:rFonts w:ascii="Cambria" w:eastAsia="Cambria" w:hAnsi="Cambria" w:cs="Cambria"/>
          <w:sz w:val="20"/>
          <w:szCs w:val="20"/>
          <w:lang w:val="es-MX"/>
        </w:rPr>
        <w:t>cumplimiento de la recomendación. Como se indicó en el último informe anual, la Comisión entiende que el contexto de graves violaciones a los derechos humanos continúa pendiente de fortalecimiento en materia de obligaciones de transparencia. En este sentido, y al tratarse de una obligación de cumplimiento progresivo, la CIDH estima que la recomendación se encuentra en cumplimiento parcial, e insta al Estado a seguir fortaleciendo el derecho de acceso a la información pública, en especial sobre graves violaciones de derechos humanos.</w:t>
      </w:r>
    </w:p>
    <w:p w14:paraId="14606B86" w14:textId="4F1B3366" w:rsidR="00075FF5" w:rsidRPr="00DE5BE1" w:rsidRDefault="00075FF5" w:rsidP="00897787">
      <w:pPr>
        <w:numPr>
          <w:ilvl w:val="0"/>
          <w:numId w:val="5"/>
        </w:numPr>
        <w:shd w:val="clear" w:color="auto" w:fill="FFFFFF"/>
        <w:spacing w:after="240" w:line="240" w:lineRule="auto"/>
        <w:ind w:left="0" w:firstLine="720"/>
        <w:jc w:val="both"/>
        <w:rPr>
          <w:rFonts w:ascii="Cambria" w:eastAsia="Cambria" w:hAnsi="Cambria" w:cs="Cambria"/>
          <w:sz w:val="20"/>
          <w:szCs w:val="20"/>
          <w:lang w:val="es-MX"/>
        </w:rPr>
      </w:pPr>
      <w:r w:rsidRPr="00DE5BE1">
        <w:rPr>
          <w:rFonts w:ascii="Cambria" w:eastAsia="Cambria" w:hAnsi="Cambria" w:cs="Cambria"/>
          <w:sz w:val="20"/>
          <w:szCs w:val="20"/>
          <w:lang w:val="es-MX"/>
        </w:rPr>
        <w:t xml:space="preserve">Respecto a la recomendación de </w:t>
      </w:r>
      <w:r w:rsidRPr="00DE5BE1">
        <w:rPr>
          <w:rFonts w:ascii="Cambria" w:eastAsia="Cambria" w:hAnsi="Cambria" w:cs="Cambria"/>
          <w:b/>
          <w:sz w:val="20"/>
          <w:szCs w:val="20"/>
          <w:lang w:val="es-MX"/>
        </w:rPr>
        <w:t>adoptar las medidas pertinentes para que los cuerpos de seguridad recopilen, sistematicen y publiquen periódicamente la información referida a afectaciones a la vida e integridad, como consecuencia de la lucha contra el crimen organizado. La información relativa a tales afectaciones deberá hacer una descripción del lugar donde ocurrieron, la fecha, los datos de la unidad del sector seguridad que hubiera estado presente cuando ocurrieron, información sobre su mandato y control. Así mismo, cuáles fueron las causas de la afectación y de la incapacidad para impedirlas</w:t>
      </w:r>
      <w:r w:rsidR="00057A41" w:rsidRPr="00DE5BE1">
        <w:rPr>
          <w:rFonts w:ascii="Cambria" w:eastAsia="Cambria" w:hAnsi="Cambria" w:cs="Cambria"/>
          <w:sz w:val="20"/>
          <w:szCs w:val="20"/>
          <w:lang w:val="es-MX"/>
        </w:rPr>
        <w:t>,</w:t>
      </w:r>
      <w:r w:rsidRPr="00DE5BE1">
        <w:rPr>
          <w:rFonts w:ascii="Cambria" w:eastAsia="Cambria" w:hAnsi="Cambria" w:cs="Cambria"/>
          <w:sz w:val="20"/>
          <w:szCs w:val="20"/>
          <w:lang w:val="es-MX"/>
        </w:rPr>
        <w:t xml:space="preserve"> el Estado indicó que “el proyecto Memoria y Verdad busca dar a conocer </w:t>
      </w:r>
      <w:r w:rsidR="00546E11" w:rsidRPr="00DE5BE1">
        <w:rPr>
          <w:rFonts w:ascii="Cambria" w:eastAsia="Cambria" w:hAnsi="Cambria" w:cs="Cambria"/>
          <w:sz w:val="20"/>
          <w:szCs w:val="20"/>
          <w:lang w:val="es-MX"/>
        </w:rPr>
        <w:t>información</w:t>
      </w:r>
      <w:r w:rsidRPr="00DE5BE1">
        <w:rPr>
          <w:rFonts w:ascii="Cambria" w:eastAsia="Cambria" w:hAnsi="Cambria" w:cs="Cambria"/>
          <w:sz w:val="20"/>
          <w:szCs w:val="20"/>
          <w:lang w:val="es-MX"/>
        </w:rPr>
        <w:t xml:space="preserve"> relacionada con violaciones graves a los Derechos Humanos y delitos de lesa humanidad en </w:t>
      </w:r>
      <w:r w:rsidR="00546E11" w:rsidRPr="00DE5BE1">
        <w:rPr>
          <w:rFonts w:ascii="Cambria" w:eastAsia="Cambria" w:hAnsi="Cambria" w:cs="Cambria"/>
          <w:sz w:val="20"/>
          <w:szCs w:val="20"/>
          <w:lang w:val="es-MX"/>
        </w:rPr>
        <w:t>México</w:t>
      </w:r>
      <w:r w:rsidRPr="00DE5BE1">
        <w:rPr>
          <w:rFonts w:ascii="Cambria" w:eastAsia="Cambria" w:hAnsi="Cambria" w:cs="Cambria"/>
          <w:sz w:val="20"/>
          <w:szCs w:val="20"/>
          <w:lang w:val="es-MX"/>
        </w:rPr>
        <w:t xml:space="preserve">. Su objetivo es promover las </w:t>
      </w:r>
      <w:r w:rsidR="00546E11" w:rsidRPr="00DE5BE1">
        <w:rPr>
          <w:rFonts w:ascii="Cambria" w:eastAsia="Cambria" w:hAnsi="Cambria" w:cs="Cambria"/>
          <w:sz w:val="20"/>
          <w:szCs w:val="20"/>
          <w:lang w:val="es-MX"/>
        </w:rPr>
        <w:t>garantías</w:t>
      </w:r>
      <w:r w:rsidRPr="00DE5BE1">
        <w:rPr>
          <w:rFonts w:ascii="Cambria" w:eastAsia="Cambria" w:hAnsi="Cambria" w:cs="Cambria"/>
          <w:sz w:val="20"/>
          <w:szCs w:val="20"/>
          <w:lang w:val="es-MX"/>
        </w:rPr>
        <w:t xml:space="preserve"> de no repetición, el derecho a la verdad, facilitar el acceso a la </w:t>
      </w:r>
      <w:r w:rsidR="00546E11" w:rsidRPr="00DE5BE1">
        <w:rPr>
          <w:rFonts w:ascii="Cambria" w:eastAsia="Cambria" w:hAnsi="Cambria" w:cs="Cambria"/>
          <w:sz w:val="20"/>
          <w:szCs w:val="20"/>
          <w:lang w:val="es-MX"/>
        </w:rPr>
        <w:t>información</w:t>
      </w:r>
      <w:r w:rsidRPr="00DE5BE1">
        <w:rPr>
          <w:rFonts w:ascii="Cambria" w:eastAsia="Cambria" w:hAnsi="Cambria" w:cs="Cambria"/>
          <w:sz w:val="20"/>
          <w:szCs w:val="20"/>
          <w:lang w:val="es-MX"/>
        </w:rPr>
        <w:t xml:space="preserve"> a </w:t>
      </w:r>
      <w:r w:rsidR="00546E11" w:rsidRPr="00DE5BE1">
        <w:rPr>
          <w:rFonts w:ascii="Cambria" w:eastAsia="Cambria" w:hAnsi="Cambria" w:cs="Cambria"/>
          <w:sz w:val="20"/>
          <w:szCs w:val="20"/>
          <w:lang w:val="es-MX"/>
        </w:rPr>
        <w:t>víctimas</w:t>
      </w:r>
      <w:r w:rsidRPr="00DE5BE1">
        <w:rPr>
          <w:rFonts w:ascii="Cambria" w:eastAsia="Cambria" w:hAnsi="Cambria" w:cs="Cambria"/>
          <w:sz w:val="20"/>
          <w:szCs w:val="20"/>
          <w:lang w:val="es-MX"/>
        </w:rPr>
        <w:t xml:space="preserve">, instancias investigadoras, </w:t>
      </w:r>
      <w:r w:rsidR="00546E11" w:rsidRPr="00DE5BE1">
        <w:rPr>
          <w:rFonts w:ascii="Cambria" w:eastAsia="Cambria" w:hAnsi="Cambria" w:cs="Cambria"/>
          <w:sz w:val="20"/>
          <w:szCs w:val="20"/>
          <w:lang w:val="es-MX"/>
        </w:rPr>
        <w:t>órganos</w:t>
      </w:r>
      <w:r w:rsidRPr="00DE5BE1">
        <w:rPr>
          <w:rFonts w:ascii="Cambria" w:eastAsia="Cambria" w:hAnsi="Cambria" w:cs="Cambria"/>
          <w:sz w:val="20"/>
          <w:szCs w:val="20"/>
          <w:lang w:val="es-MX"/>
        </w:rPr>
        <w:t xml:space="preserve"> jurisdiccionales y/o garantes de los derechos humanos, tribunales y cualquier otro interesado”. En este sentido, señalan que el proyecto surge como una herramienta de producción de conocimiento </w:t>
      </w:r>
      <w:r w:rsidR="00546E11" w:rsidRPr="00DE5BE1">
        <w:rPr>
          <w:rFonts w:ascii="Cambria" w:eastAsia="Cambria" w:hAnsi="Cambria" w:cs="Cambria"/>
          <w:sz w:val="20"/>
          <w:szCs w:val="20"/>
          <w:lang w:val="es-MX"/>
        </w:rPr>
        <w:t>público</w:t>
      </w:r>
      <w:r w:rsidRPr="00DE5BE1">
        <w:rPr>
          <w:rFonts w:ascii="Cambria" w:eastAsia="Cambria" w:hAnsi="Cambria" w:cs="Cambria"/>
          <w:sz w:val="20"/>
          <w:szCs w:val="20"/>
          <w:lang w:val="es-MX"/>
        </w:rPr>
        <w:t xml:space="preserve"> que le permite a cualquier interesado conocer los hechos, explorar la </w:t>
      </w:r>
      <w:r w:rsidR="00546E11" w:rsidRPr="00DE5BE1">
        <w:rPr>
          <w:rFonts w:ascii="Cambria" w:eastAsia="Cambria" w:hAnsi="Cambria" w:cs="Cambria"/>
          <w:sz w:val="20"/>
          <w:szCs w:val="20"/>
          <w:lang w:val="es-MX"/>
        </w:rPr>
        <w:t>información</w:t>
      </w:r>
      <w:r w:rsidRPr="00DE5BE1">
        <w:rPr>
          <w:rFonts w:ascii="Cambria" w:eastAsia="Cambria" w:hAnsi="Cambria" w:cs="Cambria"/>
          <w:sz w:val="20"/>
          <w:szCs w:val="20"/>
          <w:lang w:val="es-MX"/>
        </w:rPr>
        <w:t xml:space="preserve"> disponible, formarse un juicio informado y promover la plena transparencia y la </w:t>
      </w:r>
      <w:r w:rsidR="00546E11" w:rsidRPr="00DE5BE1">
        <w:rPr>
          <w:rFonts w:ascii="Cambria" w:eastAsia="Cambria" w:hAnsi="Cambria" w:cs="Cambria"/>
          <w:sz w:val="20"/>
          <w:szCs w:val="20"/>
          <w:lang w:val="es-MX"/>
        </w:rPr>
        <w:t>rendición</w:t>
      </w:r>
      <w:r w:rsidRPr="00DE5BE1">
        <w:rPr>
          <w:rFonts w:ascii="Cambria" w:eastAsia="Cambria" w:hAnsi="Cambria" w:cs="Cambria"/>
          <w:sz w:val="20"/>
          <w:szCs w:val="20"/>
          <w:lang w:val="es-MX"/>
        </w:rPr>
        <w:t xml:space="preserve"> de cuentas de las autoridades con respecto al tratamiento de documentos </w:t>
      </w:r>
      <w:r w:rsidR="00546E11" w:rsidRPr="00DE5BE1">
        <w:rPr>
          <w:rFonts w:ascii="Cambria" w:eastAsia="Cambria" w:hAnsi="Cambria" w:cs="Cambria"/>
          <w:sz w:val="20"/>
          <w:szCs w:val="20"/>
          <w:lang w:val="es-MX"/>
        </w:rPr>
        <w:t>públicos</w:t>
      </w:r>
      <w:r w:rsidRPr="00DE5BE1">
        <w:rPr>
          <w:rFonts w:ascii="Cambria" w:eastAsia="Cambria" w:hAnsi="Cambria" w:cs="Cambria"/>
          <w:sz w:val="20"/>
          <w:szCs w:val="20"/>
          <w:lang w:val="es-MX"/>
        </w:rPr>
        <w:t xml:space="preserve"> relacionados con violaciones graves a los derechos humanos</w:t>
      </w:r>
      <w:r w:rsidRPr="00DE5BE1">
        <w:rPr>
          <w:rStyle w:val="FootnoteReference"/>
          <w:rFonts w:ascii="Cambria" w:eastAsia="Cambria" w:hAnsi="Cambria" w:cs="Cambria"/>
          <w:sz w:val="20"/>
          <w:szCs w:val="20"/>
          <w:lang w:val="es-MX"/>
        </w:rPr>
        <w:footnoteReference w:id="497"/>
      </w:r>
      <w:r w:rsidRPr="00DE5BE1">
        <w:rPr>
          <w:rFonts w:ascii="Cambria" w:eastAsia="Cambria" w:hAnsi="Cambria" w:cs="Cambria"/>
          <w:sz w:val="20"/>
          <w:szCs w:val="20"/>
          <w:lang w:val="es-MX"/>
        </w:rPr>
        <w:t xml:space="preserve">. </w:t>
      </w:r>
      <w:r w:rsidR="00897787" w:rsidRPr="00DE5BE1">
        <w:rPr>
          <w:rFonts w:ascii="Cambria" w:eastAsia="Cambria" w:hAnsi="Cambria" w:cs="Cambria"/>
          <w:sz w:val="20"/>
          <w:szCs w:val="20"/>
          <w:lang w:val="es-MX"/>
        </w:rPr>
        <w:t xml:space="preserve">Asimismo, si bien </w:t>
      </w:r>
      <w:r w:rsidRPr="00DE5BE1">
        <w:rPr>
          <w:rFonts w:ascii="Cambria" w:eastAsia="Cambria" w:hAnsi="Cambria" w:cs="Cambria"/>
          <w:sz w:val="20"/>
          <w:szCs w:val="20"/>
          <w:lang w:val="es-MX"/>
        </w:rPr>
        <w:t>la Comisión y su Relatoría han continuado recibiendo reportes que denuncian presuntas obstrucciones y obstáculos para la apertura de archivos históricos sobre crímenes del Estado perpetrados entre 1960-1980, como así también sobre alegadas prácticas persistentes de opacidad y de reserva de información como clasificada de parte de organismos estatales</w:t>
      </w:r>
      <w:r w:rsidR="00897787" w:rsidRPr="00DE5BE1">
        <w:rPr>
          <w:rFonts w:ascii="Cambria" w:eastAsia="Cambria" w:hAnsi="Cambria" w:cs="Cambria"/>
          <w:sz w:val="20"/>
          <w:szCs w:val="20"/>
          <w:lang w:val="es-MX"/>
        </w:rPr>
        <w:t>, la CIDH reconoce la creación de la Comisión para el Acceso a la Verdad, el Esclarecimiento Histórico y el Impulso a la Justicia de las violaciones graves a los derechos humanos cometidas de 1965 a 1990, a la cual dará un monitoreo cercano.</w:t>
      </w:r>
    </w:p>
    <w:p w14:paraId="07897692" w14:textId="5ED8CC65" w:rsidR="00075FF5" w:rsidRPr="004E3E07" w:rsidRDefault="00075FF5" w:rsidP="00075FF5">
      <w:pPr>
        <w:numPr>
          <w:ilvl w:val="0"/>
          <w:numId w:val="5"/>
        </w:numPr>
        <w:shd w:val="clear" w:color="auto" w:fill="FFFFFF"/>
        <w:spacing w:after="240" w:line="240" w:lineRule="auto"/>
        <w:ind w:left="0" w:firstLine="720"/>
        <w:jc w:val="both"/>
        <w:rPr>
          <w:rFonts w:ascii="Cambria" w:eastAsia="Cambria" w:hAnsi="Cambria" w:cs="Cambria"/>
          <w:sz w:val="20"/>
          <w:szCs w:val="20"/>
          <w:lang w:val="es-MX"/>
        </w:rPr>
      </w:pPr>
      <w:r w:rsidRPr="004E3E07">
        <w:rPr>
          <w:rFonts w:ascii="Cambria" w:eastAsia="Cambria" w:hAnsi="Cambria" w:cs="Cambria"/>
          <w:sz w:val="20"/>
          <w:szCs w:val="20"/>
          <w:lang w:val="es-MX"/>
        </w:rPr>
        <w:t xml:space="preserve">En este marco, la Comisión saluda la resolución del Instituto Nacional de Transparencia, Acceso a la Información y Protección de Datos Personales (INAI) mediante la cual instruyó a la Guardia Nacional a que entregue la versión pública de los informes que ha generado por uso de la fuerza de sus agentes desde su creación. Según la información públicamente disponible, el caso se originó tras una solicitud de acceso a la información realizada por el Centro </w:t>
      </w:r>
      <w:r w:rsidR="00220665">
        <w:rPr>
          <w:rFonts w:ascii="Cambria" w:eastAsia="Cambria" w:hAnsi="Cambria" w:cs="Cambria"/>
          <w:sz w:val="20"/>
          <w:szCs w:val="20"/>
          <w:lang w:val="es-MX"/>
        </w:rPr>
        <w:t>PRODH</w:t>
      </w:r>
      <w:r w:rsidRPr="004E3E07">
        <w:rPr>
          <w:rFonts w:ascii="Cambria" w:eastAsia="Cambria" w:hAnsi="Cambria" w:cs="Cambria"/>
          <w:sz w:val="20"/>
          <w:szCs w:val="20"/>
          <w:lang w:val="es-MX"/>
        </w:rPr>
        <w:t>, con la finalidad de conocer el número y las versiones públicas de los reportes pormenorizados sobre uso de la fuerza que hubieran generado los elementos de la Guardia Nacional. En respuesta, la Guardia Nacional habría clasificado toda la información solicitada como reservada por un periodo de 5 años, fundado en presunta afectación a la adecuada investigación de delitos</w:t>
      </w:r>
      <w:r w:rsidRPr="004E3E07">
        <w:rPr>
          <w:rFonts w:ascii="Cambria" w:eastAsia="Cambria" w:hAnsi="Cambria" w:cs="Cambria"/>
          <w:sz w:val="20"/>
          <w:szCs w:val="20"/>
          <w:vertAlign w:val="superscript"/>
          <w:lang w:val="es-MX"/>
        </w:rPr>
        <w:footnoteReference w:id="498"/>
      </w:r>
      <w:r w:rsidRPr="004E3E07">
        <w:rPr>
          <w:rFonts w:ascii="Cambria" w:eastAsia="Cambria" w:hAnsi="Cambria" w:cs="Cambria"/>
          <w:sz w:val="20"/>
          <w:szCs w:val="20"/>
          <w:lang w:val="es-MX"/>
        </w:rPr>
        <w:t>. Según la información públicamente disponible, la Guardia Nacional se habría negado a acatar la resolución del INAI</w:t>
      </w:r>
      <w:r w:rsidRPr="004E3E07">
        <w:rPr>
          <w:rFonts w:ascii="Cambria" w:eastAsia="Cambria" w:hAnsi="Cambria" w:cs="Cambria"/>
          <w:sz w:val="20"/>
          <w:szCs w:val="20"/>
          <w:vertAlign w:val="superscript"/>
          <w:lang w:val="es-MX"/>
        </w:rPr>
        <w:footnoteReference w:id="499"/>
      </w:r>
      <w:r w:rsidRPr="004E3E07">
        <w:rPr>
          <w:rFonts w:ascii="Cambria" w:eastAsia="Cambria" w:hAnsi="Cambria" w:cs="Cambria"/>
          <w:sz w:val="20"/>
          <w:szCs w:val="20"/>
          <w:lang w:val="es-MX"/>
        </w:rPr>
        <w:t xml:space="preserve">. </w:t>
      </w:r>
    </w:p>
    <w:p w14:paraId="4D8B44A4" w14:textId="77777777" w:rsidR="00075FF5" w:rsidRPr="004E3E07" w:rsidRDefault="00075FF5" w:rsidP="00075FF5">
      <w:pPr>
        <w:numPr>
          <w:ilvl w:val="0"/>
          <w:numId w:val="5"/>
        </w:numPr>
        <w:shd w:val="clear" w:color="auto" w:fill="FFFFFF"/>
        <w:spacing w:after="240" w:line="240" w:lineRule="auto"/>
        <w:ind w:left="0" w:firstLine="720"/>
        <w:jc w:val="both"/>
        <w:rPr>
          <w:rFonts w:ascii="Cambria" w:eastAsia="Cambria" w:hAnsi="Cambria" w:cs="Cambria"/>
          <w:sz w:val="20"/>
          <w:szCs w:val="20"/>
          <w:lang w:val="es-MX"/>
        </w:rPr>
      </w:pPr>
      <w:r w:rsidRPr="004E3E07">
        <w:rPr>
          <w:rFonts w:ascii="Cambria" w:eastAsia="Cambria" w:hAnsi="Cambria" w:cs="Cambria"/>
          <w:sz w:val="20"/>
          <w:szCs w:val="20"/>
          <w:lang w:val="es-MX"/>
        </w:rPr>
        <w:t>La Comisión recuerda que, en sociedades democráticas, resulta indispensable que las autoridades estatales se rijan por el principio de máxima divulgación, de modo que toda la información en poder del Estado se presume pública y accesible, sometida a un régimen limitado de excepciones. En este marco, el concepto de seguridad nacional debe ser interpretado bajo los parámetros de las “justas exigencias del bien común en una sociedad democrática”</w:t>
      </w:r>
      <w:r w:rsidRPr="004E3E07">
        <w:rPr>
          <w:rFonts w:ascii="Cambria" w:eastAsia="Cambria" w:hAnsi="Cambria" w:cs="Cambria"/>
          <w:sz w:val="20"/>
          <w:szCs w:val="20"/>
          <w:vertAlign w:val="superscript"/>
          <w:lang w:val="es-MX"/>
        </w:rPr>
        <w:footnoteReference w:id="500"/>
      </w:r>
      <w:r w:rsidRPr="004E3E07">
        <w:rPr>
          <w:rFonts w:ascii="Cambria" w:eastAsia="Cambria" w:hAnsi="Cambria" w:cs="Cambria"/>
          <w:sz w:val="20"/>
          <w:szCs w:val="20"/>
          <w:lang w:val="es-MX"/>
        </w:rPr>
        <w:t>. La Corte Interamericana ha sostenido al respecto que el establecimiento de restricciones al derecho de acceso a información bajo el control del Estado “sin la observancia de los límites convencionales (…) crea un campo fértil para la actuación discrecional y arbitraria del Estado en la clasificación de la información como secreta, reservada o confidencial”</w:t>
      </w:r>
      <w:r w:rsidRPr="004E3E07">
        <w:rPr>
          <w:rFonts w:ascii="Cambria" w:eastAsia="Cambria" w:hAnsi="Cambria" w:cs="Cambria"/>
          <w:sz w:val="20"/>
          <w:szCs w:val="20"/>
          <w:vertAlign w:val="superscript"/>
          <w:lang w:val="es-MX"/>
        </w:rPr>
        <w:footnoteReference w:id="501"/>
      </w:r>
      <w:r w:rsidRPr="004E3E07">
        <w:rPr>
          <w:rFonts w:ascii="Cambria" w:eastAsia="Cambria" w:hAnsi="Cambria" w:cs="Cambria"/>
          <w:sz w:val="20"/>
          <w:szCs w:val="20"/>
          <w:lang w:val="es-MX"/>
        </w:rPr>
        <w:t xml:space="preserve">. </w:t>
      </w:r>
    </w:p>
    <w:p w14:paraId="0A7248AC" w14:textId="77492E89" w:rsidR="00075FF5" w:rsidRPr="004E3E07" w:rsidRDefault="00075FF5" w:rsidP="00075FF5">
      <w:pPr>
        <w:numPr>
          <w:ilvl w:val="0"/>
          <w:numId w:val="5"/>
        </w:numPr>
        <w:shd w:val="clear" w:color="auto" w:fill="FFFFFF"/>
        <w:spacing w:after="240" w:line="240" w:lineRule="auto"/>
        <w:ind w:left="0" w:firstLine="720"/>
        <w:jc w:val="both"/>
        <w:rPr>
          <w:rFonts w:ascii="Cambria" w:eastAsia="Cambria" w:hAnsi="Cambria" w:cs="Cambria"/>
          <w:sz w:val="20"/>
          <w:szCs w:val="20"/>
          <w:lang w:val="es-MX"/>
        </w:rPr>
      </w:pPr>
      <w:r w:rsidRPr="004E3E07">
        <w:rPr>
          <w:rFonts w:ascii="Cambria" w:eastAsia="Cambria" w:hAnsi="Cambria" w:cs="Cambria"/>
          <w:sz w:val="20"/>
          <w:szCs w:val="20"/>
          <w:lang w:val="es-MX"/>
        </w:rPr>
        <w:t>En atención a la información reportada en los últimos informes anuales, y a la falta de información que evidencie nuevos avances significativos frente a esta recomendación, la CIDH considera que continúa parcialmente cumplida.</w:t>
      </w:r>
    </w:p>
    <w:p w14:paraId="14606B88" w14:textId="62716A3D" w:rsidR="002277F5" w:rsidRPr="000E3AC3" w:rsidRDefault="007E25FF">
      <w:pPr>
        <w:spacing w:after="240" w:line="240" w:lineRule="auto"/>
        <w:ind w:firstLine="720"/>
        <w:jc w:val="both"/>
        <w:rPr>
          <w:rFonts w:ascii="Cambria" w:eastAsia="Cambria" w:hAnsi="Cambria" w:cs="Cambria"/>
          <w:b/>
          <w:sz w:val="20"/>
          <w:szCs w:val="20"/>
          <w:lang w:val="es-MX"/>
        </w:rPr>
      </w:pPr>
      <w:r w:rsidRPr="000E3AC3">
        <w:rPr>
          <w:rFonts w:ascii="Cambria" w:eastAsia="Cambria" w:hAnsi="Cambria" w:cs="Cambria"/>
          <w:b/>
          <w:sz w:val="20"/>
          <w:szCs w:val="20"/>
          <w:lang w:val="es-MX"/>
        </w:rPr>
        <w:t>IV. Mecanismo de Protección para Personas Defensoras de</w:t>
      </w:r>
      <w:r>
        <w:rPr>
          <w:rFonts w:ascii="Cambria" w:eastAsia="Cambria" w:hAnsi="Cambria" w:cs="Cambria"/>
          <w:b/>
          <w:sz w:val="20"/>
          <w:szCs w:val="20"/>
          <w:lang w:val="es-MX"/>
        </w:rPr>
        <w:t xml:space="preserve"> Derechos Humanos y Periodistas</w:t>
      </w:r>
    </w:p>
    <w:p w14:paraId="14606B89" w14:textId="77777777" w:rsidR="002277F5" w:rsidRPr="000E3AC3" w:rsidRDefault="007E25FF">
      <w:pPr>
        <w:widowControl w:val="0"/>
        <w:numPr>
          <w:ilvl w:val="0"/>
          <w:numId w:val="14"/>
        </w:numPr>
        <w:pBdr>
          <w:top w:val="nil"/>
          <w:left w:val="nil"/>
          <w:bottom w:val="nil"/>
          <w:right w:val="nil"/>
          <w:between w:val="nil"/>
        </w:pBdr>
        <w:shd w:val="clear" w:color="auto" w:fill="D9D9D9"/>
        <w:spacing w:after="0" w:line="240" w:lineRule="auto"/>
        <w:ind w:left="1440" w:hanging="720"/>
        <w:jc w:val="both"/>
        <w:rPr>
          <w:rFonts w:ascii="Cambria" w:hAnsi="Cambria"/>
          <w:lang w:val="es-MX"/>
        </w:rPr>
      </w:pPr>
      <w:r w:rsidRPr="000E3AC3">
        <w:rPr>
          <w:rFonts w:ascii="Cambria" w:eastAsia="Cambria" w:hAnsi="Cambria" w:cs="Cambria"/>
          <w:sz w:val="20"/>
          <w:szCs w:val="20"/>
          <w:lang w:val="es-MX"/>
        </w:rPr>
        <w:t xml:space="preserve">Requerir a las autoridades competentes tomar en consideración los parámetros internacionales en materia de protección, especialmente, las consideraciones desarrolladas en el “Segundo Informe sobre la situación de las Defensoras y los Defensores de Derechos Humanos en las Américas” y el “Informe Violencia contra periodistas y trabajadores de medios de la Relatoría Especial para la Libertad de Expresión de la CIDH”. </w:t>
      </w:r>
    </w:p>
    <w:p w14:paraId="14606B8A" w14:textId="77777777" w:rsidR="002277F5" w:rsidRPr="000E3AC3" w:rsidRDefault="007E25FF">
      <w:pPr>
        <w:widowControl w:val="0"/>
        <w:numPr>
          <w:ilvl w:val="0"/>
          <w:numId w:val="14"/>
        </w:numPr>
        <w:pBdr>
          <w:top w:val="nil"/>
          <w:left w:val="nil"/>
          <w:bottom w:val="nil"/>
          <w:right w:val="nil"/>
          <w:between w:val="nil"/>
        </w:pBdr>
        <w:shd w:val="clear" w:color="auto" w:fill="D9D9D9"/>
        <w:spacing w:after="0" w:line="240" w:lineRule="auto"/>
        <w:ind w:left="1440" w:hanging="720"/>
        <w:jc w:val="both"/>
        <w:rPr>
          <w:rFonts w:ascii="Cambria" w:hAnsi="Cambria"/>
          <w:lang w:val="es-MX"/>
        </w:rPr>
      </w:pPr>
      <w:r w:rsidRPr="000E3AC3">
        <w:rPr>
          <w:rFonts w:ascii="Cambria" w:eastAsia="Cambria" w:hAnsi="Cambria" w:cs="Cambria"/>
          <w:sz w:val="20"/>
          <w:szCs w:val="20"/>
          <w:lang w:val="es-MX"/>
        </w:rPr>
        <w:t xml:space="preserve">Proporcionar todo el apoyo político necesario para el adecuado funcionamiento del mecanismo de protección, el cual incluya los recursos económicos necesarios para que puedan desarrollar eficientemente sus competencias en materia de protección y el mismo sea sostenible en el tiempo. </w:t>
      </w:r>
    </w:p>
    <w:p w14:paraId="14606B8B" w14:textId="77777777" w:rsidR="002277F5" w:rsidRPr="000E3AC3" w:rsidRDefault="007E25FF">
      <w:pPr>
        <w:widowControl w:val="0"/>
        <w:numPr>
          <w:ilvl w:val="0"/>
          <w:numId w:val="14"/>
        </w:numPr>
        <w:pBdr>
          <w:top w:val="nil"/>
          <w:left w:val="nil"/>
          <w:bottom w:val="nil"/>
          <w:right w:val="nil"/>
          <w:between w:val="nil"/>
        </w:pBdr>
        <w:shd w:val="clear" w:color="auto" w:fill="D9D9D9"/>
        <w:spacing w:after="0" w:line="240" w:lineRule="auto"/>
        <w:ind w:left="1440" w:hanging="720"/>
        <w:jc w:val="both"/>
        <w:rPr>
          <w:rFonts w:ascii="Cambria" w:hAnsi="Cambria"/>
          <w:lang w:val="es-MX"/>
        </w:rPr>
      </w:pPr>
      <w:r w:rsidRPr="000E3AC3">
        <w:rPr>
          <w:rFonts w:ascii="Cambria" w:eastAsia="Cambria" w:hAnsi="Cambria" w:cs="Cambria"/>
          <w:sz w:val="20"/>
          <w:szCs w:val="20"/>
          <w:lang w:val="es-MX"/>
        </w:rPr>
        <w:t xml:space="preserve">Adoptar todas las medidas necesarias para asignar y capacitar a todo el personal necesario para su operación adecuada. </w:t>
      </w:r>
    </w:p>
    <w:p w14:paraId="14606B8C" w14:textId="432FF31E" w:rsidR="002277F5" w:rsidRPr="000E3AC3" w:rsidRDefault="007E25FF">
      <w:pPr>
        <w:widowControl w:val="0"/>
        <w:numPr>
          <w:ilvl w:val="0"/>
          <w:numId w:val="14"/>
        </w:numPr>
        <w:pBdr>
          <w:top w:val="nil"/>
          <w:left w:val="nil"/>
          <w:bottom w:val="nil"/>
          <w:right w:val="nil"/>
          <w:between w:val="nil"/>
        </w:pBdr>
        <w:shd w:val="clear" w:color="auto" w:fill="D9D9D9"/>
        <w:spacing w:after="0" w:line="240" w:lineRule="auto"/>
        <w:ind w:left="1440" w:hanging="720"/>
        <w:jc w:val="both"/>
        <w:rPr>
          <w:rFonts w:ascii="Cambria" w:hAnsi="Cambria"/>
          <w:lang w:val="es-MX"/>
        </w:rPr>
      </w:pPr>
      <w:r w:rsidRPr="000E3AC3">
        <w:rPr>
          <w:rFonts w:ascii="Cambria" w:eastAsia="Cambria" w:hAnsi="Cambria" w:cs="Cambria"/>
          <w:sz w:val="20"/>
          <w:szCs w:val="20"/>
          <w:lang w:val="es-MX"/>
        </w:rPr>
        <w:t>Garantizar que los estudios de riesgo y la implementación de las medidas de prevención y de protección sean realizados de manera adecuada y atendiendo la urgencia de los asuntos. Por tanto, que</w:t>
      </w:r>
      <w:r w:rsidR="008D3D94" w:rsidRPr="000E3AC3">
        <w:rPr>
          <w:rFonts w:ascii="Cambria" w:eastAsia="Cambria" w:hAnsi="Cambria" w:cs="Cambria"/>
          <w:sz w:val="20"/>
          <w:szCs w:val="20"/>
          <w:lang w:val="es-MX"/>
        </w:rPr>
        <w:t>,</w:t>
      </w:r>
      <w:r w:rsidRPr="000E3AC3">
        <w:rPr>
          <w:rFonts w:ascii="Cambria" w:eastAsia="Cambria" w:hAnsi="Cambria" w:cs="Cambria"/>
          <w:sz w:val="20"/>
          <w:szCs w:val="20"/>
          <w:lang w:val="es-MX"/>
        </w:rPr>
        <w:t xml:space="preserve"> en los procesos de valoración de riesgo, asignación de esquemas de protección y revisión sobre su idoneidad, se garantice una adecuada participación, comunicación y concertación con las personas amparadas por el mecanismo de protección, así como beneficiarios de medidas cautelares solicitadas por la CIDH. </w:t>
      </w:r>
    </w:p>
    <w:p w14:paraId="14606B8D" w14:textId="77777777" w:rsidR="002277F5" w:rsidRPr="000E3AC3" w:rsidRDefault="007E25FF">
      <w:pPr>
        <w:widowControl w:val="0"/>
        <w:numPr>
          <w:ilvl w:val="0"/>
          <w:numId w:val="14"/>
        </w:numPr>
        <w:pBdr>
          <w:top w:val="nil"/>
          <w:left w:val="nil"/>
          <w:bottom w:val="nil"/>
          <w:right w:val="nil"/>
          <w:between w:val="nil"/>
        </w:pBdr>
        <w:shd w:val="clear" w:color="auto" w:fill="D9D9D9"/>
        <w:spacing w:after="0" w:line="240" w:lineRule="auto"/>
        <w:ind w:left="1440" w:hanging="720"/>
        <w:jc w:val="both"/>
        <w:rPr>
          <w:rFonts w:ascii="Cambria" w:hAnsi="Cambria"/>
          <w:lang w:val="es-MX"/>
        </w:rPr>
      </w:pPr>
      <w:r w:rsidRPr="000E3AC3">
        <w:rPr>
          <w:rFonts w:ascii="Cambria" w:eastAsia="Cambria" w:hAnsi="Cambria" w:cs="Cambria"/>
          <w:sz w:val="20"/>
          <w:szCs w:val="20"/>
          <w:lang w:val="es-MX"/>
        </w:rPr>
        <w:t xml:space="preserve">Realizar la evaluación y adopción de medidas de protección diferenciadas para mujeres, líderes indígenas y defensores ambientales. </w:t>
      </w:r>
    </w:p>
    <w:p w14:paraId="14606B8E" w14:textId="77777777" w:rsidR="002277F5" w:rsidRPr="000E3AC3" w:rsidRDefault="007E25FF">
      <w:pPr>
        <w:widowControl w:val="0"/>
        <w:numPr>
          <w:ilvl w:val="0"/>
          <w:numId w:val="14"/>
        </w:numPr>
        <w:pBdr>
          <w:top w:val="nil"/>
          <w:left w:val="nil"/>
          <w:bottom w:val="nil"/>
          <w:right w:val="nil"/>
          <w:between w:val="nil"/>
        </w:pBdr>
        <w:shd w:val="clear" w:color="auto" w:fill="D9D9D9"/>
        <w:spacing w:after="0" w:line="240" w:lineRule="auto"/>
        <w:ind w:left="1440" w:hanging="720"/>
        <w:jc w:val="both"/>
        <w:rPr>
          <w:rFonts w:ascii="Cambria" w:hAnsi="Cambria"/>
          <w:lang w:val="es-MX"/>
        </w:rPr>
      </w:pPr>
      <w:r w:rsidRPr="000E3AC3">
        <w:rPr>
          <w:rFonts w:ascii="Cambria" w:eastAsia="Cambria" w:hAnsi="Cambria" w:cs="Cambria"/>
          <w:sz w:val="20"/>
          <w:szCs w:val="20"/>
          <w:lang w:val="es-MX"/>
        </w:rPr>
        <w:t xml:space="preserve">Exhortar al Estado a implementar estrategias para que las diferentes instituciones, en los diversos niveles federales y estatales, trabajen de manera articulada a fin de proporcionar una respuesta integral en todos los temas relacionados con la protección de las y los defensores de derechos humanos, así como también de periodistas. </w:t>
      </w:r>
    </w:p>
    <w:p w14:paraId="14606B8F" w14:textId="77777777" w:rsidR="002277F5" w:rsidRPr="000E3AC3" w:rsidRDefault="007E25FF">
      <w:pPr>
        <w:widowControl w:val="0"/>
        <w:numPr>
          <w:ilvl w:val="0"/>
          <w:numId w:val="14"/>
        </w:numPr>
        <w:pBdr>
          <w:top w:val="nil"/>
          <w:left w:val="nil"/>
          <w:bottom w:val="nil"/>
          <w:right w:val="nil"/>
          <w:between w:val="nil"/>
        </w:pBdr>
        <w:shd w:val="clear" w:color="auto" w:fill="D9D9D9"/>
        <w:spacing w:after="0" w:line="240" w:lineRule="auto"/>
        <w:ind w:left="1440" w:hanging="720"/>
        <w:jc w:val="both"/>
        <w:rPr>
          <w:rFonts w:ascii="Cambria" w:eastAsia="Cambria" w:hAnsi="Cambria" w:cs="Cambria"/>
          <w:b/>
          <w:sz w:val="20"/>
          <w:szCs w:val="20"/>
          <w:lang w:val="es-MX"/>
        </w:rPr>
      </w:pPr>
      <w:r w:rsidRPr="000E3AC3">
        <w:rPr>
          <w:rFonts w:ascii="Cambria" w:eastAsia="Cambria" w:hAnsi="Cambria" w:cs="Cambria"/>
          <w:sz w:val="20"/>
          <w:szCs w:val="20"/>
          <w:lang w:val="es-MX"/>
        </w:rPr>
        <w:t xml:space="preserve">Alentar al mecanismo de protección a implementar una estrategia de difusión sobre sus competencias, los requisitos para ingresar al programa, entre otra información necesaria, con el objetivo de que defensores de derechos humanos y periodistas conozcan sobre la protección que puede proporcionar el mecanismo. De igual forma y de acuerdo a estándares internacionales, proporcionar acceso a la información necesaria sobre el mecanismo de protección, a fin de proporcionar mayor transparencia sobre el trabajo que se está desarrollando. </w:t>
      </w:r>
    </w:p>
    <w:p w14:paraId="14606B90" w14:textId="77777777" w:rsidR="002277F5" w:rsidRPr="000E3AC3" w:rsidRDefault="007E25FF">
      <w:pPr>
        <w:widowControl w:val="0"/>
        <w:numPr>
          <w:ilvl w:val="0"/>
          <w:numId w:val="14"/>
        </w:numPr>
        <w:pBdr>
          <w:top w:val="nil"/>
          <w:left w:val="nil"/>
          <w:bottom w:val="nil"/>
          <w:right w:val="nil"/>
          <w:between w:val="nil"/>
        </w:pBdr>
        <w:shd w:val="clear" w:color="auto" w:fill="D9D9D9"/>
        <w:spacing w:after="0" w:line="240" w:lineRule="auto"/>
        <w:ind w:left="1440" w:hanging="720"/>
        <w:jc w:val="both"/>
        <w:rPr>
          <w:rFonts w:ascii="Cambria" w:hAnsi="Cambria"/>
          <w:lang w:val="es-MX"/>
        </w:rPr>
      </w:pPr>
      <w:r w:rsidRPr="000E3AC3">
        <w:rPr>
          <w:rFonts w:ascii="Cambria" w:eastAsia="Cambria" w:hAnsi="Cambria" w:cs="Cambria"/>
          <w:sz w:val="20"/>
          <w:szCs w:val="20"/>
          <w:lang w:val="es-MX"/>
        </w:rPr>
        <w:t xml:space="preserve">Alentar al mecanismo de protección a adoptar un procedimiento que le permita ordenar medidas de protección de oficio en aquellos casos que por su gravedad y urgencia las requieran de forma inmediata. </w:t>
      </w:r>
    </w:p>
    <w:p w14:paraId="14606B91" w14:textId="77777777" w:rsidR="002277F5" w:rsidRPr="000E3AC3" w:rsidRDefault="007E25FF">
      <w:pPr>
        <w:widowControl w:val="0"/>
        <w:numPr>
          <w:ilvl w:val="0"/>
          <w:numId w:val="14"/>
        </w:numPr>
        <w:pBdr>
          <w:top w:val="nil"/>
          <w:left w:val="nil"/>
          <w:bottom w:val="nil"/>
          <w:right w:val="nil"/>
          <w:between w:val="nil"/>
        </w:pBdr>
        <w:shd w:val="clear" w:color="auto" w:fill="D9D9D9"/>
        <w:spacing w:after="0" w:line="240" w:lineRule="auto"/>
        <w:ind w:left="1440" w:hanging="720"/>
        <w:jc w:val="both"/>
        <w:rPr>
          <w:rFonts w:ascii="Cambria" w:hAnsi="Cambria"/>
          <w:lang w:val="es-MX"/>
        </w:rPr>
      </w:pPr>
      <w:r w:rsidRPr="000E3AC3">
        <w:rPr>
          <w:rFonts w:ascii="Cambria" w:eastAsia="Cambria" w:hAnsi="Cambria" w:cs="Cambria"/>
          <w:sz w:val="20"/>
          <w:szCs w:val="20"/>
          <w:lang w:val="es-MX"/>
        </w:rPr>
        <w:t xml:space="preserve">Instar al Estado a duplicar esfuerzos para investigar los hechos que motivan el ingreso y permanencia de las personas amparadas por el mecanismo de protección, con el propósito de establecer como política de Estado la investigación como medida de prevención. </w:t>
      </w:r>
    </w:p>
    <w:p w14:paraId="14606B92" w14:textId="77777777" w:rsidR="002277F5" w:rsidRPr="000E3AC3" w:rsidRDefault="007E25FF">
      <w:pPr>
        <w:widowControl w:val="0"/>
        <w:numPr>
          <w:ilvl w:val="0"/>
          <w:numId w:val="14"/>
        </w:numPr>
        <w:pBdr>
          <w:top w:val="nil"/>
          <w:left w:val="nil"/>
          <w:bottom w:val="nil"/>
          <w:right w:val="nil"/>
          <w:between w:val="nil"/>
        </w:pBdr>
        <w:shd w:val="clear" w:color="auto" w:fill="D9D9D9"/>
        <w:spacing w:after="0" w:line="240" w:lineRule="auto"/>
        <w:ind w:left="1440" w:hanging="720"/>
        <w:jc w:val="both"/>
        <w:rPr>
          <w:rFonts w:ascii="Cambria" w:hAnsi="Cambria"/>
          <w:lang w:val="es-MX"/>
        </w:rPr>
      </w:pPr>
      <w:r w:rsidRPr="000E3AC3">
        <w:rPr>
          <w:rFonts w:ascii="Cambria" w:eastAsia="Cambria" w:hAnsi="Cambria" w:cs="Cambria"/>
          <w:sz w:val="20"/>
          <w:szCs w:val="20"/>
          <w:lang w:val="es-MX"/>
        </w:rPr>
        <w:t>Alentar al mecanismo a adoptar herramientas que le permitan realizar mediciones sobre la efectividad de las medidas implementadas, así como incrementar la transparencia de todo lo actuado para incrementar la confianza de los beneficiarios. Lo anterior deberá acompañarse del desarrollo de una política de prevención y de participación de la población objetivo.</w:t>
      </w:r>
    </w:p>
    <w:p w14:paraId="14606B93" w14:textId="77777777" w:rsidR="002277F5" w:rsidRPr="000E3AC3" w:rsidRDefault="002277F5" w:rsidP="00BD18FA">
      <w:pPr>
        <w:shd w:val="clear" w:color="auto" w:fill="FFFFFF"/>
        <w:spacing w:after="0" w:line="240" w:lineRule="auto"/>
        <w:ind w:left="720"/>
        <w:jc w:val="both"/>
        <w:rPr>
          <w:rFonts w:ascii="Cambria" w:eastAsia="Cambria" w:hAnsi="Cambria" w:cs="Cambria"/>
          <w:sz w:val="20"/>
          <w:szCs w:val="20"/>
          <w:lang w:val="es-MX"/>
        </w:rPr>
      </w:pPr>
    </w:p>
    <w:p w14:paraId="0B3ED88F" w14:textId="39E21A68" w:rsidR="000E3AC3" w:rsidRPr="000E3AC3" w:rsidRDefault="000E3AC3" w:rsidP="000E3AC3">
      <w:pPr>
        <w:numPr>
          <w:ilvl w:val="0"/>
          <w:numId w:val="5"/>
        </w:numPr>
        <w:shd w:val="clear" w:color="auto" w:fill="FFFFFF"/>
        <w:spacing w:after="240" w:line="240" w:lineRule="auto"/>
        <w:ind w:left="0" w:firstLine="720"/>
        <w:jc w:val="both"/>
        <w:rPr>
          <w:rFonts w:ascii="Cambria" w:eastAsia="Cambria" w:hAnsi="Cambria" w:cs="Cambria"/>
          <w:sz w:val="20"/>
          <w:szCs w:val="20"/>
          <w:lang w:val="es-MX"/>
        </w:rPr>
      </w:pPr>
      <w:r w:rsidRPr="000E3AC3">
        <w:rPr>
          <w:rFonts w:asciiTheme="minorHAnsi" w:hAnsiTheme="minorHAnsi"/>
          <w:sz w:val="20"/>
          <w:szCs w:val="20"/>
          <w:lang w:val="es-MX"/>
        </w:rPr>
        <w:t xml:space="preserve">Respecto la recomendación de </w:t>
      </w:r>
      <w:r w:rsidRPr="000E3AC3">
        <w:rPr>
          <w:rFonts w:asciiTheme="minorHAnsi" w:hAnsiTheme="minorHAnsi"/>
          <w:b/>
          <w:sz w:val="20"/>
          <w:szCs w:val="20"/>
          <w:lang w:val="es-MX"/>
        </w:rPr>
        <w:t xml:space="preserve">requerir a las autoridades competentes tomar en consideración los parámetros internacionales en materia de protección, especialmente, las consideraciones desarrolladas en el “Segundo Informe sobre la situación de las Defensoras y los Defensores de Derechos Humanos en las Américas” y el “Informe Violencia contra periodistas y trabajadores de medios de la Relatoría Especial para la Libertad de Expresión de la CIDH”, </w:t>
      </w:r>
      <w:r w:rsidRPr="000E3AC3">
        <w:rPr>
          <w:rFonts w:asciiTheme="minorHAnsi" w:eastAsia="Cambria" w:hAnsiTheme="minorHAnsi" w:cs="Cambria"/>
          <w:sz w:val="20"/>
          <w:szCs w:val="20"/>
          <w:lang w:val="es-MX"/>
        </w:rPr>
        <w:t>el Estado ha informado que, a</w:t>
      </w:r>
      <w:r w:rsidRPr="000E3AC3">
        <w:rPr>
          <w:rFonts w:asciiTheme="minorHAnsi" w:hAnsiTheme="minorHAnsi"/>
          <w:sz w:val="20"/>
          <w:szCs w:val="20"/>
          <w:lang w:val="es-MX"/>
        </w:rPr>
        <w:t xml:space="preserve"> solicitud de SEGOB, el 26 de agosto de 2019 la Oficina en </w:t>
      </w:r>
      <w:r w:rsidR="008D3D94" w:rsidRPr="000E3AC3">
        <w:rPr>
          <w:rFonts w:asciiTheme="minorHAnsi" w:hAnsiTheme="minorHAnsi"/>
          <w:sz w:val="20"/>
          <w:szCs w:val="20"/>
          <w:lang w:val="es-MX"/>
        </w:rPr>
        <w:t>México</w:t>
      </w:r>
      <w:r w:rsidRPr="000E3AC3">
        <w:rPr>
          <w:rFonts w:asciiTheme="minorHAnsi" w:hAnsiTheme="minorHAnsi"/>
          <w:sz w:val="20"/>
          <w:szCs w:val="20"/>
          <w:lang w:val="es-MX"/>
        </w:rPr>
        <w:t xml:space="preserve"> de la Alta Comisionada de las Naciones Unidas para los Derechos Humanos (“OACNUDH”), que funge como observadora en el Mecanismo, realizó un </w:t>
      </w:r>
      <w:r w:rsidR="008D3D94" w:rsidRPr="000E3AC3">
        <w:rPr>
          <w:rFonts w:asciiTheme="minorHAnsi" w:hAnsiTheme="minorHAnsi"/>
          <w:sz w:val="20"/>
          <w:szCs w:val="20"/>
          <w:lang w:val="es-MX"/>
        </w:rPr>
        <w:t>diagnóstico</w:t>
      </w:r>
      <w:r w:rsidRPr="000E3AC3">
        <w:rPr>
          <w:rFonts w:asciiTheme="minorHAnsi" w:hAnsiTheme="minorHAnsi"/>
          <w:sz w:val="20"/>
          <w:szCs w:val="20"/>
          <w:lang w:val="es-MX"/>
        </w:rPr>
        <w:t xml:space="preserve"> sobre el funcionamiento del Mecanismo, en el que identificó fortalezas, buenas </w:t>
      </w:r>
      <w:r w:rsidR="008D3D94" w:rsidRPr="000E3AC3">
        <w:rPr>
          <w:rFonts w:asciiTheme="minorHAnsi" w:hAnsiTheme="minorHAnsi"/>
          <w:sz w:val="20"/>
          <w:szCs w:val="20"/>
          <w:lang w:val="es-MX"/>
        </w:rPr>
        <w:t>prácticas</w:t>
      </w:r>
      <w:r w:rsidRPr="000E3AC3">
        <w:rPr>
          <w:rFonts w:asciiTheme="minorHAnsi" w:hAnsiTheme="minorHAnsi"/>
          <w:sz w:val="20"/>
          <w:szCs w:val="20"/>
          <w:lang w:val="es-MX"/>
        </w:rPr>
        <w:t xml:space="preserve"> y </w:t>
      </w:r>
      <w:r w:rsidR="008D3D94" w:rsidRPr="000E3AC3">
        <w:rPr>
          <w:rFonts w:asciiTheme="minorHAnsi" w:hAnsiTheme="minorHAnsi"/>
          <w:sz w:val="20"/>
          <w:szCs w:val="20"/>
          <w:lang w:val="es-MX"/>
        </w:rPr>
        <w:t>áreas</w:t>
      </w:r>
      <w:r w:rsidRPr="000E3AC3">
        <w:rPr>
          <w:rFonts w:asciiTheme="minorHAnsi" w:hAnsiTheme="minorHAnsi"/>
          <w:sz w:val="20"/>
          <w:szCs w:val="20"/>
          <w:lang w:val="es-MX"/>
        </w:rPr>
        <w:t xml:space="preserve"> de oportunidad para orientar un proceso interinstitucional de fortalecimiento. En este marco, el OACNUDH </w:t>
      </w:r>
      <w:r w:rsidR="008D3D94" w:rsidRPr="000E3AC3">
        <w:rPr>
          <w:rFonts w:asciiTheme="minorHAnsi" w:hAnsiTheme="minorHAnsi"/>
          <w:sz w:val="20"/>
          <w:szCs w:val="20"/>
          <w:lang w:val="es-MX"/>
        </w:rPr>
        <w:t>emitió</w:t>
      </w:r>
      <w:r w:rsidRPr="000E3AC3">
        <w:rPr>
          <w:rFonts w:asciiTheme="minorHAnsi" w:hAnsiTheme="minorHAnsi"/>
          <w:sz w:val="20"/>
          <w:szCs w:val="20"/>
          <w:lang w:val="es-MX"/>
        </w:rPr>
        <w:t xml:space="preserve">́ 104 recomendaciones para su fortalecimiento, entre las que identificó que el nivel de recursos humanos y </w:t>
      </w:r>
      <w:r w:rsidR="008D3D94" w:rsidRPr="000E3AC3">
        <w:rPr>
          <w:rFonts w:asciiTheme="minorHAnsi" w:hAnsiTheme="minorHAnsi"/>
          <w:sz w:val="20"/>
          <w:szCs w:val="20"/>
          <w:lang w:val="es-MX"/>
        </w:rPr>
        <w:t>económicos</w:t>
      </w:r>
      <w:r w:rsidRPr="000E3AC3">
        <w:rPr>
          <w:rFonts w:asciiTheme="minorHAnsi" w:hAnsiTheme="minorHAnsi"/>
          <w:sz w:val="20"/>
          <w:szCs w:val="20"/>
          <w:lang w:val="es-MX"/>
        </w:rPr>
        <w:t xml:space="preserve"> son actualmente insuficientes para dar respuesta a los requisitos legales y las necesidades reales de </w:t>
      </w:r>
      <w:r w:rsidR="008D3D94" w:rsidRPr="000E3AC3">
        <w:rPr>
          <w:rFonts w:asciiTheme="minorHAnsi" w:hAnsiTheme="minorHAnsi"/>
          <w:sz w:val="20"/>
          <w:szCs w:val="20"/>
          <w:lang w:val="es-MX"/>
        </w:rPr>
        <w:t>protección</w:t>
      </w:r>
      <w:r w:rsidRPr="000E3AC3">
        <w:rPr>
          <w:rFonts w:asciiTheme="minorHAnsi" w:hAnsiTheme="minorHAnsi"/>
          <w:sz w:val="20"/>
          <w:szCs w:val="20"/>
          <w:lang w:val="es-MX"/>
        </w:rPr>
        <w:t xml:space="preserve">. De acuerdo a la información proporcionada por el Estado, la Secretaría de Relaciones Exteriores y la Secretaría de Gobernación “trabajan para promover una mayor </w:t>
      </w:r>
      <w:r w:rsidR="008D3D94" w:rsidRPr="000E3AC3">
        <w:rPr>
          <w:rFonts w:asciiTheme="minorHAnsi" w:hAnsiTheme="minorHAnsi"/>
          <w:sz w:val="20"/>
          <w:szCs w:val="20"/>
          <w:lang w:val="es-MX"/>
        </w:rPr>
        <w:t>cooperación</w:t>
      </w:r>
      <w:r w:rsidRPr="000E3AC3">
        <w:rPr>
          <w:rFonts w:asciiTheme="minorHAnsi" w:hAnsiTheme="minorHAnsi"/>
          <w:sz w:val="20"/>
          <w:szCs w:val="20"/>
          <w:lang w:val="es-MX"/>
        </w:rPr>
        <w:t xml:space="preserve"> internacional para favorecer la </w:t>
      </w:r>
      <w:r w:rsidR="008D3D94" w:rsidRPr="000E3AC3">
        <w:rPr>
          <w:rFonts w:asciiTheme="minorHAnsi" w:hAnsiTheme="minorHAnsi"/>
          <w:sz w:val="20"/>
          <w:szCs w:val="20"/>
          <w:lang w:val="es-MX"/>
        </w:rPr>
        <w:t>operación</w:t>
      </w:r>
      <w:r w:rsidRPr="000E3AC3">
        <w:rPr>
          <w:rFonts w:asciiTheme="minorHAnsi" w:hAnsiTheme="minorHAnsi"/>
          <w:sz w:val="20"/>
          <w:szCs w:val="20"/>
          <w:lang w:val="es-MX"/>
        </w:rPr>
        <w:t xml:space="preserve"> del Mecanismo, para lo cual se </w:t>
      </w:r>
      <w:r w:rsidR="00503F63" w:rsidRPr="00BA6325">
        <w:rPr>
          <w:rFonts w:asciiTheme="minorHAnsi" w:hAnsiTheme="minorHAnsi"/>
          <w:sz w:val="20"/>
          <w:szCs w:val="20"/>
          <w:lang w:val="es-MX"/>
        </w:rPr>
        <w:t>está</w:t>
      </w:r>
      <w:r w:rsidRPr="000E3AC3">
        <w:rPr>
          <w:rFonts w:asciiTheme="minorHAnsi" w:hAnsiTheme="minorHAnsi"/>
          <w:sz w:val="20"/>
          <w:szCs w:val="20"/>
          <w:lang w:val="es-MX"/>
        </w:rPr>
        <w:t xml:space="preserve"> colaborando con la Agencia de los Estados Unidos para el Desarrollo Internacional, con la </w:t>
      </w:r>
      <w:r w:rsidR="00503F63" w:rsidRPr="000E3AC3">
        <w:rPr>
          <w:rFonts w:asciiTheme="minorHAnsi" w:hAnsiTheme="minorHAnsi"/>
          <w:sz w:val="20"/>
          <w:szCs w:val="20"/>
          <w:lang w:val="es-MX"/>
        </w:rPr>
        <w:t>Unión</w:t>
      </w:r>
      <w:r w:rsidRPr="000E3AC3">
        <w:rPr>
          <w:rFonts w:asciiTheme="minorHAnsi" w:hAnsiTheme="minorHAnsi"/>
          <w:sz w:val="20"/>
          <w:szCs w:val="20"/>
          <w:lang w:val="es-MX"/>
        </w:rPr>
        <w:t xml:space="preserve"> Europea, con la Embajada </w:t>
      </w:r>
      <w:r w:rsidR="00503F63" w:rsidRPr="000E3AC3">
        <w:rPr>
          <w:rFonts w:asciiTheme="minorHAnsi" w:hAnsiTheme="minorHAnsi"/>
          <w:sz w:val="20"/>
          <w:szCs w:val="20"/>
          <w:lang w:val="es-MX"/>
        </w:rPr>
        <w:t>Británica</w:t>
      </w:r>
      <w:r w:rsidRPr="000E3AC3">
        <w:rPr>
          <w:rFonts w:asciiTheme="minorHAnsi" w:hAnsiTheme="minorHAnsi"/>
          <w:sz w:val="20"/>
          <w:szCs w:val="20"/>
          <w:lang w:val="es-MX"/>
        </w:rPr>
        <w:t xml:space="preserve">, con las distintas agencias de la </w:t>
      </w:r>
      <w:r w:rsidR="00503F63" w:rsidRPr="000E3AC3">
        <w:rPr>
          <w:rFonts w:asciiTheme="minorHAnsi" w:hAnsiTheme="minorHAnsi"/>
          <w:sz w:val="20"/>
          <w:szCs w:val="20"/>
          <w:lang w:val="es-MX"/>
        </w:rPr>
        <w:t>Organización</w:t>
      </w:r>
      <w:r w:rsidRPr="000E3AC3">
        <w:rPr>
          <w:rFonts w:asciiTheme="minorHAnsi" w:hAnsiTheme="minorHAnsi"/>
          <w:sz w:val="20"/>
          <w:szCs w:val="20"/>
          <w:lang w:val="es-MX"/>
        </w:rPr>
        <w:t xml:space="preserve"> de Naciones Unidas y en particular con los mecanismos de </w:t>
      </w:r>
      <w:r w:rsidR="00503F63" w:rsidRPr="000E3AC3">
        <w:rPr>
          <w:rFonts w:asciiTheme="minorHAnsi" w:hAnsiTheme="minorHAnsi"/>
          <w:sz w:val="20"/>
          <w:szCs w:val="20"/>
          <w:lang w:val="es-MX"/>
        </w:rPr>
        <w:t>protección</w:t>
      </w:r>
      <w:r w:rsidRPr="000E3AC3">
        <w:rPr>
          <w:rFonts w:asciiTheme="minorHAnsi" w:hAnsiTheme="minorHAnsi"/>
          <w:sz w:val="20"/>
          <w:szCs w:val="20"/>
          <w:lang w:val="es-MX"/>
        </w:rPr>
        <w:t xml:space="preserve"> a defensores de derechos humanos en Colombia, Honduras y Guatemala”</w:t>
      </w:r>
      <w:r w:rsidRPr="000E3AC3">
        <w:rPr>
          <w:rStyle w:val="FootnoteReference"/>
          <w:rFonts w:asciiTheme="minorHAnsi" w:hAnsiTheme="minorHAnsi"/>
          <w:sz w:val="20"/>
          <w:szCs w:val="20"/>
          <w:lang w:val="es-MX"/>
        </w:rPr>
        <w:footnoteReference w:id="502"/>
      </w:r>
      <w:r w:rsidRPr="000E3AC3">
        <w:rPr>
          <w:rFonts w:asciiTheme="minorHAnsi" w:hAnsiTheme="minorHAnsi"/>
          <w:sz w:val="20"/>
          <w:szCs w:val="20"/>
          <w:lang w:val="es-MX"/>
        </w:rPr>
        <w:t>.</w:t>
      </w:r>
    </w:p>
    <w:p w14:paraId="5D78D2AA" w14:textId="77777777" w:rsidR="000E3AC3" w:rsidRPr="001043ED" w:rsidRDefault="000E3AC3" w:rsidP="000E3AC3">
      <w:pPr>
        <w:numPr>
          <w:ilvl w:val="0"/>
          <w:numId w:val="5"/>
        </w:numPr>
        <w:shd w:val="clear" w:color="auto" w:fill="FFFFFF"/>
        <w:spacing w:after="240" w:line="240" w:lineRule="auto"/>
        <w:ind w:left="0" w:firstLine="720"/>
        <w:jc w:val="both"/>
        <w:rPr>
          <w:rFonts w:ascii="Cambria" w:eastAsia="Cambria" w:hAnsi="Cambria" w:cs="Cambria"/>
          <w:sz w:val="20"/>
          <w:szCs w:val="20"/>
          <w:lang w:val="es-MX"/>
        </w:rPr>
      </w:pPr>
      <w:r w:rsidRPr="000E3AC3">
        <w:rPr>
          <w:rFonts w:asciiTheme="minorHAnsi" w:hAnsiTheme="minorHAnsi"/>
          <w:sz w:val="20"/>
          <w:szCs w:val="20"/>
          <w:lang w:val="es-MX"/>
        </w:rPr>
        <w:t xml:space="preserve">Como fue señalado en el último informe anual, la Comisión entiende que esta recomendación se encuentra parcialmente cumplida. En este sentido, la Comisión insta al Estado a seguir avanzando en el fortalecimiento y en la implementación de sus políticas de protección y prevención de acuerdo con las </w:t>
      </w:r>
      <w:r w:rsidRPr="001043ED">
        <w:rPr>
          <w:rFonts w:asciiTheme="minorHAnsi" w:hAnsiTheme="minorHAnsi"/>
          <w:sz w:val="20"/>
          <w:szCs w:val="20"/>
          <w:lang w:val="es-MX"/>
        </w:rPr>
        <w:t>recomendaciones señaladas.</w:t>
      </w:r>
    </w:p>
    <w:p w14:paraId="2AC4C92A" w14:textId="3E549D0A" w:rsidR="00897787" w:rsidRPr="001043ED" w:rsidRDefault="000E3AC3" w:rsidP="00897787">
      <w:pPr>
        <w:numPr>
          <w:ilvl w:val="0"/>
          <w:numId w:val="5"/>
        </w:numPr>
        <w:shd w:val="clear" w:color="auto" w:fill="FFFFFF"/>
        <w:spacing w:after="240" w:line="240" w:lineRule="auto"/>
        <w:ind w:left="0" w:firstLine="720"/>
        <w:jc w:val="both"/>
        <w:rPr>
          <w:rFonts w:ascii="Cambria" w:eastAsia="Cambria" w:hAnsi="Cambria" w:cs="Cambria"/>
          <w:sz w:val="20"/>
          <w:szCs w:val="20"/>
          <w:lang w:val="es-MX"/>
        </w:rPr>
      </w:pPr>
      <w:r w:rsidRPr="001043ED">
        <w:rPr>
          <w:rFonts w:asciiTheme="minorHAnsi" w:hAnsiTheme="minorHAnsi"/>
          <w:sz w:val="20"/>
          <w:szCs w:val="20"/>
          <w:lang w:val="es-MX"/>
        </w:rPr>
        <w:t xml:space="preserve">Con relación a la recomendación de </w:t>
      </w:r>
      <w:r w:rsidRPr="001043ED">
        <w:rPr>
          <w:rFonts w:asciiTheme="minorHAnsi" w:hAnsiTheme="minorHAnsi"/>
          <w:b/>
          <w:sz w:val="20"/>
          <w:szCs w:val="20"/>
          <w:lang w:val="es-MX"/>
        </w:rPr>
        <w:t>proporcionar todo el apoyo político necesario para el adecuado funcionamiento del mecanismo de protección, el cual incluya los recursos económicos necesarios para que puedan desarrollar eficientemente sus competencias en materia de protección y el mismo sea sostenible en el tiempo</w:t>
      </w:r>
      <w:r w:rsidR="00BA6325" w:rsidRPr="001043ED">
        <w:rPr>
          <w:rFonts w:asciiTheme="minorHAnsi" w:hAnsiTheme="minorHAnsi"/>
          <w:sz w:val="20"/>
          <w:szCs w:val="20"/>
          <w:lang w:val="es-MX"/>
        </w:rPr>
        <w:t>,</w:t>
      </w:r>
      <w:r w:rsidRPr="001043ED">
        <w:rPr>
          <w:rFonts w:asciiTheme="minorHAnsi" w:hAnsiTheme="minorHAnsi"/>
          <w:sz w:val="20"/>
          <w:szCs w:val="20"/>
          <w:lang w:val="es-MX"/>
        </w:rPr>
        <w:t xml:space="preserve"> el Estado señaló que “ha fortalecido el mecanismo a fin de generar </w:t>
      </w:r>
      <w:r w:rsidR="00503F63" w:rsidRPr="001043ED">
        <w:rPr>
          <w:rFonts w:asciiTheme="minorHAnsi" w:hAnsiTheme="minorHAnsi"/>
          <w:sz w:val="20"/>
          <w:szCs w:val="20"/>
          <w:lang w:val="es-MX"/>
        </w:rPr>
        <w:t>más</w:t>
      </w:r>
      <w:r w:rsidRPr="001043ED">
        <w:rPr>
          <w:rFonts w:asciiTheme="minorHAnsi" w:hAnsiTheme="minorHAnsi"/>
          <w:sz w:val="20"/>
          <w:szCs w:val="20"/>
          <w:lang w:val="es-MX"/>
        </w:rPr>
        <w:t xml:space="preserve"> cobertura y </w:t>
      </w:r>
      <w:r w:rsidR="00503F63" w:rsidRPr="001043ED">
        <w:rPr>
          <w:rFonts w:asciiTheme="minorHAnsi" w:hAnsiTheme="minorHAnsi"/>
          <w:sz w:val="20"/>
          <w:szCs w:val="20"/>
          <w:lang w:val="es-MX"/>
        </w:rPr>
        <w:t>atención</w:t>
      </w:r>
      <w:r w:rsidRPr="001043ED">
        <w:rPr>
          <w:rFonts w:asciiTheme="minorHAnsi" w:hAnsiTheme="minorHAnsi"/>
          <w:sz w:val="20"/>
          <w:szCs w:val="20"/>
          <w:lang w:val="es-MX"/>
        </w:rPr>
        <w:t xml:space="preserve"> a esta </w:t>
      </w:r>
      <w:r w:rsidR="00503F63" w:rsidRPr="001043ED">
        <w:rPr>
          <w:rFonts w:asciiTheme="minorHAnsi" w:hAnsiTheme="minorHAnsi"/>
          <w:sz w:val="20"/>
          <w:szCs w:val="20"/>
          <w:lang w:val="es-MX"/>
        </w:rPr>
        <w:t>problemática</w:t>
      </w:r>
      <w:r w:rsidRPr="001043ED">
        <w:rPr>
          <w:rFonts w:asciiTheme="minorHAnsi" w:hAnsiTheme="minorHAnsi"/>
          <w:sz w:val="20"/>
          <w:szCs w:val="20"/>
          <w:lang w:val="es-MX"/>
        </w:rPr>
        <w:t xml:space="preserve"> puesto que, a partir de diciembre de 2018 a la fecha, ha incrementado el </w:t>
      </w:r>
      <w:r w:rsidR="00503F63" w:rsidRPr="001043ED">
        <w:rPr>
          <w:rFonts w:asciiTheme="minorHAnsi" w:hAnsiTheme="minorHAnsi"/>
          <w:sz w:val="20"/>
          <w:szCs w:val="20"/>
          <w:lang w:val="es-MX"/>
        </w:rPr>
        <w:t>número</w:t>
      </w:r>
      <w:r w:rsidRPr="001043ED">
        <w:rPr>
          <w:rFonts w:asciiTheme="minorHAnsi" w:hAnsiTheme="minorHAnsi"/>
          <w:sz w:val="20"/>
          <w:szCs w:val="20"/>
          <w:lang w:val="es-MX"/>
        </w:rPr>
        <w:t xml:space="preserve"> de personas beneficiarias en </w:t>
      </w:r>
      <w:r w:rsidR="00503F63" w:rsidRPr="001043ED">
        <w:rPr>
          <w:rFonts w:asciiTheme="minorHAnsi" w:hAnsiTheme="minorHAnsi"/>
          <w:sz w:val="20"/>
          <w:szCs w:val="20"/>
          <w:lang w:val="es-MX"/>
        </w:rPr>
        <w:t>más</w:t>
      </w:r>
      <w:r w:rsidRPr="001043ED">
        <w:rPr>
          <w:rFonts w:asciiTheme="minorHAnsi" w:hAnsiTheme="minorHAnsi"/>
          <w:sz w:val="20"/>
          <w:szCs w:val="20"/>
          <w:lang w:val="es-MX"/>
        </w:rPr>
        <w:t xml:space="preserve"> del 80 por ciento”. En este sentido, señalan que</w:t>
      </w:r>
      <w:r w:rsidR="00503F63" w:rsidRPr="001043ED">
        <w:rPr>
          <w:rFonts w:asciiTheme="minorHAnsi" w:hAnsiTheme="minorHAnsi"/>
          <w:sz w:val="20"/>
          <w:szCs w:val="20"/>
          <w:lang w:val="es-MX"/>
        </w:rPr>
        <w:t>,</w:t>
      </w:r>
      <w:r w:rsidRPr="001043ED">
        <w:rPr>
          <w:rFonts w:asciiTheme="minorHAnsi" w:hAnsiTheme="minorHAnsi"/>
          <w:sz w:val="20"/>
          <w:szCs w:val="20"/>
          <w:lang w:val="es-MX"/>
        </w:rPr>
        <w:t xml:space="preserve"> a partir de una </w:t>
      </w:r>
      <w:r w:rsidR="00503F63" w:rsidRPr="001043ED">
        <w:rPr>
          <w:rFonts w:asciiTheme="minorHAnsi" w:hAnsiTheme="minorHAnsi"/>
          <w:sz w:val="20"/>
          <w:szCs w:val="20"/>
          <w:lang w:val="es-MX"/>
        </w:rPr>
        <w:t>ampliación</w:t>
      </w:r>
      <w:r w:rsidRPr="001043ED">
        <w:rPr>
          <w:rFonts w:asciiTheme="minorHAnsi" w:hAnsiTheme="minorHAnsi"/>
          <w:sz w:val="20"/>
          <w:szCs w:val="20"/>
          <w:lang w:val="es-MX"/>
        </w:rPr>
        <w:t xml:space="preserve"> de 189 millones de pesos, el presupuesto total para 2021 destinado al Mecanismo de Protección sería de 416.6 millones de pesos. Asimismo, según informó el Estado, “se trabaja decididamente, de la mano de las </w:t>
      </w:r>
      <w:r w:rsidR="00503F63" w:rsidRPr="001043ED">
        <w:rPr>
          <w:rFonts w:asciiTheme="minorHAnsi" w:hAnsiTheme="minorHAnsi"/>
          <w:sz w:val="20"/>
          <w:szCs w:val="20"/>
          <w:lang w:val="es-MX"/>
        </w:rPr>
        <w:t>víctimas</w:t>
      </w:r>
      <w:r w:rsidRPr="001043ED">
        <w:rPr>
          <w:rFonts w:asciiTheme="minorHAnsi" w:hAnsiTheme="minorHAnsi"/>
          <w:sz w:val="20"/>
          <w:szCs w:val="20"/>
          <w:lang w:val="es-MX"/>
        </w:rPr>
        <w:t xml:space="preserve">, organizaciones de la sociedad civil y organizaciones internacionales para enfrentar el reto que representa fortalecer el Mecanismo. Especialmente, la reciente </w:t>
      </w:r>
      <w:r w:rsidR="00503F63" w:rsidRPr="001043ED">
        <w:rPr>
          <w:rFonts w:asciiTheme="minorHAnsi" w:hAnsiTheme="minorHAnsi"/>
          <w:sz w:val="20"/>
          <w:szCs w:val="20"/>
          <w:lang w:val="es-MX"/>
        </w:rPr>
        <w:t>ratificación</w:t>
      </w:r>
      <w:r w:rsidRPr="001043ED">
        <w:rPr>
          <w:rFonts w:asciiTheme="minorHAnsi" w:hAnsiTheme="minorHAnsi"/>
          <w:sz w:val="20"/>
          <w:szCs w:val="20"/>
          <w:lang w:val="es-MX"/>
        </w:rPr>
        <w:t xml:space="preserve"> del Acuerdo de </w:t>
      </w:r>
      <w:r w:rsidR="00BA6325" w:rsidRPr="001043ED">
        <w:rPr>
          <w:rFonts w:asciiTheme="minorHAnsi" w:hAnsiTheme="minorHAnsi"/>
          <w:sz w:val="20"/>
          <w:szCs w:val="20"/>
          <w:lang w:val="es-MX"/>
        </w:rPr>
        <w:t>Escazú</w:t>
      </w:r>
      <w:r w:rsidRPr="001043ED">
        <w:rPr>
          <w:rFonts w:asciiTheme="minorHAnsi" w:hAnsiTheme="minorHAnsi"/>
          <w:sz w:val="20"/>
          <w:szCs w:val="20"/>
          <w:lang w:val="es-MX"/>
        </w:rPr>
        <w:t xml:space="preserve"> constituye una muestra de voluntad </w:t>
      </w:r>
      <w:r w:rsidR="00503F63" w:rsidRPr="001043ED">
        <w:rPr>
          <w:rFonts w:asciiTheme="minorHAnsi" w:hAnsiTheme="minorHAnsi"/>
          <w:sz w:val="20"/>
          <w:szCs w:val="20"/>
          <w:lang w:val="es-MX"/>
        </w:rPr>
        <w:t>política</w:t>
      </w:r>
      <w:r w:rsidRPr="001043ED">
        <w:rPr>
          <w:rFonts w:asciiTheme="minorHAnsi" w:hAnsiTheme="minorHAnsi"/>
          <w:sz w:val="20"/>
          <w:szCs w:val="20"/>
          <w:lang w:val="es-MX"/>
        </w:rPr>
        <w:t xml:space="preserve"> del actual Gobierno de la </w:t>
      </w:r>
      <w:r w:rsidR="00503F63" w:rsidRPr="001043ED">
        <w:rPr>
          <w:rFonts w:asciiTheme="minorHAnsi" w:hAnsiTheme="minorHAnsi"/>
          <w:sz w:val="20"/>
          <w:szCs w:val="20"/>
          <w:lang w:val="es-MX"/>
        </w:rPr>
        <w:t>República</w:t>
      </w:r>
      <w:r w:rsidRPr="001043ED">
        <w:rPr>
          <w:rFonts w:asciiTheme="minorHAnsi" w:hAnsiTheme="minorHAnsi"/>
          <w:sz w:val="20"/>
          <w:szCs w:val="20"/>
          <w:lang w:val="es-MX"/>
        </w:rPr>
        <w:t xml:space="preserve"> para abonar a este proceso que paulatinamente traiga consigo la </w:t>
      </w:r>
      <w:r w:rsidR="00503F63" w:rsidRPr="001043ED">
        <w:rPr>
          <w:rFonts w:asciiTheme="minorHAnsi" w:hAnsiTheme="minorHAnsi"/>
          <w:sz w:val="20"/>
          <w:szCs w:val="20"/>
          <w:lang w:val="es-MX"/>
        </w:rPr>
        <w:t>garantía</w:t>
      </w:r>
      <w:r w:rsidRPr="001043ED">
        <w:rPr>
          <w:rFonts w:asciiTheme="minorHAnsi" w:hAnsiTheme="minorHAnsi"/>
          <w:sz w:val="20"/>
          <w:szCs w:val="20"/>
          <w:lang w:val="es-MX"/>
        </w:rPr>
        <w:t xml:space="preserve"> de </w:t>
      </w:r>
      <w:r w:rsidR="00503F63" w:rsidRPr="001043ED">
        <w:rPr>
          <w:rFonts w:asciiTheme="minorHAnsi" w:hAnsiTheme="minorHAnsi"/>
          <w:sz w:val="20"/>
          <w:szCs w:val="20"/>
          <w:lang w:val="es-MX"/>
        </w:rPr>
        <w:t>estándares</w:t>
      </w:r>
      <w:r w:rsidRPr="001043ED">
        <w:rPr>
          <w:rFonts w:asciiTheme="minorHAnsi" w:hAnsiTheme="minorHAnsi"/>
          <w:sz w:val="20"/>
          <w:szCs w:val="20"/>
          <w:lang w:val="es-MX"/>
        </w:rPr>
        <w:t xml:space="preserve"> internacionales en el fuero nacional”</w:t>
      </w:r>
      <w:r w:rsidRPr="001043ED">
        <w:rPr>
          <w:rStyle w:val="FootnoteReference"/>
          <w:rFonts w:asciiTheme="minorHAnsi" w:hAnsiTheme="minorHAnsi"/>
          <w:sz w:val="20"/>
          <w:szCs w:val="20"/>
          <w:lang w:val="es-MX"/>
        </w:rPr>
        <w:footnoteReference w:id="503"/>
      </w:r>
      <w:r w:rsidRPr="001043ED">
        <w:rPr>
          <w:rFonts w:asciiTheme="minorHAnsi" w:hAnsiTheme="minorHAnsi"/>
          <w:sz w:val="20"/>
          <w:szCs w:val="20"/>
          <w:lang w:val="es-MX"/>
        </w:rPr>
        <w:t>.</w:t>
      </w:r>
      <w:r w:rsidR="00897787" w:rsidRPr="001043ED">
        <w:rPr>
          <w:rFonts w:asciiTheme="minorHAnsi" w:hAnsiTheme="minorHAnsi"/>
          <w:sz w:val="20"/>
          <w:szCs w:val="20"/>
          <w:lang w:val="es-MX"/>
        </w:rPr>
        <w:t xml:space="preserve"> Asimismo, </w:t>
      </w:r>
      <w:r w:rsidR="00897787" w:rsidRPr="001043ED">
        <w:rPr>
          <w:rFonts w:ascii="Cambria" w:eastAsia="Cambria" w:hAnsi="Cambria" w:cs="Cambria"/>
          <w:sz w:val="20"/>
          <w:szCs w:val="20"/>
          <w:lang w:val="es-MX"/>
        </w:rPr>
        <w:t>en sus observaciones al proyecto del presente informe, el Estado informó que se continúan las tareas de reingeniería dentro del Mecanismo, su fortalecimiento presupuestal como parte de ello, no obstante, se reconoce el reto que representa la creación de un Sistema Nacional de Protección y para ello, se trabaja en la creación de la Ley General, así como en la celebración de acuerdos con las entidades federativas, para que, la tarea de garantía y protección sea colaborativa y no dependa únicamente de la Federación</w:t>
      </w:r>
      <w:r w:rsidR="00897787" w:rsidRPr="001043ED">
        <w:rPr>
          <w:rStyle w:val="FootnoteReference"/>
          <w:rFonts w:ascii="Cambria" w:eastAsia="Cambria" w:hAnsi="Cambria" w:cs="Cambria"/>
          <w:sz w:val="20"/>
          <w:szCs w:val="20"/>
          <w:lang w:val="es-MX"/>
        </w:rPr>
        <w:footnoteReference w:id="504"/>
      </w:r>
      <w:r w:rsidR="00897787" w:rsidRPr="001043ED">
        <w:rPr>
          <w:rFonts w:ascii="Cambria" w:eastAsia="Cambria" w:hAnsi="Cambria" w:cs="Cambria"/>
          <w:sz w:val="20"/>
          <w:szCs w:val="20"/>
          <w:lang w:val="es-MX"/>
        </w:rPr>
        <w:t>.</w:t>
      </w:r>
    </w:p>
    <w:p w14:paraId="09622759" w14:textId="01BF4B63" w:rsidR="000E3AC3" w:rsidRPr="000E3AC3" w:rsidRDefault="000E3AC3" w:rsidP="000E3AC3">
      <w:pPr>
        <w:numPr>
          <w:ilvl w:val="0"/>
          <w:numId w:val="5"/>
        </w:numPr>
        <w:shd w:val="clear" w:color="auto" w:fill="FFFFFF"/>
        <w:spacing w:after="240" w:line="240" w:lineRule="auto"/>
        <w:ind w:left="0" w:firstLine="720"/>
        <w:jc w:val="both"/>
        <w:rPr>
          <w:rFonts w:ascii="Cambria" w:eastAsia="Cambria" w:hAnsi="Cambria" w:cs="Cambria"/>
          <w:sz w:val="20"/>
          <w:szCs w:val="20"/>
          <w:lang w:val="es-MX"/>
        </w:rPr>
      </w:pPr>
      <w:r w:rsidRPr="001043ED">
        <w:rPr>
          <w:rFonts w:asciiTheme="minorHAnsi" w:hAnsiTheme="minorHAnsi"/>
          <w:sz w:val="20"/>
          <w:szCs w:val="20"/>
          <w:lang w:val="es-MX"/>
        </w:rPr>
        <w:t>Tal como fue indicado en el Informe Anual 2020, existe una relación estrecha entre esta</w:t>
      </w:r>
      <w:r w:rsidRPr="000E3AC3">
        <w:rPr>
          <w:rFonts w:asciiTheme="minorHAnsi" w:hAnsiTheme="minorHAnsi"/>
          <w:sz w:val="20"/>
          <w:szCs w:val="20"/>
          <w:lang w:val="es-MX"/>
        </w:rPr>
        <w:t xml:space="preserve"> recomendación y la de ‘reconocer, desde las más altas esferas del Estado, la legitimidad y el valor de la labor periodística, y condenar las agresiones cometidas como represalia al ejercicio de la libertad de expresión’. Sobre este punto, la CIDH y su Relatoría Especial para la Libertad de Expresión consideran que adoptar un discurso favorable al pluralismo que se abstenga de estigmatizar a periodistas contribuye a prevenir violencias contra la prensa</w:t>
      </w:r>
      <w:r w:rsidR="00BA6325" w:rsidRPr="00BA6325">
        <w:rPr>
          <w:rFonts w:asciiTheme="minorHAnsi" w:hAnsiTheme="minorHAnsi"/>
          <w:sz w:val="20"/>
          <w:szCs w:val="20"/>
          <w:lang w:val="es-MX"/>
        </w:rPr>
        <w:t>,</w:t>
      </w:r>
      <w:r w:rsidRPr="000E3AC3">
        <w:rPr>
          <w:rFonts w:asciiTheme="minorHAnsi" w:hAnsiTheme="minorHAnsi"/>
          <w:sz w:val="20"/>
          <w:szCs w:val="20"/>
          <w:lang w:val="es-MX"/>
        </w:rPr>
        <w:t xml:space="preserve"> y constituye una forma eficaz de brindar apoyo político al sistema de protección.</w:t>
      </w:r>
    </w:p>
    <w:p w14:paraId="1C3E4986" w14:textId="77777777" w:rsidR="000E3AC3" w:rsidRPr="000E3AC3" w:rsidRDefault="000E3AC3" w:rsidP="000E3AC3">
      <w:pPr>
        <w:numPr>
          <w:ilvl w:val="0"/>
          <w:numId w:val="5"/>
        </w:numPr>
        <w:shd w:val="clear" w:color="auto" w:fill="FFFFFF"/>
        <w:spacing w:after="240" w:line="240" w:lineRule="auto"/>
        <w:ind w:left="0" w:firstLine="720"/>
        <w:jc w:val="both"/>
        <w:rPr>
          <w:rFonts w:ascii="Cambria" w:eastAsia="Cambria" w:hAnsi="Cambria" w:cs="Cambria"/>
          <w:sz w:val="20"/>
          <w:szCs w:val="20"/>
          <w:lang w:val="es-MX"/>
        </w:rPr>
      </w:pPr>
      <w:r w:rsidRPr="000E3AC3">
        <w:rPr>
          <w:rFonts w:asciiTheme="minorHAnsi" w:hAnsiTheme="minorHAnsi"/>
          <w:sz w:val="20"/>
          <w:szCs w:val="20"/>
          <w:lang w:val="es-MX"/>
        </w:rPr>
        <w:t>La CIDH considera que la información proporcionada por el Estado no resulta suficiente para valorar avances sobre este punto, por lo que reitera que esta recomendación se mantiene como parcialmente cumplida.</w:t>
      </w:r>
    </w:p>
    <w:p w14:paraId="0809C51F" w14:textId="7727693B" w:rsidR="000E3AC3" w:rsidRPr="000E3AC3" w:rsidRDefault="000E3AC3" w:rsidP="000E3AC3">
      <w:pPr>
        <w:numPr>
          <w:ilvl w:val="0"/>
          <w:numId w:val="5"/>
        </w:numPr>
        <w:shd w:val="clear" w:color="auto" w:fill="FFFFFF"/>
        <w:spacing w:after="240" w:line="240" w:lineRule="auto"/>
        <w:ind w:left="0" w:firstLine="720"/>
        <w:jc w:val="both"/>
        <w:rPr>
          <w:rFonts w:ascii="Cambria" w:eastAsia="Cambria" w:hAnsi="Cambria" w:cs="Cambria"/>
          <w:sz w:val="20"/>
          <w:szCs w:val="20"/>
          <w:lang w:val="es-MX"/>
        </w:rPr>
      </w:pPr>
      <w:r w:rsidRPr="000E3AC3">
        <w:rPr>
          <w:rFonts w:asciiTheme="minorHAnsi" w:hAnsiTheme="minorHAnsi"/>
          <w:sz w:val="20"/>
          <w:szCs w:val="20"/>
          <w:lang w:val="es-MX"/>
        </w:rPr>
        <w:t xml:space="preserve">Sobre la recomendación de </w:t>
      </w:r>
      <w:r w:rsidRPr="000E3AC3">
        <w:rPr>
          <w:rFonts w:asciiTheme="minorHAnsi" w:hAnsiTheme="minorHAnsi"/>
          <w:b/>
          <w:sz w:val="20"/>
          <w:szCs w:val="20"/>
          <w:lang w:val="es-MX"/>
        </w:rPr>
        <w:t>adoptar todas las medidas necesarias para asignar y capacitar a todo el personal necesario para su operación adecuada</w:t>
      </w:r>
      <w:r w:rsidRPr="000E3AC3">
        <w:rPr>
          <w:rFonts w:asciiTheme="minorHAnsi" w:hAnsiTheme="minorHAnsi"/>
          <w:sz w:val="20"/>
          <w:szCs w:val="20"/>
          <w:lang w:val="es-MX"/>
        </w:rPr>
        <w:t xml:space="preserve"> el Estado informó que “</w:t>
      </w:r>
      <w:r w:rsidRPr="000E3AC3">
        <w:rPr>
          <w:rFonts w:asciiTheme="minorHAnsi" w:eastAsia="Times New Roman" w:hAnsiTheme="minorHAnsi" w:cs="Times New Roman"/>
          <w:sz w:val="20"/>
          <w:szCs w:val="20"/>
          <w:lang w:val="es-MX"/>
        </w:rPr>
        <w:t xml:space="preserve">realiza capacitaciones constantes para el fortalecimiento del Mecanismo de </w:t>
      </w:r>
      <w:r w:rsidR="00503F63" w:rsidRPr="000E3AC3">
        <w:rPr>
          <w:rFonts w:asciiTheme="minorHAnsi" w:eastAsia="Times New Roman" w:hAnsiTheme="minorHAnsi" w:cs="Times New Roman"/>
          <w:sz w:val="20"/>
          <w:szCs w:val="20"/>
          <w:lang w:val="es-MX"/>
        </w:rPr>
        <w:t>Protección</w:t>
      </w:r>
      <w:r w:rsidRPr="000E3AC3">
        <w:rPr>
          <w:rFonts w:asciiTheme="minorHAnsi" w:eastAsia="Times New Roman" w:hAnsiTheme="minorHAnsi" w:cs="Times New Roman"/>
          <w:sz w:val="20"/>
          <w:szCs w:val="20"/>
          <w:lang w:val="es-MX"/>
        </w:rPr>
        <w:t xml:space="preserve"> de Personas Defensoras de Derechos Humanos y Periodistas</w:t>
      </w:r>
      <w:r w:rsidRPr="00BA6325">
        <w:rPr>
          <w:rFonts w:asciiTheme="minorHAnsi" w:eastAsia="Times New Roman" w:hAnsiTheme="minorHAnsi" w:cs="Times New Roman"/>
          <w:sz w:val="20"/>
          <w:szCs w:val="20"/>
          <w:lang w:val="es-MX"/>
        </w:rPr>
        <w:t>”</w:t>
      </w:r>
      <w:r w:rsidR="009F030A" w:rsidRPr="00BA6325">
        <w:rPr>
          <w:rStyle w:val="FootnoteReference"/>
          <w:rFonts w:asciiTheme="minorHAnsi" w:eastAsia="Times New Roman" w:hAnsiTheme="minorHAnsi" w:cs="Times New Roman"/>
          <w:sz w:val="20"/>
          <w:szCs w:val="20"/>
          <w:lang w:val="es-MX"/>
        </w:rPr>
        <w:footnoteReference w:id="505"/>
      </w:r>
      <w:r w:rsidRPr="00BA6325">
        <w:rPr>
          <w:rFonts w:asciiTheme="minorHAnsi" w:eastAsia="Times New Roman" w:hAnsiTheme="minorHAnsi" w:cs="Times New Roman"/>
          <w:sz w:val="20"/>
          <w:szCs w:val="20"/>
          <w:lang w:val="es-MX"/>
        </w:rPr>
        <w:t>.</w:t>
      </w:r>
      <w:r w:rsidRPr="000E3AC3">
        <w:rPr>
          <w:rFonts w:asciiTheme="minorHAnsi" w:eastAsia="Times New Roman" w:hAnsiTheme="minorHAnsi" w:cs="Times New Roman"/>
          <w:sz w:val="20"/>
          <w:szCs w:val="20"/>
          <w:lang w:val="es-MX"/>
        </w:rPr>
        <w:t xml:space="preserve"> </w:t>
      </w:r>
      <w:r w:rsidRPr="000E3AC3">
        <w:rPr>
          <w:rFonts w:asciiTheme="minorHAnsi" w:hAnsiTheme="minorHAnsi"/>
          <w:sz w:val="20"/>
          <w:szCs w:val="20"/>
          <w:lang w:val="es-MX"/>
        </w:rPr>
        <w:t>Tomando en consideración que el Estado no remitió información de avance respecto de 2020, la CIDH valora que esta recomendación continúa pendiente de cumplimiento en el entendido de que las nuevas herramientas normativas y protocolares deben ser inducidas al interior de las instituciones competentes y dirigidas a los funcionarios encargados de llevar adelante los procedimientos y protocolos correspondientes. En este sentido, insta al Estado a tomar medidas necesarias que aseguren la capacitación constante y progresiva de todo el personal encargado en la implementación de las medidas de protección.</w:t>
      </w:r>
    </w:p>
    <w:p w14:paraId="1B7C1BD4" w14:textId="3FCD5D7D" w:rsidR="000E3AC3" w:rsidRPr="000E3AC3" w:rsidRDefault="000E3AC3" w:rsidP="000E3AC3">
      <w:pPr>
        <w:numPr>
          <w:ilvl w:val="0"/>
          <w:numId w:val="5"/>
        </w:numPr>
        <w:shd w:val="clear" w:color="auto" w:fill="FFFFFF"/>
        <w:spacing w:after="240" w:line="240" w:lineRule="auto"/>
        <w:ind w:left="0" w:firstLine="720"/>
        <w:jc w:val="both"/>
        <w:rPr>
          <w:rFonts w:ascii="Cambria" w:eastAsia="Cambria" w:hAnsi="Cambria" w:cs="Cambria"/>
          <w:sz w:val="20"/>
          <w:szCs w:val="20"/>
          <w:lang w:val="es-MX"/>
        </w:rPr>
      </w:pPr>
      <w:r w:rsidRPr="000E3AC3">
        <w:rPr>
          <w:rFonts w:asciiTheme="minorHAnsi" w:hAnsiTheme="minorHAnsi"/>
          <w:sz w:val="20"/>
          <w:szCs w:val="20"/>
          <w:lang w:val="es-MX"/>
        </w:rPr>
        <w:t xml:space="preserve">Respecto a la recomendación de </w:t>
      </w:r>
      <w:r w:rsidRPr="000E3AC3">
        <w:rPr>
          <w:rFonts w:asciiTheme="minorHAnsi" w:hAnsiTheme="minorHAnsi"/>
          <w:b/>
          <w:sz w:val="20"/>
          <w:szCs w:val="20"/>
          <w:lang w:val="es-MX"/>
        </w:rPr>
        <w:t>garantizar que los estudios de riesgo y la implementación de las medidas de prevención y de protección sean realizados de manera adecuada y atendiendo la urgencia de los asuntos</w:t>
      </w:r>
      <w:r w:rsidRPr="000E3AC3">
        <w:rPr>
          <w:rFonts w:asciiTheme="minorHAnsi" w:hAnsiTheme="minorHAnsi"/>
          <w:sz w:val="20"/>
          <w:szCs w:val="20"/>
          <w:lang w:val="es-MX"/>
        </w:rPr>
        <w:t xml:space="preserve"> para que así </w:t>
      </w:r>
      <w:r w:rsidRPr="000E3AC3">
        <w:rPr>
          <w:rFonts w:asciiTheme="minorHAnsi" w:hAnsiTheme="minorHAnsi"/>
          <w:b/>
          <w:sz w:val="20"/>
          <w:szCs w:val="20"/>
          <w:lang w:val="es-MX"/>
        </w:rPr>
        <w:t>en los procesos de valoración de riesgo, asignación de esquemas de protección y revisión sobre su idoneidad, se garantice una adecuada participación, comunicación y concertación con las personas amparadas por el mecanismo de protección, así como beneficiarios de medidas cautelares solicitadas por la CIDH</w:t>
      </w:r>
      <w:r w:rsidR="00FA6523" w:rsidRPr="00BA6325">
        <w:rPr>
          <w:rFonts w:asciiTheme="minorHAnsi" w:hAnsiTheme="minorHAnsi"/>
          <w:sz w:val="20"/>
          <w:szCs w:val="20"/>
          <w:lang w:val="es-MX"/>
        </w:rPr>
        <w:t>,</w:t>
      </w:r>
      <w:r w:rsidRPr="000E3AC3">
        <w:rPr>
          <w:rFonts w:asciiTheme="minorHAnsi" w:hAnsiTheme="minorHAnsi"/>
          <w:sz w:val="20"/>
          <w:szCs w:val="20"/>
          <w:lang w:val="es-MX"/>
        </w:rPr>
        <w:t xml:space="preserve"> el Estado reiteró información sobre la metodología de análisis de riesgo que ha continuado utilizando el Mecanismo en los últimos años</w:t>
      </w:r>
      <w:r w:rsidR="00E82593" w:rsidRPr="00BA6325">
        <w:rPr>
          <w:rStyle w:val="FootnoteReference"/>
          <w:rFonts w:asciiTheme="minorHAnsi" w:hAnsiTheme="minorHAnsi"/>
          <w:sz w:val="20"/>
          <w:szCs w:val="20"/>
          <w:lang w:val="es-MX"/>
        </w:rPr>
        <w:footnoteReference w:id="506"/>
      </w:r>
      <w:r w:rsidRPr="000E3AC3">
        <w:rPr>
          <w:rFonts w:asciiTheme="minorHAnsi" w:hAnsiTheme="minorHAnsi"/>
          <w:sz w:val="20"/>
          <w:szCs w:val="20"/>
          <w:lang w:val="es-MX"/>
        </w:rPr>
        <w:t xml:space="preserve">. </w:t>
      </w:r>
    </w:p>
    <w:p w14:paraId="0B1B5389" w14:textId="77777777" w:rsidR="000E3AC3" w:rsidRPr="000E3AC3" w:rsidRDefault="000E3AC3" w:rsidP="000E3AC3">
      <w:pPr>
        <w:numPr>
          <w:ilvl w:val="0"/>
          <w:numId w:val="5"/>
        </w:numPr>
        <w:shd w:val="clear" w:color="auto" w:fill="FFFFFF"/>
        <w:spacing w:after="240" w:line="240" w:lineRule="auto"/>
        <w:ind w:left="0" w:firstLine="720"/>
        <w:jc w:val="both"/>
        <w:rPr>
          <w:rFonts w:ascii="Cambria" w:eastAsia="Cambria" w:hAnsi="Cambria" w:cs="Cambria"/>
          <w:sz w:val="20"/>
          <w:szCs w:val="20"/>
          <w:lang w:val="es-MX"/>
        </w:rPr>
      </w:pPr>
      <w:r w:rsidRPr="000E3AC3">
        <w:rPr>
          <w:rFonts w:asciiTheme="minorHAnsi" w:hAnsiTheme="minorHAnsi"/>
          <w:sz w:val="20"/>
          <w:szCs w:val="20"/>
          <w:lang w:val="es-MX"/>
        </w:rPr>
        <w:t>El 24 de junio de 2021, l</w:t>
      </w:r>
      <w:r w:rsidRPr="00503F63">
        <w:rPr>
          <w:rFonts w:asciiTheme="minorHAnsi" w:eastAsia="Times New Roman" w:hAnsiTheme="minorHAnsi" w:cs="Tahoma"/>
          <w:sz w:val="20"/>
          <w:szCs w:val="20"/>
          <w:shd w:val="clear" w:color="auto" w:fill="FFFFFF"/>
          <w:lang w:val="es-MX"/>
        </w:rPr>
        <w:t>a Relatoría Especial para la Libertad de Expresión condenó el asesinato de los periodistas Gustavo Sánchez Cabrera en el municipio de Santo Domingo Tehuantepec, estado de Oaxaca; del periodista Felipe Enrique García García, en el municipio de Metepec, estado de México; y del periodista Saúl Tijerina Rentería en Ciudad Acuña, estado de Coahuila, e instó al Estado mexicano a investigar de forma completa, efectiva e imparcial los hechos y determinar el vínculo que podría tener con la actividad periodística. En esta ocasión, la Relatoría resaltó el caso de Gustavo Sánchez Cabrera, periodista y director del medio digital </w:t>
      </w:r>
      <w:r w:rsidRPr="00503F63">
        <w:rPr>
          <w:rFonts w:asciiTheme="minorHAnsi" w:eastAsia="Times New Roman" w:hAnsiTheme="minorHAnsi" w:cs="Tahoma"/>
          <w:i/>
          <w:sz w:val="20"/>
          <w:szCs w:val="20"/>
          <w:shd w:val="clear" w:color="auto" w:fill="FFFFFF"/>
          <w:lang w:val="es-MX"/>
        </w:rPr>
        <w:t>Noticias Minuto a Minuto</w:t>
      </w:r>
      <w:r w:rsidRPr="00503F63">
        <w:rPr>
          <w:rFonts w:asciiTheme="minorHAnsi" w:eastAsia="Times New Roman" w:hAnsiTheme="minorHAnsi" w:cs="Tahoma"/>
          <w:sz w:val="20"/>
          <w:szCs w:val="20"/>
          <w:shd w:val="clear" w:color="auto" w:fill="FFFFFF"/>
          <w:lang w:val="es-MX"/>
        </w:rPr>
        <w:t xml:space="preserve"> que cubría temas de política local y había investigado sobre el tráfico de hidrocarburos en la zona, y quien era beneficiario del Mecanismo de Protección para Personas Defensoras de Derechos Humanos y Periodistas</w:t>
      </w:r>
      <w:r w:rsidRPr="00503F63">
        <w:rPr>
          <w:rStyle w:val="FootnoteReference"/>
          <w:rFonts w:asciiTheme="minorHAnsi" w:eastAsia="Times New Roman" w:hAnsiTheme="minorHAnsi" w:cs="Tahoma"/>
          <w:sz w:val="20"/>
          <w:szCs w:val="20"/>
          <w:shd w:val="clear" w:color="auto" w:fill="FFFFFF"/>
          <w:lang w:val="es-MX"/>
        </w:rPr>
        <w:footnoteReference w:id="507"/>
      </w:r>
      <w:r w:rsidRPr="00503F63">
        <w:rPr>
          <w:rFonts w:asciiTheme="minorHAnsi" w:eastAsia="Times New Roman" w:hAnsiTheme="minorHAnsi" w:cs="Tahoma"/>
          <w:sz w:val="20"/>
          <w:szCs w:val="20"/>
          <w:shd w:val="clear" w:color="auto" w:fill="FFFFFF"/>
          <w:lang w:val="es-MX"/>
        </w:rPr>
        <w:t>. La Relatoría ya había documentado amenazas a la vida del reportero en anteriores oportunidades. En 2014, la Relatoría Especial reportó en su informe anual que Gustavo Sánchez Cabrera había recibido por lo menos tres amenazas en dos meses, supuestamente en relación con diversas notas publicadas en el medio </w:t>
      </w:r>
      <w:r w:rsidRPr="00503F63">
        <w:rPr>
          <w:rFonts w:asciiTheme="minorHAnsi" w:eastAsia="Times New Roman" w:hAnsiTheme="minorHAnsi" w:cs="Tahoma"/>
          <w:i/>
          <w:sz w:val="20"/>
          <w:szCs w:val="20"/>
          <w:shd w:val="clear" w:color="auto" w:fill="FFFFFF"/>
          <w:lang w:val="es-MX"/>
        </w:rPr>
        <w:t>La Policiaca del Istmo</w:t>
      </w:r>
      <w:r w:rsidRPr="00503F63">
        <w:rPr>
          <w:rFonts w:asciiTheme="minorHAnsi" w:eastAsia="Times New Roman" w:hAnsiTheme="minorHAnsi" w:cs="Tahoma"/>
          <w:sz w:val="20"/>
          <w:szCs w:val="20"/>
          <w:shd w:val="clear" w:color="auto" w:fill="FFFFFF"/>
          <w:lang w:val="es-MX"/>
        </w:rPr>
        <w:t>, del cual era director general; una de ellas se refería a un llamado que recibió en su noticiero radial en el que un sujeto desconocido le advirtió que ya lo tenía "ubicado para asesinarlo"</w:t>
      </w:r>
      <w:r w:rsidRPr="00503F63">
        <w:rPr>
          <w:rStyle w:val="FootnoteReference"/>
          <w:rFonts w:asciiTheme="minorHAnsi" w:eastAsia="Times New Roman" w:hAnsiTheme="minorHAnsi" w:cs="Tahoma"/>
          <w:sz w:val="20"/>
          <w:szCs w:val="20"/>
          <w:shd w:val="clear" w:color="auto" w:fill="FFFFFF"/>
          <w:lang w:val="es-MX"/>
        </w:rPr>
        <w:footnoteReference w:id="508"/>
      </w:r>
      <w:r w:rsidRPr="00503F63">
        <w:rPr>
          <w:rFonts w:asciiTheme="minorHAnsi" w:eastAsia="Times New Roman" w:hAnsiTheme="minorHAnsi" w:cs="Tahoma"/>
          <w:sz w:val="20"/>
          <w:szCs w:val="20"/>
          <w:shd w:val="clear" w:color="auto" w:fill="FFFFFF"/>
          <w:lang w:val="es-MX"/>
        </w:rPr>
        <w:t xml:space="preserve">. Asimismo, en julio de 2020 habría sido víctima de un ataque armado en su domicilio. </w:t>
      </w:r>
    </w:p>
    <w:p w14:paraId="0B750170" w14:textId="77777777" w:rsidR="000E3AC3" w:rsidRPr="000E3AC3" w:rsidRDefault="000E3AC3" w:rsidP="000E3AC3">
      <w:pPr>
        <w:numPr>
          <w:ilvl w:val="0"/>
          <w:numId w:val="5"/>
        </w:numPr>
        <w:shd w:val="clear" w:color="auto" w:fill="FFFFFF"/>
        <w:spacing w:after="240" w:line="240" w:lineRule="auto"/>
        <w:ind w:left="0" w:firstLine="720"/>
        <w:jc w:val="both"/>
        <w:rPr>
          <w:rFonts w:ascii="Cambria" w:eastAsia="Cambria" w:hAnsi="Cambria" w:cs="Cambria"/>
          <w:sz w:val="20"/>
          <w:szCs w:val="20"/>
          <w:lang w:val="es-MX"/>
        </w:rPr>
      </w:pPr>
      <w:r w:rsidRPr="00503F63">
        <w:rPr>
          <w:rFonts w:asciiTheme="minorHAnsi" w:eastAsia="Times New Roman" w:hAnsiTheme="minorHAnsi" w:cs="Tahoma"/>
          <w:sz w:val="20"/>
          <w:szCs w:val="20"/>
          <w:shd w:val="clear" w:color="auto" w:fill="FFFFFF"/>
          <w:lang w:val="es-MX"/>
        </w:rPr>
        <w:t>La Relatoría ha sostenido que, s</w:t>
      </w:r>
      <w:r w:rsidRPr="00503F63">
        <w:rPr>
          <w:rFonts w:asciiTheme="minorHAnsi" w:eastAsia="Times New Roman" w:hAnsiTheme="minorHAnsi" w:cs="Tahoma"/>
          <w:sz w:val="20"/>
          <w:szCs w:val="20"/>
          <w:lang w:val="es-MX"/>
        </w:rPr>
        <w:t>i bien los Estados tienen la obligación permanente de prevenir violencias contra la prensa y proteger a periodistas en riesgo, este deber se acentúa en los casos en que las autoridades han tenido oportunidad de conocer un riesgo particular para las o los periodistas. En este sentido, la Relatoría encuentra especialmente preocupante el hecho de que, pese a haber tenido conocimiento previo del riesgo al que se encontraba sometido Gustavo Sánchez Cabrera, el Estado no haya logrado brindar una respuesta de protección efectiva, oportuna y proporcional al riesgo que enfrentaba el periodista. En atención a ello, la Relatoría ha llamado al Estado mexicano a revisar las metodologías de evaluación de riesgo sobre las solicitudes en curso y asegurar que las medidas que actualmente implementa el Mecanismo de protección sean proporcionales a los riesgos</w:t>
      </w:r>
      <w:r w:rsidRPr="00503F63">
        <w:rPr>
          <w:rStyle w:val="FootnoteReference"/>
          <w:rFonts w:asciiTheme="minorHAnsi" w:eastAsia="Times New Roman" w:hAnsiTheme="minorHAnsi" w:cs="Tahoma"/>
          <w:sz w:val="20"/>
          <w:szCs w:val="20"/>
          <w:lang w:val="es-MX"/>
        </w:rPr>
        <w:footnoteReference w:id="509"/>
      </w:r>
      <w:r w:rsidRPr="00503F63">
        <w:rPr>
          <w:rFonts w:asciiTheme="minorHAnsi" w:eastAsia="Times New Roman" w:hAnsiTheme="minorHAnsi" w:cs="Tahoma"/>
          <w:sz w:val="20"/>
          <w:szCs w:val="20"/>
          <w:lang w:val="es-MX"/>
        </w:rPr>
        <w:t>.</w:t>
      </w:r>
    </w:p>
    <w:p w14:paraId="0EBC6852" w14:textId="77777777" w:rsidR="000E3AC3" w:rsidRPr="000E3AC3" w:rsidRDefault="000E3AC3" w:rsidP="000E3AC3">
      <w:pPr>
        <w:numPr>
          <w:ilvl w:val="0"/>
          <w:numId w:val="5"/>
        </w:numPr>
        <w:shd w:val="clear" w:color="auto" w:fill="FFFFFF"/>
        <w:spacing w:after="240" w:line="240" w:lineRule="auto"/>
        <w:ind w:left="0" w:firstLine="720"/>
        <w:jc w:val="both"/>
        <w:rPr>
          <w:rFonts w:ascii="Cambria" w:eastAsia="Cambria" w:hAnsi="Cambria" w:cs="Cambria"/>
          <w:sz w:val="20"/>
          <w:szCs w:val="20"/>
          <w:lang w:val="es-MX"/>
        </w:rPr>
      </w:pPr>
      <w:r w:rsidRPr="00503F63">
        <w:rPr>
          <w:rFonts w:asciiTheme="minorHAnsi" w:eastAsia="Times New Roman" w:hAnsiTheme="minorHAnsi" w:cs="Tahoma"/>
          <w:sz w:val="20"/>
          <w:szCs w:val="20"/>
          <w:shd w:val="clear" w:color="auto" w:fill="FFFFFF"/>
          <w:lang w:val="es-MX"/>
        </w:rPr>
        <w:t>Tal como fue señalado por los Relatores Especiales para la Libertad de Expresión de la ONU y la CIDH en el Informe Especial sobre la Situación de la Libertad de Expresión en México, los ataques contra las y los periodistas y el periodismo representan hoy la amenaza más directa y significativa a la libertad de expresión en el país. Asimismo, resaltaron que la violencia contra la prensa exige fortalecer las instituciones nacionales responsables de cumplir las obligaciones estatales de protección de periodistas. En este sentido, advirtieron que aún persisten importantes desafíos y obstáculos para el Mecanismo de Protección para Personas Defensoras de Derechos Humanos y Periodistas, que no han sido abordados adecuadamente. Por ejemplo, la coordinación entre el Mecanismo y las autoridades locales para la implementación de medidas de prevención y protección; la capacitación del personal local sobre cómo cumplir sus obligaciones conforme al protocolo creado para estandarizar los procedimientos operativos del Mecanismo; la optimización de las metodologías de evaluación de riesgos; además de la dotación de recursos suficientes para que el organismo pueda ejercer plenamente su mandato</w:t>
      </w:r>
      <w:r w:rsidRPr="00503F63">
        <w:rPr>
          <w:rStyle w:val="FootnoteReference"/>
          <w:rFonts w:asciiTheme="minorHAnsi" w:eastAsia="Times New Roman" w:hAnsiTheme="minorHAnsi" w:cs="Tahoma"/>
          <w:sz w:val="20"/>
          <w:szCs w:val="20"/>
          <w:shd w:val="clear" w:color="auto" w:fill="FFFFFF"/>
          <w:lang w:val="es-MX"/>
        </w:rPr>
        <w:footnoteReference w:id="510"/>
      </w:r>
      <w:r w:rsidRPr="00503F63">
        <w:rPr>
          <w:rFonts w:asciiTheme="minorHAnsi" w:eastAsia="Times New Roman" w:hAnsiTheme="minorHAnsi" w:cs="Tahoma"/>
          <w:sz w:val="20"/>
          <w:szCs w:val="20"/>
          <w:shd w:val="clear" w:color="auto" w:fill="FFFFFF"/>
          <w:lang w:val="es-MX"/>
        </w:rPr>
        <w:t>.</w:t>
      </w:r>
    </w:p>
    <w:p w14:paraId="59D7A3D0" w14:textId="77777777" w:rsidR="000E3AC3" w:rsidRPr="000E3AC3" w:rsidRDefault="000E3AC3" w:rsidP="000E3AC3">
      <w:pPr>
        <w:numPr>
          <w:ilvl w:val="0"/>
          <w:numId w:val="5"/>
        </w:numPr>
        <w:shd w:val="clear" w:color="auto" w:fill="FFFFFF"/>
        <w:spacing w:after="240" w:line="240" w:lineRule="auto"/>
        <w:ind w:left="0" w:firstLine="720"/>
        <w:jc w:val="both"/>
        <w:rPr>
          <w:rFonts w:ascii="Cambria" w:eastAsia="Cambria" w:hAnsi="Cambria" w:cs="Cambria"/>
          <w:sz w:val="20"/>
          <w:szCs w:val="20"/>
          <w:lang w:val="es-MX"/>
        </w:rPr>
      </w:pPr>
      <w:r w:rsidRPr="00503F63">
        <w:rPr>
          <w:rFonts w:asciiTheme="minorHAnsi" w:eastAsia="Times New Roman" w:hAnsiTheme="minorHAnsi" w:cs="Tahoma"/>
          <w:sz w:val="20"/>
          <w:szCs w:val="20"/>
          <w:shd w:val="clear" w:color="auto" w:fill="FFFFFF"/>
          <w:lang w:val="es-MX"/>
        </w:rPr>
        <w:t xml:space="preserve">En función de </w:t>
      </w:r>
      <w:r w:rsidRPr="000E3AC3">
        <w:rPr>
          <w:rFonts w:asciiTheme="minorHAnsi" w:hAnsiTheme="minorHAnsi"/>
          <w:sz w:val="20"/>
          <w:szCs w:val="20"/>
          <w:lang w:val="es-MX"/>
        </w:rPr>
        <w:t>la información proporcionada por el Estado, la CIDH considera que la recomendación se encuentra parcialmente cumplida, e invita al Estado a redoblar sus esfuerzos en la adopción de medidas que aseguren la protección efectiva a los derechos de las personas defensoras y periodistas.</w:t>
      </w:r>
    </w:p>
    <w:p w14:paraId="44A7E155" w14:textId="148D9450" w:rsidR="000E3AC3" w:rsidRPr="000E3AC3" w:rsidRDefault="000E3AC3" w:rsidP="000E3AC3">
      <w:pPr>
        <w:numPr>
          <w:ilvl w:val="0"/>
          <w:numId w:val="5"/>
        </w:numPr>
        <w:shd w:val="clear" w:color="auto" w:fill="FFFFFF"/>
        <w:spacing w:after="240" w:line="240" w:lineRule="auto"/>
        <w:ind w:left="0" w:firstLine="720"/>
        <w:jc w:val="both"/>
        <w:rPr>
          <w:rFonts w:ascii="Cambria" w:eastAsia="Cambria" w:hAnsi="Cambria" w:cs="Cambria"/>
          <w:sz w:val="20"/>
          <w:szCs w:val="20"/>
          <w:lang w:val="es-MX"/>
        </w:rPr>
      </w:pPr>
      <w:r w:rsidRPr="000E3AC3">
        <w:rPr>
          <w:rFonts w:asciiTheme="minorHAnsi" w:hAnsiTheme="minorHAnsi"/>
          <w:sz w:val="20"/>
          <w:szCs w:val="20"/>
          <w:lang w:val="es-MX"/>
        </w:rPr>
        <w:t xml:space="preserve">Sobre la recomendación de </w:t>
      </w:r>
      <w:r w:rsidRPr="000E3AC3">
        <w:rPr>
          <w:rFonts w:asciiTheme="minorHAnsi" w:hAnsiTheme="minorHAnsi"/>
          <w:b/>
          <w:sz w:val="20"/>
          <w:szCs w:val="20"/>
          <w:lang w:val="es-MX"/>
        </w:rPr>
        <w:t>realizar la evaluación y adopción de medidas de protección diferenciadas para mujeres, líderes indígenas y defensores ambientales,</w:t>
      </w:r>
      <w:r w:rsidRPr="000E3AC3">
        <w:rPr>
          <w:rFonts w:asciiTheme="minorHAnsi" w:hAnsiTheme="minorHAnsi"/>
          <w:sz w:val="20"/>
          <w:szCs w:val="20"/>
          <w:lang w:val="es-MX"/>
        </w:rPr>
        <w:t xml:space="preserve"> el Estado reiteró que el Mecanismo opera bajo una metodología de análisis de riesgo que incluye perspectiva de género y que permite perfilar a las personas beneficiarias del mecanismo según el ámbito en el que desarrolla su labor, ya sea en asuntos medioambientales, de derechos sociales, asuntos vinculados al acceso a la justicia, verdad y reparación, y defensa de personas migrantes. Asimismo, señalaron que la ratificación del Estado mexicano del Acuerdo Regional sobre el Acceso a la </w:t>
      </w:r>
      <w:r w:rsidR="00503F63" w:rsidRPr="000E3AC3">
        <w:rPr>
          <w:rFonts w:asciiTheme="minorHAnsi" w:hAnsiTheme="minorHAnsi"/>
          <w:sz w:val="20"/>
          <w:szCs w:val="20"/>
          <w:lang w:val="es-MX"/>
        </w:rPr>
        <w:t>Información</w:t>
      </w:r>
      <w:r w:rsidRPr="000E3AC3">
        <w:rPr>
          <w:rFonts w:asciiTheme="minorHAnsi" w:hAnsiTheme="minorHAnsi"/>
          <w:sz w:val="20"/>
          <w:szCs w:val="20"/>
          <w:lang w:val="es-MX"/>
        </w:rPr>
        <w:t xml:space="preserve">, la </w:t>
      </w:r>
      <w:r w:rsidR="00503F63" w:rsidRPr="000E3AC3">
        <w:rPr>
          <w:rFonts w:asciiTheme="minorHAnsi" w:hAnsiTheme="minorHAnsi"/>
          <w:sz w:val="20"/>
          <w:szCs w:val="20"/>
          <w:lang w:val="es-MX"/>
        </w:rPr>
        <w:t>Participación</w:t>
      </w:r>
      <w:r w:rsidRPr="000E3AC3">
        <w:rPr>
          <w:rFonts w:asciiTheme="minorHAnsi" w:hAnsiTheme="minorHAnsi"/>
          <w:sz w:val="20"/>
          <w:szCs w:val="20"/>
          <w:lang w:val="es-MX"/>
        </w:rPr>
        <w:t xml:space="preserve"> </w:t>
      </w:r>
      <w:r w:rsidR="00503F63" w:rsidRPr="000E3AC3">
        <w:rPr>
          <w:rFonts w:asciiTheme="minorHAnsi" w:hAnsiTheme="minorHAnsi"/>
          <w:sz w:val="20"/>
          <w:szCs w:val="20"/>
          <w:lang w:val="es-MX"/>
        </w:rPr>
        <w:t>Pública</w:t>
      </w:r>
      <w:r w:rsidRPr="000E3AC3">
        <w:rPr>
          <w:rFonts w:asciiTheme="minorHAnsi" w:hAnsiTheme="minorHAnsi"/>
          <w:sz w:val="20"/>
          <w:szCs w:val="20"/>
          <w:lang w:val="es-MX"/>
        </w:rPr>
        <w:t xml:space="preserve"> y el Acceso a la Justicia en Asuntos Ambientales en </w:t>
      </w:r>
      <w:r w:rsidR="00503F63" w:rsidRPr="000E3AC3">
        <w:rPr>
          <w:rFonts w:asciiTheme="minorHAnsi" w:hAnsiTheme="minorHAnsi"/>
          <w:sz w:val="20"/>
          <w:szCs w:val="20"/>
          <w:lang w:val="es-MX"/>
        </w:rPr>
        <w:t>América</w:t>
      </w:r>
      <w:r w:rsidRPr="000E3AC3">
        <w:rPr>
          <w:rFonts w:asciiTheme="minorHAnsi" w:hAnsiTheme="minorHAnsi"/>
          <w:sz w:val="20"/>
          <w:szCs w:val="20"/>
          <w:lang w:val="es-MX"/>
        </w:rPr>
        <w:t xml:space="preserve"> Latina y el Caribe (“Acuerdo de </w:t>
      </w:r>
      <w:r w:rsidR="00503F63" w:rsidRPr="000E3AC3">
        <w:rPr>
          <w:rFonts w:asciiTheme="minorHAnsi" w:hAnsiTheme="minorHAnsi"/>
          <w:sz w:val="20"/>
          <w:szCs w:val="20"/>
          <w:lang w:val="es-MX"/>
        </w:rPr>
        <w:t>Escazú</w:t>
      </w:r>
      <w:r w:rsidRPr="000E3AC3">
        <w:rPr>
          <w:rFonts w:asciiTheme="minorHAnsi" w:hAnsiTheme="minorHAnsi"/>
          <w:sz w:val="20"/>
          <w:szCs w:val="20"/>
          <w:lang w:val="es-MX"/>
        </w:rPr>
        <w:t>́”) ha fortalecido la protección de las personas defensoras del medioambiente</w:t>
      </w:r>
      <w:r w:rsidR="00E82593" w:rsidRPr="00BA6325">
        <w:rPr>
          <w:rStyle w:val="FootnoteReference"/>
          <w:rFonts w:asciiTheme="minorHAnsi" w:hAnsiTheme="minorHAnsi"/>
          <w:sz w:val="20"/>
          <w:szCs w:val="20"/>
          <w:lang w:val="es-MX"/>
        </w:rPr>
        <w:footnoteReference w:id="511"/>
      </w:r>
      <w:r w:rsidRPr="000E3AC3">
        <w:rPr>
          <w:rFonts w:asciiTheme="minorHAnsi" w:hAnsiTheme="minorHAnsi"/>
          <w:sz w:val="20"/>
          <w:szCs w:val="20"/>
          <w:lang w:val="es-MX"/>
        </w:rPr>
        <w:t>.</w:t>
      </w:r>
    </w:p>
    <w:p w14:paraId="1043E202" w14:textId="77777777" w:rsidR="000E3AC3" w:rsidRPr="000E3AC3" w:rsidRDefault="000E3AC3" w:rsidP="000E3AC3">
      <w:pPr>
        <w:numPr>
          <w:ilvl w:val="0"/>
          <w:numId w:val="5"/>
        </w:numPr>
        <w:shd w:val="clear" w:color="auto" w:fill="FFFFFF"/>
        <w:spacing w:after="240" w:line="240" w:lineRule="auto"/>
        <w:ind w:left="0" w:firstLine="720"/>
        <w:jc w:val="both"/>
        <w:rPr>
          <w:rFonts w:ascii="Cambria" w:eastAsia="Cambria" w:hAnsi="Cambria" w:cs="Cambria"/>
          <w:sz w:val="20"/>
          <w:szCs w:val="20"/>
          <w:lang w:val="es-MX"/>
        </w:rPr>
      </w:pPr>
      <w:r w:rsidRPr="000E3AC3">
        <w:rPr>
          <w:rFonts w:asciiTheme="minorHAnsi" w:hAnsiTheme="minorHAnsi"/>
          <w:sz w:val="20"/>
          <w:szCs w:val="20"/>
          <w:lang w:val="es-MX"/>
        </w:rPr>
        <w:t xml:space="preserve">La CIDH valora positivamente los esfuerzos por incluir diferentes factores de análisis de riesgo y adopción de medidas de protección; sin embargo, la Comisión y su Relatoría consideran que la información disponible no permite determinar a cabalidad avances significativos al respecto, por lo que considera que esta recomendación se encuentra parcialmente atendida. </w:t>
      </w:r>
    </w:p>
    <w:p w14:paraId="79C3D68F" w14:textId="6116137B" w:rsidR="000E3AC3" w:rsidRPr="000E3AC3" w:rsidRDefault="000E3AC3" w:rsidP="000E3AC3">
      <w:pPr>
        <w:numPr>
          <w:ilvl w:val="0"/>
          <w:numId w:val="5"/>
        </w:numPr>
        <w:shd w:val="clear" w:color="auto" w:fill="FFFFFF"/>
        <w:spacing w:after="240" w:line="240" w:lineRule="auto"/>
        <w:ind w:left="0" w:firstLine="720"/>
        <w:jc w:val="both"/>
        <w:rPr>
          <w:rFonts w:ascii="Cambria" w:eastAsia="Cambria" w:hAnsi="Cambria" w:cs="Cambria"/>
          <w:sz w:val="20"/>
          <w:szCs w:val="20"/>
          <w:lang w:val="es-MX"/>
        </w:rPr>
      </w:pPr>
      <w:r w:rsidRPr="000E3AC3">
        <w:rPr>
          <w:rFonts w:asciiTheme="minorHAnsi" w:hAnsiTheme="minorHAnsi"/>
          <w:sz w:val="20"/>
          <w:szCs w:val="20"/>
          <w:lang w:val="es-MX"/>
        </w:rPr>
        <w:t xml:space="preserve">En relación con la recomendación de </w:t>
      </w:r>
      <w:r w:rsidRPr="000E3AC3">
        <w:rPr>
          <w:rFonts w:asciiTheme="minorHAnsi" w:hAnsiTheme="minorHAnsi"/>
          <w:b/>
          <w:sz w:val="20"/>
          <w:szCs w:val="20"/>
          <w:lang w:val="es-MX"/>
        </w:rPr>
        <w:t>implementar estrategias para que las diferentes instituciones, en los diversos niveles federales y estatales, trabajen de manera articulada a fin de proporcionar una respuesta integral en todos los temas relacionados con la protección de las y los defensores de derechos humanos, así como también de periodistas</w:t>
      </w:r>
      <w:r w:rsidRPr="000E3AC3">
        <w:rPr>
          <w:rFonts w:asciiTheme="minorHAnsi" w:hAnsiTheme="minorHAnsi"/>
          <w:sz w:val="20"/>
          <w:szCs w:val="20"/>
          <w:lang w:val="es-MX"/>
        </w:rPr>
        <w:t xml:space="preserve"> el Estado señaló que en la Junta de Gobierno del Mecanismo </w:t>
      </w:r>
      <w:r w:rsidR="00FA6523" w:rsidRPr="00BA6325">
        <w:rPr>
          <w:rFonts w:asciiTheme="minorHAnsi" w:eastAsia="Symbol" w:hAnsiTheme="minorHAnsi" w:cs="Symbol"/>
          <w:sz w:val="20"/>
          <w:szCs w:val="20"/>
          <w:lang w:val="es-MX"/>
        </w:rPr>
        <w:t>¾</w:t>
      </w:r>
      <w:r w:rsidRPr="000E3AC3">
        <w:rPr>
          <w:rFonts w:asciiTheme="minorHAnsi" w:hAnsiTheme="minorHAnsi"/>
          <w:sz w:val="20"/>
          <w:szCs w:val="20"/>
          <w:lang w:val="es-MX"/>
        </w:rPr>
        <w:t>la instancia máxima y principal órgano de toma de decisiones en el marco del mecanismo</w:t>
      </w:r>
      <w:r w:rsidR="00FA6523" w:rsidRPr="00BA6325">
        <w:rPr>
          <w:rFonts w:asciiTheme="minorHAnsi" w:eastAsia="Symbol" w:hAnsiTheme="minorHAnsi" w:cs="Symbol"/>
          <w:sz w:val="20"/>
          <w:szCs w:val="20"/>
          <w:lang w:val="es-MX"/>
        </w:rPr>
        <w:t>¾</w:t>
      </w:r>
      <w:r w:rsidRPr="000E3AC3">
        <w:rPr>
          <w:rFonts w:asciiTheme="minorHAnsi" w:hAnsiTheme="minorHAnsi"/>
          <w:sz w:val="20"/>
          <w:szCs w:val="20"/>
          <w:lang w:val="es-MX"/>
        </w:rPr>
        <w:t xml:space="preserve"> intervienen diversas autoridades, que se encuentran trabajando de manera coordinada: </w:t>
      </w:r>
      <w:r w:rsidR="00503F63">
        <w:rPr>
          <w:rFonts w:asciiTheme="minorHAnsi" w:hAnsiTheme="minorHAnsi"/>
          <w:sz w:val="20"/>
          <w:szCs w:val="20"/>
          <w:lang w:val="es-MX"/>
        </w:rPr>
        <w:t>SEGOB</w:t>
      </w:r>
      <w:r w:rsidRPr="000E3AC3">
        <w:rPr>
          <w:rFonts w:asciiTheme="minorHAnsi" w:hAnsiTheme="minorHAnsi"/>
          <w:sz w:val="20"/>
          <w:szCs w:val="20"/>
          <w:lang w:val="es-MX"/>
        </w:rPr>
        <w:t xml:space="preserve">, </w:t>
      </w:r>
      <w:r w:rsidR="00503F63">
        <w:rPr>
          <w:rFonts w:asciiTheme="minorHAnsi" w:hAnsiTheme="minorHAnsi"/>
          <w:sz w:val="20"/>
          <w:szCs w:val="20"/>
          <w:lang w:val="es-MX"/>
        </w:rPr>
        <w:t>FGR</w:t>
      </w:r>
      <w:r w:rsidRPr="000E3AC3">
        <w:rPr>
          <w:rFonts w:asciiTheme="minorHAnsi" w:hAnsiTheme="minorHAnsi"/>
          <w:sz w:val="20"/>
          <w:szCs w:val="20"/>
          <w:lang w:val="es-MX"/>
        </w:rPr>
        <w:t xml:space="preserve">, </w:t>
      </w:r>
      <w:r w:rsidR="00503F63" w:rsidRPr="000E3AC3">
        <w:rPr>
          <w:rFonts w:asciiTheme="minorHAnsi" w:hAnsiTheme="minorHAnsi"/>
          <w:sz w:val="20"/>
          <w:szCs w:val="20"/>
          <w:lang w:val="es-MX"/>
        </w:rPr>
        <w:t>Secretaría</w:t>
      </w:r>
      <w:r w:rsidRPr="000E3AC3">
        <w:rPr>
          <w:rFonts w:asciiTheme="minorHAnsi" w:hAnsiTheme="minorHAnsi"/>
          <w:sz w:val="20"/>
          <w:szCs w:val="20"/>
          <w:lang w:val="es-MX"/>
        </w:rPr>
        <w:t xml:space="preserve"> de Seguridad y </w:t>
      </w:r>
      <w:r w:rsidR="00503F63" w:rsidRPr="000E3AC3">
        <w:rPr>
          <w:rFonts w:asciiTheme="minorHAnsi" w:hAnsiTheme="minorHAnsi"/>
          <w:sz w:val="20"/>
          <w:szCs w:val="20"/>
          <w:lang w:val="es-MX"/>
        </w:rPr>
        <w:t>Protección</w:t>
      </w:r>
      <w:r w:rsidRPr="000E3AC3">
        <w:rPr>
          <w:rFonts w:asciiTheme="minorHAnsi" w:hAnsiTheme="minorHAnsi"/>
          <w:sz w:val="20"/>
          <w:szCs w:val="20"/>
          <w:lang w:val="es-MX"/>
        </w:rPr>
        <w:t xml:space="preserve"> Ciudadana, </w:t>
      </w:r>
      <w:r w:rsidR="00503F63" w:rsidRPr="000E3AC3">
        <w:rPr>
          <w:rFonts w:asciiTheme="minorHAnsi" w:hAnsiTheme="minorHAnsi"/>
          <w:sz w:val="20"/>
          <w:szCs w:val="20"/>
          <w:lang w:val="es-MX"/>
        </w:rPr>
        <w:t>Secretaría</w:t>
      </w:r>
      <w:r w:rsidRPr="000E3AC3">
        <w:rPr>
          <w:rFonts w:asciiTheme="minorHAnsi" w:hAnsiTheme="minorHAnsi"/>
          <w:sz w:val="20"/>
          <w:szCs w:val="20"/>
          <w:lang w:val="es-MX"/>
        </w:rPr>
        <w:t xml:space="preserve"> de Relaciones Exteriores y </w:t>
      </w:r>
      <w:r w:rsidR="00503F63">
        <w:rPr>
          <w:rFonts w:asciiTheme="minorHAnsi" w:hAnsiTheme="minorHAnsi"/>
          <w:sz w:val="20"/>
          <w:szCs w:val="20"/>
          <w:lang w:val="es-MX"/>
        </w:rPr>
        <w:t>CNDH</w:t>
      </w:r>
      <w:r w:rsidRPr="000E3AC3">
        <w:rPr>
          <w:rStyle w:val="FootnoteReference"/>
          <w:rFonts w:asciiTheme="minorHAnsi" w:hAnsiTheme="minorHAnsi"/>
          <w:sz w:val="20"/>
          <w:szCs w:val="20"/>
          <w:lang w:val="es-MX"/>
        </w:rPr>
        <w:footnoteReference w:id="512"/>
      </w:r>
      <w:r w:rsidRPr="000E3AC3">
        <w:rPr>
          <w:rFonts w:asciiTheme="minorHAnsi" w:hAnsiTheme="minorHAnsi"/>
          <w:sz w:val="20"/>
          <w:szCs w:val="20"/>
          <w:lang w:val="es-MX"/>
        </w:rPr>
        <w:t>.</w:t>
      </w:r>
    </w:p>
    <w:p w14:paraId="6EDFC6A1" w14:textId="77777777" w:rsidR="000E3AC3" w:rsidRPr="000E3AC3" w:rsidRDefault="000E3AC3" w:rsidP="000E3AC3">
      <w:pPr>
        <w:numPr>
          <w:ilvl w:val="0"/>
          <w:numId w:val="5"/>
        </w:numPr>
        <w:shd w:val="clear" w:color="auto" w:fill="FFFFFF"/>
        <w:spacing w:after="240" w:line="240" w:lineRule="auto"/>
        <w:ind w:left="0" w:firstLine="720"/>
        <w:jc w:val="both"/>
        <w:rPr>
          <w:rFonts w:ascii="Cambria" w:eastAsia="Cambria" w:hAnsi="Cambria" w:cs="Cambria"/>
          <w:sz w:val="20"/>
          <w:szCs w:val="20"/>
          <w:lang w:val="es-MX"/>
        </w:rPr>
      </w:pPr>
      <w:r w:rsidRPr="000E3AC3">
        <w:rPr>
          <w:rFonts w:asciiTheme="minorHAnsi" w:eastAsia="Times New Roman" w:hAnsiTheme="minorHAnsi" w:cs="Times New Roman"/>
          <w:sz w:val="20"/>
          <w:szCs w:val="20"/>
          <w:lang w:val="es-MX"/>
        </w:rPr>
        <w:t xml:space="preserve">La Comisión reitera lo señalado en el último informe anual con respecto a </w:t>
      </w:r>
      <w:r w:rsidRPr="000E3AC3">
        <w:rPr>
          <w:rFonts w:asciiTheme="minorHAnsi" w:hAnsiTheme="minorHAnsi"/>
          <w:sz w:val="20"/>
          <w:szCs w:val="20"/>
          <w:lang w:val="es-MX"/>
        </w:rPr>
        <w:t>que la implementación del Mecanismo de Protección para periodistas sigue siendo poco efectiva en cuanto a la coordinación entre todos los niveles de gobierno y entre instituciones. A pesar de contar con la firma de convenios de cooperación con las 32 entidades federativas, estos no son vinculantes y el Gobierno Federal no puede exigir su cumplimiento, lo que imposibilita la implementación adecuada de las medidas de protección. Además, la falta de participación de las fuerzas de seguridad en los programas, la intervención reactiva y policial, la ausencia de análisis de riesgo y medidas de protección acorde a las necesidades de las personas defensoras y periodistas, y la privatización de las medidas de seguridad son algunas de las dificultades que presenta el mecanismo.</w:t>
      </w:r>
    </w:p>
    <w:p w14:paraId="6DD1C170" w14:textId="77777777" w:rsidR="000E3AC3" w:rsidRPr="000E3AC3" w:rsidRDefault="000E3AC3" w:rsidP="000E3AC3">
      <w:pPr>
        <w:numPr>
          <w:ilvl w:val="0"/>
          <w:numId w:val="5"/>
        </w:numPr>
        <w:shd w:val="clear" w:color="auto" w:fill="FFFFFF"/>
        <w:spacing w:after="240" w:line="240" w:lineRule="auto"/>
        <w:ind w:left="0" w:firstLine="720"/>
        <w:jc w:val="both"/>
        <w:rPr>
          <w:rFonts w:ascii="Cambria" w:eastAsia="Cambria" w:hAnsi="Cambria" w:cs="Cambria"/>
          <w:sz w:val="20"/>
          <w:szCs w:val="20"/>
          <w:lang w:val="es-MX"/>
        </w:rPr>
      </w:pPr>
      <w:r w:rsidRPr="000E3AC3">
        <w:rPr>
          <w:rFonts w:asciiTheme="minorHAnsi" w:hAnsiTheme="minorHAnsi"/>
          <w:sz w:val="20"/>
          <w:szCs w:val="20"/>
          <w:lang w:val="es-MX"/>
        </w:rPr>
        <w:t>La CIDH considera que la recomendación se encuentra parcialmente cumplida, en vista a que la coordinación entre el nivel estatal y federal aún enfrenta retos que comprometen la efectividad del sistema.</w:t>
      </w:r>
    </w:p>
    <w:p w14:paraId="7FF7CFBF" w14:textId="6A6A981D" w:rsidR="000E3AC3" w:rsidRPr="000E3AC3" w:rsidRDefault="000E3AC3" w:rsidP="000E3AC3">
      <w:pPr>
        <w:numPr>
          <w:ilvl w:val="0"/>
          <w:numId w:val="5"/>
        </w:numPr>
        <w:shd w:val="clear" w:color="auto" w:fill="FFFFFF"/>
        <w:spacing w:after="240" w:line="240" w:lineRule="auto"/>
        <w:ind w:left="0" w:firstLine="720"/>
        <w:jc w:val="both"/>
        <w:rPr>
          <w:rFonts w:ascii="Cambria" w:eastAsia="Cambria" w:hAnsi="Cambria" w:cs="Cambria"/>
          <w:sz w:val="20"/>
          <w:szCs w:val="20"/>
          <w:lang w:val="es-MX"/>
        </w:rPr>
      </w:pPr>
      <w:r w:rsidRPr="000E3AC3">
        <w:rPr>
          <w:rFonts w:asciiTheme="minorHAnsi" w:hAnsiTheme="minorHAnsi"/>
          <w:sz w:val="20"/>
          <w:szCs w:val="20"/>
          <w:lang w:val="es-MX"/>
        </w:rPr>
        <w:t xml:space="preserve">Respecto a la recomendaciones de </w:t>
      </w:r>
      <w:r w:rsidRPr="000E3AC3">
        <w:rPr>
          <w:rFonts w:asciiTheme="minorHAnsi" w:hAnsiTheme="minorHAnsi"/>
          <w:b/>
          <w:sz w:val="20"/>
          <w:szCs w:val="20"/>
          <w:lang w:val="es-MX"/>
        </w:rPr>
        <w:t>alentar al mecanismo de protección a implementar una estrategia de difusión sobre sus competencias, los requisitos para ingresar al programa, entre otra información necesaria, con el objetivo de que defensores de derechos humanos y periodistas conozcan sobre la protección que puede proporcionar el mecanismo</w:t>
      </w:r>
      <w:r w:rsidRPr="000E3AC3">
        <w:rPr>
          <w:rFonts w:asciiTheme="minorHAnsi" w:hAnsiTheme="minorHAnsi"/>
          <w:sz w:val="20"/>
          <w:szCs w:val="20"/>
          <w:lang w:val="es-MX"/>
        </w:rPr>
        <w:t xml:space="preserve">, así como </w:t>
      </w:r>
      <w:r w:rsidRPr="000E3AC3">
        <w:rPr>
          <w:rFonts w:asciiTheme="minorHAnsi" w:hAnsiTheme="minorHAnsi"/>
          <w:b/>
          <w:sz w:val="20"/>
          <w:szCs w:val="20"/>
          <w:lang w:val="es-MX"/>
        </w:rPr>
        <w:t>proporcionar acceso a la información necesaria sobre el mecanismo de protección, a fin de proporcionar mayor transparencia sobre el trabajo que se está desarrollando de acuerdo con estándares internacionales</w:t>
      </w:r>
      <w:r w:rsidR="00FA6523" w:rsidRPr="00BA6325">
        <w:rPr>
          <w:rFonts w:asciiTheme="minorHAnsi" w:hAnsiTheme="minorHAnsi"/>
          <w:sz w:val="20"/>
          <w:szCs w:val="20"/>
          <w:lang w:val="es-MX"/>
        </w:rPr>
        <w:t>,</w:t>
      </w:r>
      <w:r w:rsidRPr="000E3AC3">
        <w:rPr>
          <w:rFonts w:asciiTheme="minorHAnsi" w:hAnsiTheme="minorHAnsi"/>
          <w:sz w:val="20"/>
          <w:szCs w:val="20"/>
          <w:lang w:val="es-MX"/>
        </w:rPr>
        <w:t xml:space="preserve"> el Estado reiteró información remitida con anterioridad en relación con la </w:t>
      </w:r>
      <w:r w:rsidR="00503F63" w:rsidRPr="000E3AC3">
        <w:rPr>
          <w:rFonts w:asciiTheme="minorHAnsi" w:hAnsiTheme="minorHAnsi"/>
          <w:sz w:val="20"/>
          <w:szCs w:val="20"/>
          <w:lang w:val="es-MX"/>
        </w:rPr>
        <w:t>página</w:t>
      </w:r>
      <w:r w:rsidRPr="000E3AC3">
        <w:rPr>
          <w:rFonts w:asciiTheme="minorHAnsi" w:hAnsiTheme="minorHAnsi"/>
          <w:sz w:val="20"/>
          <w:szCs w:val="20"/>
          <w:lang w:val="es-MX"/>
        </w:rPr>
        <w:t xml:space="preserve"> web institucional con la que cuenta el Mecanismo, en la que señalan que “se difunde </w:t>
      </w:r>
      <w:r w:rsidR="00503F63" w:rsidRPr="000E3AC3">
        <w:rPr>
          <w:rFonts w:asciiTheme="minorHAnsi" w:hAnsiTheme="minorHAnsi"/>
          <w:sz w:val="20"/>
          <w:szCs w:val="20"/>
          <w:lang w:val="es-MX"/>
        </w:rPr>
        <w:t>información</w:t>
      </w:r>
      <w:r w:rsidRPr="000E3AC3">
        <w:rPr>
          <w:rFonts w:asciiTheme="minorHAnsi" w:hAnsiTheme="minorHAnsi"/>
          <w:sz w:val="20"/>
          <w:szCs w:val="20"/>
          <w:lang w:val="es-MX"/>
        </w:rPr>
        <w:t xml:space="preserve"> accesible sobre actores que generan las agresiones contra personas defensoras de derechos humanos y periodistas, las medidas que implementa el mecanismo para la </w:t>
      </w:r>
      <w:r w:rsidR="00503F63" w:rsidRPr="000E3AC3">
        <w:rPr>
          <w:rFonts w:asciiTheme="minorHAnsi" w:hAnsiTheme="minorHAnsi"/>
          <w:sz w:val="20"/>
          <w:szCs w:val="20"/>
          <w:lang w:val="es-MX"/>
        </w:rPr>
        <w:t>protección</w:t>
      </w:r>
      <w:r w:rsidRPr="000E3AC3">
        <w:rPr>
          <w:rFonts w:asciiTheme="minorHAnsi" w:hAnsiTheme="minorHAnsi"/>
          <w:sz w:val="20"/>
          <w:szCs w:val="20"/>
          <w:lang w:val="es-MX"/>
        </w:rPr>
        <w:t xml:space="preserve"> de las personas defensoras y periodistas, cifras y perfiles sobre el </w:t>
      </w:r>
      <w:r w:rsidR="00503F63" w:rsidRPr="000E3AC3">
        <w:rPr>
          <w:rFonts w:asciiTheme="minorHAnsi" w:hAnsiTheme="minorHAnsi"/>
          <w:sz w:val="20"/>
          <w:szCs w:val="20"/>
          <w:lang w:val="es-MX"/>
        </w:rPr>
        <w:t>ámbito</w:t>
      </w:r>
      <w:r w:rsidRPr="000E3AC3">
        <w:rPr>
          <w:rFonts w:asciiTheme="minorHAnsi" w:hAnsiTheme="minorHAnsi"/>
          <w:sz w:val="20"/>
          <w:szCs w:val="20"/>
          <w:lang w:val="es-MX"/>
        </w:rPr>
        <w:t xml:space="preserve"> y entidad de trabajo de las personas que actualmente son beneficiarias</w:t>
      </w:r>
      <w:r w:rsidR="00E82593" w:rsidRPr="00BA6325">
        <w:rPr>
          <w:rStyle w:val="FootnoteReference"/>
          <w:rFonts w:asciiTheme="minorHAnsi" w:hAnsiTheme="minorHAnsi"/>
          <w:sz w:val="20"/>
          <w:szCs w:val="20"/>
          <w:lang w:val="es-MX"/>
        </w:rPr>
        <w:footnoteReference w:id="513"/>
      </w:r>
      <w:r w:rsidRPr="000E3AC3">
        <w:rPr>
          <w:rFonts w:asciiTheme="minorHAnsi" w:hAnsiTheme="minorHAnsi"/>
          <w:sz w:val="20"/>
          <w:szCs w:val="20"/>
          <w:lang w:val="es-MX"/>
        </w:rPr>
        <w:t>. En vista que el Estado no adicionó información sobre el cumplimiento y seguimiento de la presente recomendación en el 2020, la CIDH estima que continúa parcialmente cumplida.</w:t>
      </w:r>
    </w:p>
    <w:p w14:paraId="6D3FD132" w14:textId="1EDD6EB9" w:rsidR="000E3AC3" w:rsidRPr="000E3AC3" w:rsidRDefault="000E3AC3" w:rsidP="000E3AC3">
      <w:pPr>
        <w:numPr>
          <w:ilvl w:val="0"/>
          <w:numId w:val="5"/>
        </w:numPr>
        <w:shd w:val="clear" w:color="auto" w:fill="FFFFFF"/>
        <w:spacing w:after="240" w:line="240" w:lineRule="auto"/>
        <w:ind w:left="0" w:firstLine="720"/>
        <w:jc w:val="both"/>
        <w:rPr>
          <w:rFonts w:ascii="Cambria" w:eastAsia="Cambria" w:hAnsi="Cambria" w:cs="Cambria"/>
          <w:sz w:val="20"/>
          <w:szCs w:val="20"/>
          <w:lang w:val="es-MX"/>
        </w:rPr>
      </w:pPr>
      <w:r w:rsidRPr="000E3AC3">
        <w:rPr>
          <w:rFonts w:asciiTheme="minorHAnsi" w:hAnsiTheme="minorHAnsi"/>
          <w:sz w:val="20"/>
          <w:szCs w:val="20"/>
          <w:lang w:val="es-MX"/>
        </w:rPr>
        <w:t xml:space="preserve">Sobre la recomendación de </w:t>
      </w:r>
      <w:r w:rsidRPr="000E3AC3">
        <w:rPr>
          <w:rFonts w:asciiTheme="minorHAnsi" w:hAnsiTheme="minorHAnsi"/>
          <w:b/>
          <w:sz w:val="20"/>
          <w:szCs w:val="20"/>
          <w:lang w:val="es-MX"/>
        </w:rPr>
        <w:t>alentar al mecanismo de protección a adoptar un procedimiento que le permita ordenar medidas de protección de oficio en aquellos casos que por su gravedad y urgencia las requieran de forma inmediata</w:t>
      </w:r>
      <w:r w:rsidRPr="000E3AC3">
        <w:rPr>
          <w:rFonts w:asciiTheme="minorHAnsi" w:hAnsiTheme="minorHAnsi"/>
          <w:sz w:val="20"/>
          <w:szCs w:val="20"/>
          <w:lang w:val="es-MX"/>
        </w:rPr>
        <w:t xml:space="preserve">, el Estado ha informado a la </w:t>
      </w:r>
      <w:r w:rsidR="00503F63" w:rsidRPr="000E3AC3">
        <w:rPr>
          <w:rFonts w:asciiTheme="minorHAnsi" w:hAnsiTheme="minorHAnsi"/>
          <w:sz w:val="20"/>
          <w:szCs w:val="20"/>
          <w:lang w:val="es-MX"/>
        </w:rPr>
        <w:t>Comisión</w:t>
      </w:r>
      <w:r w:rsidRPr="000E3AC3">
        <w:rPr>
          <w:rFonts w:asciiTheme="minorHAnsi" w:hAnsiTheme="minorHAnsi"/>
          <w:sz w:val="20"/>
          <w:szCs w:val="20"/>
          <w:lang w:val="es-MX"/>
        </w:rPr>
        <w:t xml:space="preserve"> que el Mecanismo cuenta con la competencia para otorgar medidas de </w:t>
      </w:r>
      <w:r w:rsidR="00503F63" w:rsidRPr="000E3AC3">
        <w:rPr>
          <w:rFonts w:asciiTheme="minorHAnsi" w:hAnsiTheme="minorHAnsi"/>
          <w:sz w:val="20"/>
          <w:szCs w:val="20"/>
          <w:lang w:val="es-MX"/>
        </w:rPr>
        <w:t>protección</w:t>
      </w:r>
      <w:r w:rsidRPr="000E3AC3">
        <w:rPr>
          <w:rFonts w:asciiTheme="minorHAnsi" w:hAnsiTheme="minorHAnsi"/>
          <w:sz w:val="20"/>
          <w:szCs w:val="20"/>
          <w:lang w:val="es-MX"/>
        </w:rPr>
        <w:t xml:space="preserve"> de oficio para casos urgentes, “a fin de garantizar la integridad de las personas, y sin perjuicio del procedimiento que el asunto deba seguir posteriormente ante la Junta de Gobierno”</w:t>
      </w:r>
      <w:r w:rsidRPr="000E3AC3">
        <w:rPr>
          <w:rStyle w:val="FootnoteReference"/>
          <w:rFonts w:asciiTheme="minorHAnsi" w:hAnsiTheme="minorHAnsi"/>
          <w:sz w:val="20"/>
          <w:szCs w:val="20"/>
          <w:lang w:val="es-MX"/>
        </w:rPr>
        <w:footnoteReference w:id="514"/>
      </w:r>
      <w:r w:rsidRPr="000E3AC3">
        <w:rPr>
          <w:rFonts w:asciiTheme="minorHAnsi" w:hAnsiTheme="minorHAnsi"/>
          <w:sz w:val="20"/>
          <w:szCs w:val="20"/>
          <w:lang w:val="es-MX"/>
        </w:rPr>
        <w:t>.</w:t>
      </w:r>
    </w:p>
    <w:p w14:paraId="018E52C2" w14:textId="77777777" w:rsidR="000E3AC3" w:rsidRPr="000E3AC3" w:rsidRDefault="000E3AC3" w:rsidP="000E3AC3">
      <w:pPr>
        <w:numPr>
          <w:ilvl w:val="0"/>
          <w:numId w:val="5"/>
        </w:numPr>
        <w:shd w:val="clear" w:color="auto" w:fill="FFFFFF"/>
        <w:spacing w:after="240" w:line="240" w:lineRule="auto"/>
        <w:ind w:left="0" w:firstLine="720"/>
        <w:jc w:val="both"/>
        <w:rPr>
          <w:rFonts w:ascii="Cambria" w:eastAsia="Cambria" w:hAnsi="Cambria" w:cs="Cambria"/>
          <w:sz w:val="20"/>
          <w:szCs w:val="20"/>
          <w:lang w:val="es-MX"/>
        </w:rPr>
      </w:pPr>
      <w:r w:rsidRPr="000E3AC3">
        <w:rPr>
          <w:rFonts w:asciiTheme="minorHAnsi" w:hAnsiTheme="minorHAnsi"/>
          <w:sz w:val="20"/>
          <w:szCs w:val="20"/>
          <w:lang w:val="es-MX"/>
        </w:rPr>
        <w:t>La Comisión saluda la información positiva aportada por el Estado sobre este punto, aunque considera que resulta insuficiente a los fines de reportar el avance con respecto al último período, por lo que estima que la recomendación continúa parcialmente cumplida.</w:t>
      </w:r>
    </w:p>
    <w:p w14:paraId="549BD560" w14:textId="376D991E" w:rsidR="000E3AC3" w:rsidRPr="000E3AC3" w:rsidRDefault="000E3AC3" w:rsidP="000E3AC3">
      <w:pPr>
        <w:numPr>
          <w:ilvl w:val="0"/>
          <w:numId w:val="5"/>
        </w:numPr>
        <w:shd w:val="clear" w:color="auto" w:fill="FFFFFF"/>
        <w:spacing w:after="240" w:line="240" w:lineRule="auto"/>
        <w:ind w:left="0" w:firstLine="720"/>
        <w:jc w:val="both"/>
        <w:rPr>
          <w:rFonts w:ascii="Cambria" w:eastAsia="Cambria" w:hAnsi="Cambria" w:cs="Cambria"/>
          <w:sz w:val="20"/>
          <w:szCs w:val="20"/>
          <w:lang w:val="es-MX"/>
        </w:rPr>
      </w:pPr>
      <w:r w:rsidRPr="000E3AC3">
        <w:rPr>
          <w:rFonts w:asciiTheme="minorHAnsi" w:hAnsiTheme="minorHAnsi"/>
          <w:sz w:val="20"/>
          <w:szCs w:val="20"/>
          <w:lang w:val="es-MX"/>
        </w:rPr>
        <w:t xml:space="preserve">Con relación a la recomendación de </w:t>
      </w:r>
      <w:r w:rsidRPr="000E3AC3">
        <w:rPr>
          <w:rFonts w:asciiTheme="minorHAnsi" w:hAnsiTheme="minorHAnsi"/>
          <w:b/>
          <w:sz w:val="20"/>
          <w:szCs w:val="20"/>
          <w:lang w:val="es-MX"/>
        </w:rPr>
        <w:t>duplicar esfuerzos para investigar los hechos que motivan el ingreso y permanencia de las personas amparadas por el mecanismo de protección, con el propósito de establecer como política de Estado la investigación como medida de prevención</w:t>
      </w:r>
      <w:r w:rsidRPr="000E3AC3">
        <w:rPr>
          <w:rFonts w:asciiTheme="minorHAnsi" w:hAnsiTheme="minorHAnsi"/>
          <w:sz w:val="20"/>
          <w:szCs w:val="20"/>
          <w:lang w:val="es-MX"/>
        </w:rPr>
        <w:t xml:space="preserve">, el Estado ha informado que a “a </w:t>
      </w:r>
      <w:r w:rsidR="00503F63" w:rsidRPr="000E3AC3">
        <w:rPr>
          <w:rFonts w:asciiTheme="minorHAnsi" w:hAnsiTheme="minorHAnsi"/>
          <w:sz w:val="20"/>
          <w:szCs w:val="20"/>
          <w:lang w:val="es-MX"/>
        </w:rPr>
        <w:t>raíz</w:t>
      </w:r>
      <w:r w:rsidRPr="000E3AC3">
        <w:rPr>
          <w:rFonts w:asciiTheme="minorHAnsi" w:hAnsiTheme="minorHAnsi"/>
          <w:sz w:val="20"/>
          <w:szCs w:val="20"/>
          <w:lang w:val="es-MX"/>
        </w:rPr>
        <w:t xml:space="preserve"> de la </w:t>
      </w:r>
      <w:r w:rsidR="00503F63" w:rsidRPr="000E3AC3">
        <w:rPr>
          <w:rFonts w:asciiTheme="minorHAnsi" w:hAnsiTheme="minorHAnsi"/>
          <w:sz w:val="20"/>
          <w:szCs w:val="20"/>
          <w:lang w:val="es-MX"/>
        </w:rPr>
        <w:t>creación</w:t>
      </w:r>
      <w:r w:rsidRPr="000E3AC3">
        <w:rPr>
          <w:rFonts w:asciiTheme="minorHAnsi" w:hAnsiTheme="minorHAnsi"/>
          <w:sz w:val="20"/>
          <w:szCs w:val="20"/>
          <w:lang w:val="es-MX"/>
        </w:rPr>
        <w:t xml:space="preserve"> de la Unidad de </w:t>
      </w:r>
      <w:r w:rsidR="00503F63" w:rsidRPr="000E3AC3">
        <w:rPr>
          <w:rFonts w:asciiTheme="minorHAnsi" w:hAnsiTheme="minorHAnsi"/>
          <w:sz w:val="20"/>
          <w:szCs w:val="20"/>
          <w:lang w:val="es-MX"/>
        </w:rPr>
        <w:t>Prevención</w:t>
      </w:r>
      <w:r w:rsidRPr="000E3AC3">
        <w:rPr>
          <w:rFonts w:asciiTheme="minorHAnsi" w:hAnsiTheme="minorHAnsi"/>
          <w:sz w:val="20"/>
          <w:szCs w:val="20"/>
          <w:lang w:val="es-MX"/>
        </w:rPr>
        <w:t xml:space="preserve">, Seguimiento y </w:t>
      </w:r>
      <w:r w:rsidR="00503F63" w:rsidRPr="000E3AC3">
        <w:rPr>
          <w:rFonts w:asciiTheme="minorHAnsi" w:hAnsiTheme="minorHAnsi"/>
          <w:sz w:val="20"/>
          <w:szCs w:val="20"/>
          <w:lang w:val="es-MX"/>
        </w:rPr>
        <w:t>Análisis</w:t>
      </w:r>
      <w:r w:rsidRPr="000E3AC3">
        <w:rPr>
          <w:rFonts w:asciiTheme="minorHAnsi" w:hAnsiTheme="minorHAnsi"/>
          <w:sz w:val="20"/>
          <w:szCs w:val="20"/>
          <w:lang w:val="es-MX"/>
        </w:rPr>
        <w:t xml:space="preserve">, el Mecanismo ha elaborado algunos </w:t>
      </w:r>
      <w:r w:rsidR="00503F63" w:rsidRPr="000E3AC3">
        <w:rPr>
          <w:rFonts w:asciiTheme="minorHAnsi" w:hAnsiTheme="minorHAnsi"/>
          <w:sz w:val="20"/>
          <w:szCs w:val="20"/>
          <w:lang w:val="es-MX"/>
        </w:rPr>
        <w:t>diagnósticos</w:t>
      </w:r>
      <w:r w:rsidRPr="000E3AC3">
        <w:rPr>
          <w:rFonts w:asciiTheme="minorHAnsi" w:hAnsiTheme="minorHAnsi"/>
          <w:sz w:val="20"/>
          <w:szCs w:val="20"/>
          <w:lang w:val="es-MX"/>
        </w:rPr>
        <w:t xml:space="preserve"> sobre la </w:t>
      </w:r>
      <w:r w:rsidR="00503F63" w:rsidRPr="000E3AC3">
        <w:rPr>
          <w:rFonts w:asciiTheme="minorHAnsi" w:hAnsiTheme="minorHAnsi"/>
          <w:sz w:val="20"/>
          <w:szCs w:val="20"/>
          <w:lang w:val="es-MX"/>
        </w:rPr>
        <w:t>situación</w:t>
      </w:r>
      <w:r w:rsidRPr="000E3AC3">
        <w:rPr>
          <w:rFonts w:asciiTheme="minorHAnsi" w:hAnsiTheme="minorHAnsi"/>
          <w:sz w:val="20"/>
          <w:szCs w:val="20"/>
          <w:lang w:val="es-MX"/>
        </w:rPr>
        <w:t xml:space="preserve"> de personas defensoras de derechos humanos y periodistas en distintas entidades de la </w:t>
      </w:r>
      <w:r w:rsidR="00503F63">
        <w:rPr>
          <w:rFonts w:asciiTheme="minorHAnsi" w:hAnsiTheme="minorHAnsi"/>
          <w:sz w:val="20"/>
          <w:szCs w:val="20"/>
          <w:lang w:val="es-MX"/>
        </w:rPr>
        <w:t>Repú</w:t>
      </w:r>
      <w:r w:rsidRPr="000E3AC3">
        <w:rPr>
          <w:rFonts w:asciiTheme="minorHAnsi" w:hAnsiTheme="minorHAnsi"/>
          <w:sz w:val="20"/>
          <w:szCs w:val="20"/>
          <w:lang w:val="es-MX"/>
        </w:rPr>
        <w:t xml:space="preserve">blica”, los cuales “han permitido investigar a profundidad las causas que </w:t>
      </w:r>
      <w:r w:rsidR="00503F63" w:rsidRPr="000E3AC3">
        <w:rPr>
          <w:rFonts w:asciiTheme="minorHAnsi" w:hAnsiTheme="minorHAnsi"/>
          <w:sz w:val="20"/>
          <w:szCs w:val="20"/>
          <w:lang w:val="es-MX"/>
        </w:rPr>
        <w:t>están</w:t>
      </w:r>
      <w:r w:rsidRPr="000E3AC3">
        <w:rPr>
          <w:rFonts w:asciiTheme="minorHAnsi" w:hAnsiTheme="minorHAnsi"/>
          <w:sz w:val="20"/>
          <w:szCs w:val="20"/>
          <w:lang w:val="es-MX"/>
        </w:rPr>
        <w:t xml:space="preserve"> generando los riesgos y agresiones, </w:t>
      </w:r>
      <w:r w:rsidR="00503F63" w:rsidRPr="000E3AC3">
        <w:rPr>
          <w:rFonts w:asciiTheme="minorHAnsi" w:hAnsiTheme="minorHAnsi"/>
          <w:sz w:val="20"/>
          <w:szCs w:val="20"/>
          <w:lang w:val="es-MX"/>
        </w:rPr>
        <w:t>además</w:t>
      </w:r>
      <w:r w:rsidRPr="000E3AC3">
        <w:rPr>
          <w:rFonts w:asciiTheme="minorHAnsi" w:hAnsiTheme="minorHAnsi"/>
          <w:sz w:val="20"/>
          <w:szCs w:val="20"/>
          <w:lang w:val="es-MX"/>
        </w:rPr>
        <w:t xml:space="preserve"> de permitir enfocar debidamente las medidas de </w:t>
      </w:r>
      <w:r w:rsidR="00503F63" w:rsidRPr="000E3AC3">
        <w:rPr>
          <w:rFonts w:asciiTheme="minorHAnsi" w:hAnsiTheme="minorHAnsi"/>
          <w:sz w:val="20"/>
          <w:szCs w:val="20"/>
          <w:lang w:val="es-MX"/>
        </w:rPr>
        <w:t>prevención</w:t>
      </w:r>
      <w:r w:rsidRPr="000E3AC3">
        <w:rPr>
          <w:rFonts w:asciiTheme="minorHAnsi" w:hAnsiTheme="minorHAnsi"/>
          <w:sz w:val="20"/>
          <w:szCs w:val="20"/>
          <w:lang w:val="es-MX"/>
        </w:rPr>
        <w:t xml:space="preserve"> a adoptar”</w:t>
      </w:r>
      <w:r w:rsidRPr="000E3AC3">
        <w:rPr>
          <w:rStyle w:val="FootnoteReference"/>
          <w:rFonts w:asciiTheme="minorHAnsi" w:hAnsiTheme="minorHAnsi"/>
          <w:sz w:val="20"/>
          <w:szCs w:val="20"/>
          <w:lang w:val="es-MX"/>
        </w:rPr>
        <w:footnoteReference w:id="515"/>
      </w:r>
      <w:r w:rsidRPr="000E3AC3">
        <w:rPr>
          <w:rFonts w:asciiTheme="minorHAnsi" w:hAnsiTheme="minorHAnsi"/>
          <w:sz w:val="20"/>
          <w:szCs w:val="20"/>
          <w:lang w:val="es-MX"/>
        </w:rPr>
        <w:t>. En vistas a la información recibida, la Comisión encuentra que la recomendación se encuentra parcialmente cumplida.</w:t>
      </w:r>
    </w:p>
    <w:p w14:paraId="381D03DC" w14:textId="5CC8A6BC" w:rsidR="000E3AC3" w:rsidRPr="000E3AC3" w:rsidRDefault="000E3AC3" w:rsidP="000E3AC3">
      <w:pPr>
        <w:numPr>
          <w:ilvl w:val="0"/>
          <w:numId w:val="5"/>
        </w:numPr>
        <w:shd w:val="clear" w:color="auto" w:fill="FFFFFF"/>
        <w:spacing w:after="240" w:line="240" w:lineRule="auto"/>
        <w:ind w:left="0" w:firstLine="720"/>
        <w:jc w:val="both"/>
        <w:rPr>
          <w:rFonts w:ascii="Cambria" w:eastAsia="Cambria" w:hAnsi="Cambria" w:cs="Cambria"/>
          <w:sz w:val="20"/>
          <w:szCs w:val="20"/>
          <w:lang w:val="es-MX"/>
        </w:rPr>
      </w:pPr>
      <w:r w:rsidRPr="000E3AC3">
        <w:rPr>
          <w:rFonts w:asciiTheme="minorHAnsi" w:hAnsiTheme="minorHAnsi"/>
          <w:sz w:val="20"/>
          <w:szCs w:val="20"/>
          <w:lang w:val="es-MX"/>
        </w:rPr>
        <w:t xml:space="preserve">Respecto a la recomendación de </w:t>
      </w:r>
      <w:r w:rsidRPr="000E3AC3">
        <w:rPr>
          <w:rFonts w:asciiTheme="minorHAnsi" w:hAnsiTheme="minorHAnsi"/>
          <w:b/>
          <w:sz w:val="20"/>
          <w:szCs w:val="20"/>
          <w:lang w:val="es-MX"/>
        </w:rPr>
        <w:t>alentar al Mecanismo de adoptar herramientas que le permitan realizar mediciones sobre la efectividad de las medidas implementadas, así como incrementar la transparencia de todo lo actuado para incrementar la confianza de los beneficiarios</w:t>
      </w:r>
      <w:r w:rsidRPr="000E3AC3">
        <w:rPr>
          <w:rFonts w:asciiTheme="minorHAnsi" w:hAnsiTheme="minorHAnsi"/>
          <w:sz w:val="20"/>
          <w:szCs w:val="20"/>
          <w:lang w:val="es-MX"/>
        </w:rPr>
        <w:t xml:space="preserve">; que debe </w:t>
      </w:r>
      <w:r w:rsidRPr="000E3AC3">
        <w:rPr>
          <w:rFonts w:asciiTheme="minorHAnsi" w:hAnsiTheme="minorHAnsi"/>
          <w:b/>
          <w:sz w:val="20"/>
          <w:szCs w:val="20"/>
          <w:lang w:val="es-MX"/>
        </w:rPr>
        <w:t>acompañarse del desarrollo de una política de prevención y de participación de la población objetivo</w:t>
      </w:r>
      <w:r w:rsidR="0029272C" w:rsidRPr="00BA6325">
        <w:rPr>
          <w:rFonts w:asciiTheme="minorHAnsi" w:hAnsiTheme="minorHAnsi"/>
          <w:b/>
          <w:sz w:val="20"/>
          <w:szCs w:val="20"/>
          <w:lang w:val="es-MX"/>
        </w:rPr>
        <w:t>,</w:t>
      </w:r>
      <w:r w:rsidRPr="000E3AC3">
        <w:rPr>
          <w:rFonts w:asciiTheme="minorHAnsi" w:hAnsiTheme="minorHAnsi"/>
          <w:b/>
          <w:sz w:val="20"/>
          <w:szCs w:val="20"/>
          <w:lang w:val="es-MX"/>
        </w:rPr>
        <w:t xml:space="preserve"> </w:t>
      </w:r>
      <w:r w:rsidRPr="000E3AC3">
        <w:rPr>
          <w:rFonts w:asciiTheme="minorHAnsi" w:hAnsiTheme="minorHAnsi"/>
          <w:sz w:val="20"/>
          <w:szCs w:val="20"/>
          <w:lang w:val="es-MX"/>
        </w:rPr>
        <w:t xml:space="preserve">el Estado reiteró la información reportada en el último informe anual sobre la realización de un diagnóstico sobre el funcionamiento del Mecanismo, en el que se habrían fortalezas, buenas </w:t>
      </w:r>
      <w:r w:rsidR="00503F63" w:rsidRPr="000E3AC3">
        <w:rPr>
          <w:rFonts w:asciiTheme="minorHAnsi" w:hAnsiTheme="minorHAnsi"/>
          <w:sz w:val="20"/>
          <w:szCs w:val="20"/>
          <w:lang w:val="es-MX"/>
        </w:rPr>
        <w:t>prácticas</w:t>
      </w:r>
      <w:r w:rsidRPr="000E3AC3">
        <w:rPr>
          <w:rFonts w:asciiTheme="minorHAnsi" w:hAnsiTheme="minorHAnsi"/>
          <w:sz w:val="20"/>
          <w:szCs w:val="20"/>
          <w:lang w:val="es-MX"/>
        </w:rPr>
        <w:t xml:space="preserve"> y </w:t>
      </w:r>
      <w:r w:rsidR="00503F63" w:rsidRPr="000E3AC3">
        <w:rPr>
          <w:rFonts w:asciiTheme="minorHAnsi" w:hAnsiTheme="minorHAnsi"/>
          <w:sz w:val="20"/>
          <w:szCs w:val="20"/>
          <w:lang w:val="es-MX"/>
        </w:rPr>
        <w:t>áreas</w:t>
      </w:r>
      <w:r w:rsidRPr="000E3AC3">
        <w:rPr>
          <w:rFonts w:asciiTheme="minorHAnsi" w:hAnsiTheme="minorHAnsi"/>
          <w:sz w:val="20"/>
          <w:szCs w:val="20"/>
          <w:lang w:val="es-MX"/>
        </w:rPr>
        <w:t xml:space="preserve"> de oportunidad para orientar un proceso interinstitucional de fortalecimiento. Según informó el Estado, el OACNUDH-MEX </w:t>
      </w:r>
      <w:r w:rsidR="00503F63" w:rsidRPr="000E3AC3">
        <w:rPr>
          <w:rFonts w:asciiTheme="minorHAnsi" w:hAnsiTheme="minorHAnsi"/>
          <w:sz w:val="20"/>
          <w:szCs w:val="20"/>
          <w:lang w:val="es-MX"/>
        </w:rPr>
        <w:t>emitió</w:t>
      </w:r>
      <w:r w:rsidRPr="000E3AC3">
        <w:rPr>
          <w:rFonts w:asciiTheme="minorHAnsi" w:hAnsiTheme="minorHAnsi"/>
          <w:sz w:val="20"/>
          <w:szCs w:val="20"/>
          <w:lang w:val="es-MX"/>
        </w:rPr>
        <w:t xml:space="preserve">́ 104 recomendaciones para su fortalecimiento, entre las que identificó que el nivel de recursos humanos y </w:t>
      </w:r>
      <w:r w:rsidR="00503F63" w:rsidRPr="000E3AC3">
        <w:rPr>
          <w:rFonts w:asciiTheme="minorHAnsi" w:hAnsiTheme="minorHAnsi"/>
          <w:sz w:val="20"/>
          <w:szCs w:val="20"/>
          <w:lang w:val="es-MX"/>
        </w:rPr>
        <w:t>económicos</w:t>
      </w:r>
      <w:r w:rsidRPr="000E3AC3">
        <w:rPr>
          <w:rFonts w:asciiTheme="minorHAnsi" w:hAnsiTheme="minorHAnsi"/>
          <w:sz w:val="20"/>
          <w:szCs w:val="20"/>
          <w:lang w:val="es-MX"/>
        </w:rPr>
        <w:t xml:space="preserve"> son al </w:t>
      </w:r>
      <w:r w:rsidR="00503F63" w:rsidRPr="000E3AC3">
        <w:rPr>
          <w:rFonts w:asciiTheme="minorHAnsi" w:hAnsiTheme="minorHAnsi"/>
          <w:sz w:val="20"/>
          <w:szCs w:val="20"/>
          <w:lang w:val="es-MX"/>
        </w:rPr>
        <w:t>día</w:t>
      </w:r>
      <w:r w:rsidRPr="000E3AC3">
        <w:rPr>
          <w:rFonts w:asciiTheme="minorHAnsi" w:hAnsiTheme="minorHAnsi"/>
          <w:sz w:val="20"/>
          <w:szCs w:val="20"/>
          <w:lang w:val="es-MX"/>
        </w:rPr>
        <w:t xml:space="preserve"> de hoy insuficientes para dar respuesta a los requisitos legales y las necesidades reales de </w:t>
      </w:r>
      <w:r w:rsidR="00503F63" w:rsidRPr="000E3AC3">
        <w:rPr>
          <w:rFonts w:asciiTheme="minorHAnsi" w:hAnsiTheme="minorHAnsi"/>
          <w:sz w:val="20"/>
          <w:szCs w:val="20"/>
          <w:lang w:val="es-MX"/>
        </w:rPr>
        <w:t>protección</w:t>
      </w:r>
      <w:r w:rsidRPr="000E3AC3">
        <w:rPr>
          <w:rStyle w:val="FootnoteReference"/>
          <w:rFonts w:asciiTheme="minorHAnsi" w:hAnsiTheme="minorHAnsi"/>
          <w:sz w:val="20"/>
          <w:szCs w:val="20"/>
          <w:lang w:val="es-MX"/>
        </w:rPr>
        <w:footnoteReference w:id="516"/>
      </w:r>
      <w:r w:rsidRPr="000E3AC3">
        <w:rPr>
          <w:rFonts w:asciiTheme="minorHAnsi" w:hAnsiTheme="minorHAnsi"/>
          <w:sz w:val="20"/>
          <w:szCs w:val="20"/>
          <w:lang w:val="es-MX"/>
        </w:rPr>
        <w:t>.</w:t>
      </w:r>
    </w:p>
    <w:p w14:paraId="14606BAB" w14:textId="77777777" w:rsidR="002277F5" w:rsidRPr="000E3AC3" w:rsidRDefault="007E25FF" w:rsidP="5258151B">
      <w:pPr>
        <w:numPr>
          <w:ilvl w:val="0"/>
          <w:numId w:val="5"/>
        </w:numPr>
        <w:shd w:val="clear" w:color="auto" w:fill="FFFFFF"/>
        <w:spacing w:after="240" w:line="240" w:lineRule="auto"/>
        <w:ind w:left="0" w:firstLine="720"/>
        <w:jc w:val="both"/>
        <w:rPr>
          <w:rFonts w:ascii="Cambria" w:eastAsia="Cambria" w:hAnsi="Cambria" w:cs="Cambria"/>
          <w:sz w:val="20"/>
          <w:szCs w:val="20"/>
          <w:lang w:val="es-MX"/>
        </w:rPr>
      </w:pPr>
      <w:r w:rsidRPr="000E3AC3">
        <w:rPr>
          <w:rFonts w:asciiTheme="minorHAnsi" w:hAnsiTheme="minorHAnsi"/>
          <w:sz w:val="20"/>
          <w:szCs w:val="20"/>
          <w:lang w:val="es-MX"/>
        </w:rPr>
        <w:t>Advirtiendo la falta de información específica, la CIDH considera que esta recomendación continua pendiente de cumplimiento.</w:t>
      </w:r>
    </w:p>
    <w:p w14:paraId="14606BAC" w14:textId="10471712" w:rsidR="002277F5" w:rsidRPr="00BD18FA" w:rsidRDefault="00BD18FA" w:rsidP="00BD18FA">
      <w:pPr>
        <w:pStyle w:val="Heading1"/>
      </w:pPr>
      <w:r>
        <w:t>C</w:t>
      </w:r>
      <w:r w:rsidR="007E25FF" w:rsidRPr="00BD18FA">
        <w:t>ONCLUSIONES</w:t>
      </w:r>
    </w:p>
    <w:p w14:paraId="14606BAD" w14:textId="77777777" w:rsidR="002277F5" w:rsidRPr="004E3E07" w:rsidRDefault="007E25FF">
      <w:pPr>
        <w:numPr>
          <w:ilvl w:val="0"/>
          <w:numId w:val="16"/>
        </w:numPr>
        <w:shd w:val="clear" w:color="auto" w:fill="FFFFFF"/>
        <w:spacing w:after="240" w:line="240" w:lineRule="auto"/>
        <w:ind w:left="0" w:firstLine="720"/>
        <w:jc w:val="both"/>
        <w:rPr>
          <w:rFonts w:ascii="Cambria" w:eastAsia="Cambria" w:hAnsi="Cambria" w:cs="Cambria"/>
          <w:sz w:val="20"/>
          <w:szCs w:val="20"/>
          <w:lang w:val="es-MX"/>
        </w:rPr>
      </w:pPr>
      <w:r w:rsidRPr="004E3E07">
        <w:rPr>
          <w:rFonts w:ascii="Cambria" w:eastAsia="Cambria" w:hAnsi="Cambria" w:cs="Cambria"/>
          <w:sz w:val="20"/>
          <w:szCs w:val="20"/>
          <w:lang w:val="es-MX"/>
        </w:rPr>
        <w:t>La Comisión reitera al Estado mexicano las recomendaciones emitidas en su Informe de País de 2015. Si bien se han registrado avances significativos en el cumplimiento de las recomendaciones que la CIDH destaca en el presente documento, persisten desafíos en materia del fortalecimiento de la institucionalidad en derechos humanos, específicamente en cuanto a la promoción de la igualdad de género y erradicación de la violencia contra las mujeres, así como la protección de personas defensoras y periodistas, y la protección integral y atención a las víctimas de violaciones a los derechos humanos.</w:t>
      </w:r>
    </w:p>
    <w:p w14:paraId="14606BAE" w14:textId="4393EA21" w:rsidR="002277F5" w:rsidRPr="004E3E07" w:rsidRDefault="007E25FF">
      <w:pPr>
        <w:numPr>
          <w:ilvl w:val="0"/>
          <w:numId w:val="16"/>
        </w:numPr>
        <w:shd w:val="clear" w:color="auto" w:fill="FFFFFF"/>
        <w:spacing w:after="240" w:line="240" w:lineRule="auto"/>
        <w:ind w:left="0" w:firstLine="720"/>
        <w:jc w:val="both"/>
        <w:rPr>
          <w:rFonts w:ascii="Cambria" w:eastAsia="Cambria" w:hAnsi="Cambria" w:cs="Cambria"/>
          <w:sz w:val="20"/>
          <w:szCs w:val="20"/>
          <w:lang w:val="es-MX"/>
        </w:rPr>
      </w:pPr>
      <w:r w:rsidRPr="004E3E07">
        <w:rPr>
          <w:rFonts w:ascii="Cambria" w:eastAsia="Cambria" w:hAnsi="Cambria" w:cs="Cambria"/>
          <w:sz w:val="20"/>
          <w:szCs w:val="20"/>
          <w:lang w:val="es-MX"/>
        </w:rPr>
        <w:t>Durante el 202</w:t>
      </w:r>
      <w:r w:rsidR="00220665">
        <w:rPr>
          <w:rFonts w:ascii="Cambria" w:eastAsia="Cambria" w:hAnsi="Cambria" w:cs="Cambria"/>
          <w:sz w:val="20"/>
          <w:szCs w:val="20"/>
          <w:lang w:val="es-MX"/>
        </w:rPr>
        <w:t>1</w:t>
      </w:r>
      <w:r w:rsidRPr="004E3E07">
        <w:rPr>
          <w:rFonts w:ascii="Cambria" w:eastAsia="Cambria" w:hAnsi="Cambria" w:cs="Cambria"/>
          <w:sz w:val="20"/>
          <w:szCs w:val="20"/>
          <w:lang w:val="es-MX"/>
        </w:rPr>
        <w:t xml:space="preserve"> continúan siendo de especial preocupación los</w:t>
      </w:r>
      <w:r w:rsidR="00B8721B">
        <w:rPr>
          <w:rFonts w:ascii="Cambria" w:eastAsia="Cambria" w:hAnsi="Cambria" w:cs="Cambria"/>
          <w:sz w:val="20"/>
          <w:szCs w:val="20"/>
          <w:lang w:val="es-MX"/>
        </w:rPr>
        <w:t xml:space="preserve"> temas desarrollados por la </w:t>
      </w:r>
      <w:r w:rsidR="000E3AC3">
        <w:rPr>
          <w:rFonts w:ascii="Cambria" w:eastAsia="Cambria" w:hAnsi="Cambria" w:cs="Cambria"/>
          <w:sz w:val="20"/>
          <w:szCs w:val="20"/>
          <w:lang w:val="es-MX"/>
        </w:rPr>
        <w:t>Comisión</w:t>
      </w:r>
      <w:r w:rsidR="00B8721B">
        <w:rPr>
          <w:rFonts w:ascii="Cambria" w:eastAsia="Cambria" w:hAnsi="Cambria" w:cs="Cambria"/>
          <w:sz w:val="20"/>
          <w:szCs w:val="20"/>
          <w:lang w:val="es-MX"/>
        </w:rPr>
        <w:t xml:space="preserve"> en su Informe de Pa</w:t>
      </w:r>
      <w:r w:rsidR="0054027A">
        <w:rPr>
          <w:rFonts w:ascii="Cambria" w:eastAsia="Cambria" w:hAnsi="Cambria" w:cs="Cambria"/>
          <w:sz w:val="20"/>
          <w:szCs w:val="20"/>
          <w:lang w:val="es-MX"/>
        </w:rPr>
        <w:t>í</w:t>
      </w:r>
      <w:r w:rsidR="00B8721B">
        <w:rPr>
          <w:rFonts w:ascii="Cambria" w:eastAsia="Cambria" w:hAnsi="Cambria" w:cs="Cambria"/>
          <w:sz w:val="20"/>
          <w:szCs w:val="20"/>
          <w:lang w:val="es-MX"/>
        </w:rPr>
        <w:t>s de 2015, como los</w:t>
      </w:r>
      <w:r w:rsidRPr="004E3E07">
        <w:rPr>
          <w:rFonts w:ascii="Cambria" w:eastAsia="Cambria" w:hAnsi="Cambria" w:cs="Cambria"/>
          <w:sz w:val="20"/>
          <w:szCs w:val="20"/>
          <w:lang w:val="es-MX"/>
        </w:rPr>
        <w:t xml:space="preserve"> elevados números de desapariciones y homicidios sin una debida investigación, así como la situación de inseguridad de personas o grupos más expuestos por razones de discriminación histórica. </w:t>
      </w:r>
      <w:r w:rsidR="00220665">
        <w:rPr>
          <w:rFonts w:ascii="Cambria" w:eastAsia="Cambria" w:hAnsi="Cambria" w:cs="Cambria"/>
          <w:sz w:val="20"/>
          <w:szCs w:val="20"/>
          <w:lang w:val="es-MX"/>
        </w:rPr>
        <w:t xml:space="preserve">La CIDH resalta que la información presentada por el Estado no contiene información proporcionada por </w:t>
      </w:r>
      <w:r w:rsidR="000E3AC3">
        <w:rPr>
          <w:rFonts w:ascii="Cambria" w:eastAsia="Cambria" w:hAnsi="Cambria" w:cs="Cambria"/>
          <w:sz w:val="20"/>
          <w:szCs w:val="20"/>
          <w:lang w:val="es-MX"/>
        </w:rPr>
        <w:t>los</w:t>
      </w:r>
      <w:r w:rsidR="00220665">
        <w:rPr>
          <w:rFonts w:ascii="Cambria" w:eastAsia="Cambria" w:hAnsi="Cambria" w:cs="Cambria"/>
          <w:sz w:val="20"/>
          <w:szCs w:val="20"/>
          <w:lang w:val="es-MX"/>
        </w:rPr>
        <w:t xml:space="preserve"> órganos de procuración de justicia.</w:t>
      </w:r>
    </w:p>
    <w:p w14:paraId="14606BAF" w14:textId="77777777" w:rsidR="002277F5" w:rsidRPr="004E3E07" w:rsidRDefault="007E25FF">
      <w:pPr>
        <w:numPr>
          <w:ilvl w:val="0"/>
          <w:numId w:val="16"/>
        </w:numPr>
        <w:shd w:val="clear" w:color="auto" w:fill="FFFFFF"/>
        <w:spacing w:after="240" w:line="240" w:lineRule="auto"/>
        <w:ind w:left="0" w:firstLine="720"/>
        <w:jc w:val="both"/>
        <w:rPr>
          <w:rFonts w:ascii="Cambria" w:eastAsia="Cambria" w:hAnsi="Cambria" w:cs="Cambria"/>
          <w:sz w:val="20"/>
          <w:szCs w:val="20"/>
          <w:lang w:val="es-MX"/>
        </w:rPr>
      </w:pPr>
      <w:r w:rsidRPr="004E3E07">
        <w:rPr>
          <w:rFonts w:ascii="Cambria" w:eastAsia="Cambria" w:hAnsi="Cambria" w:cs="Cambria"/>
          <w:sz w:val="20"/>
          <w:szCs w:val="20"/>
          <w:lang w:val="es-MX"/>
        </w:rPr>
        <w:t>Como la Comisión señaló en su Informe de País, el reto del Estado mexicano es cerrar la brecha existente entre su marco normativo y su reconocimiento a los derechos humanos con la realidad que experimentan un gran número de habitantes cuando buscan una justicia pronta y efectiva, y de modo concomitante redoblar sus esfuerzos en materia de prevención de las violaciones a los derechos humanos.</w:t>
      </w:r>
    </w:p>
    <w:p w14:paraId="5C77EFF1" w14:textId="77777777" w:rsidR="00897787" w:rsidRPr="00B23088" w:rsidRDefault="007E25FF" w:rsidP="00897787">
      <w:pPr>
        <w:numPr>
          <w:ilvl w:val="0"/>
          <w:numId w:val="16"/>
        </w:numPr>
        <w:shd w:val="clear" w:color="auto" w:fill="FFFFFF"/>
        <w:spacing w:after="240" w:line="240" w:lineRule="auto"/>
        <w:ind w:left="0" w:firstLine="720"/>
        <w:jc w:val="both"/>
        <w:rPr>
          <w:rFonts w:ascii="Cambria" w:eastAsia="Cambria" w:hAnsi="Cambria" w:cs="Cambria"/>
          <w:sz w:val="20"/>
          <w:szCs w:val="20"/>
          <w:lang w:val="es-MX"/>
        </w:rPr>
      </w:pPr>
      <w:r w:rsidRPr="004E3E07">
        <w:rPr>
          <w:rFonts w:ascii="Cambria" w:eastAsia="Cambria" w:hAnsi="Cambria" w:cs="Cambria"/>
          <w:sz w:val="20"/>
          <w:szCs w:val="20"/>
          <w:lang w:val="es-MX"/>
        </w:rPr>
        <w:t xml:space="preserve">El acceso a la justicia continúa representando uno de los retos más importantes para el Estado mexicano. Una justicia eficiente y eficaz es clave en la lucha contra la impunidad y eje central en la respuesta a </w:t>
      </w:r>
      <w:r w:rsidRPr="00B23088">
        <w:rPr>
          <w:rFonts w:ascii="Cambria" w:eastAsia="Cambria" w:hAnsi="Cambria" w:cs="Cambria"/>
          <w:sz w:val="20"/>
          <w:szCs w:val="20"/>
          <w:lang w:val="es-MX"/>
        </w:rPr>
        <w:t>cualquier violación de los derechos humanos.</w:t>
      </w:r>
      <w:r w:rsidR="00897787" w:rsidRPr="00B23088">
        <w:rPr>
          <w:rFonts w:ascii="Cambria" w:eastAsia="Cambria" w:hAnsi="Cambria" w:cs="Cambria"/>
          <w:sz w:val="20"/>
          <w:szCs w:val="20"/>
          <w:lang w:val="es-MX"/>
        </w:rPr>
        <w:t xml:space="preserve"> </w:t>
      </w:r>
    </w:p>
    <w:p w14:paraId="50FACA53" w14:textId="708C9689" w:rsidR="00897787" w:rsidRPr="00B23088" w:rsidRDefault="00897787" w:rsidP="00897787">
      <w:pPr>
        <w:numPr>
          <w:ilvl w:val="0"/>
          <w:numId w:val="16"/>
        </w:numPr>
        <w:shd w:val="clear" w:color="auto" w:fill="FFFFFF"/>
        <w:spacing w:after="240" w:line="240" w:lineRule="auto"/>
        <w:ind w:left="0" w:firstLine="720"/>
        <w:jc w:val="both"/>
        <w:rPr>
          <w:rFonts w:ascii="Cambria" w:eastAsia="Cambria" w:hAnsi="Cambria" w:cs="Cambria"/>
          <w:sz w:val="20"/>
          <w:szCs w:val="20"/>
          <w:lang w:val="es-MX"/>
        </w:rPr>
      </w:pPr>
      <w:r w:rsidRPr="00B23088">
        <w:rPr>
          <w:rFonts w:ascii="Cambria" w:eastAsia="Cambria" w:hAnsi="Cambria" w:cs="Cambria"/>
          <w:sz w:val="20"/>
          <w:szCs w:val="20"/>
          <w:lang w:val="es-MX"/>
        </w:rPr>
        <w:t xml:space="preserve">En sus observaciones al proyecto del presente informe, el Estado </w:t>
      </w:r>
      <w:r w:rsidRPr="00B23088">
        <w:rPr>
          <w:rFonts w:ascii="Cambria" w:eastAsia="Cambria" w:hAnsi="Cambria" w:cs="Cambria"/>
          <w:sz w:val="20"/>
          <w:szCs w:val="20"/>
        </w:rPr>
        <w:t>indicó que “las observaciones y contribuciones provenientes del Sistema Interamericano constituyen un marco  de referencia  para que el Estado mexicano rija su promoción y protección de los derechos humanos en México y en el mundo. Por lo que el Gobierno de México refrenda su compromiso de dar seguimiento y atender con cabalidad las recomendaciones emitidas por la Comisión Interamericana de Derechos Humanos”.</w:t>
      </w:r>
    </w:p>
    <w:p w14:paraId="14606BB4" w14:textId="23E93F7A" w:rsidR="002277F5" w:rsidRPr="004E3E07" w:rsidRDefault="007E25FF" w:rsidP="008016E7">
      <w:pPr>
        <w:numPr>
          <w:ilvl w:val="0"/>
          <w:numId w:val="16"/>
        </w:numPr>
        <w:shd w:val="clear" w:color="auto" w:fill="FFFFFF"/>
        <w:spacing w:after="240" w:line="240" w:lineRule="auto"/>
        <w:ind w:left="0" w:firstLine="720"/>
        <w:jc w:val="both"/>
        <w:rPr>
          <w:rFonts w:ascii="Cambria" w:eastAsia="Cambria" w:hAnsi="Cambria" w:cs="Cambria"/>
          <w:sz w:val="20"/>
          <w:szCs w:val="20"/>
          <w:lang w:val="es-MX"/>
        </w:rPr>
      </w:pPr>
      <w:r w:rsidRPr="00B23088">
        <w:rPr>
          <w:rFonts w:ascii="Cambria" w:eastAsia="Cambria" w:hAnsi="Cambria" w:cs="Cambria"/>
          <w:sz w:val="20"/>
          <w:szCs w:val="20"/>
          <w:lang w:val="es-MX"/>
        </w:rPr>
        <w:t>La Comisión reafirma su compromiso de colaborar con el Estado mexicano en la búsqueda de soluciones a los problemas y desafíos identificados, así como brindar acompañamiento en el cumplimiento de sus o</w:t>
      </w:r>
      <w:r w:rsidRPr="004E3E07">
        <w:rPr>
          <w:rFonts w:ascii="Cambria" w:eastAsia="Cambria" w:hAnsi="Cambria" w:cs="Cambria"/>
          <w:sz w:val="20"/>
          <w:szCs w:val="20"/>
          <w:lang w:val="es-MX"/>
        </w:rPr>
        <w:t>bligaciones internacionales en materia de derechos humanos.</w:t>
      </w:r>
    </w:p>
    <w:sectPr w:rsidR="002277F5" w:rsidRPr="004E3E07" w:rsidSect="0041057C">
      <w:headerReference w:type="default" r:id="rId15"/>
      <w:footerReference w:type="default" r:id="rId16"/>
      <w:headerReference w:type="first" r:id="rId17"/>
      <w:footerReference w:type="first" r:id="rId18"/>
      <w:pgSz w:w="12240" w:h="15840"/>
      <w:pgMar w:top="1440" w:right="1440" w:bottom="1440" w:left="1440" w:header="720" w:footer="720" w:gutter="0"/>
      <w:pgNumType w:start="1076"/>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10B93" w14:textId="77777777" w:rsidR="00EE1000" w:rsidRDefault="00EE1000">
      <w:pPr>
        <w:spacing w:after="0" w:line="240" w:lineRule="auto"/>
      </w:pPr>
      <w:r>
        <w:separator/>
      </w:r>
    </w:p>
  </w:endnote>
  <w:endnote w:type="continuationSeparator" w:id="0">
    <w:p w14:paraId="04E57D1F" w14:textId="77777777" w:rsidR="00EE1000" w:rsidRDefault="00EE1000">
      <w:pPr>
        <w:spacing w:after="0" w:line="240" w:lineRule="auto"/>
      </w:pPr>
      <w:r>
        <w:continuationSeparator/>
      </w:r>
    </w:p>
  </w:endnote>
  <w:endnote w:type="continuationNotice" w:id="1">
    <w:p w14:paraId="0B7FC707" w14:textId="77777777" w:rsidR="00EE1000" w:rsidRDefault="00EE10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panose1 w:val="00000000000000000000"/>
    <w:charset w:val="00"/>
    <w:family w:val="roman"/>
    <w:notTrueType/>
    <w:pitch w:val="default"/>
  </w:font>
  <w:font w:name="Lohit Devanagari">
    <w:altName w:val="Cambria"/>
    <w:panose1 w:val="00000000000000000000"/>
    <w:charset w:val="00"/>
    <w:family w:val="roman"/>
    <w:notTrueType/>
    <w:pitch w:val="default"/>
  </w:font>
  <w:font w:name="Lucida Grande">
    <w:altName w:val="Segoe UI"/>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06BC3" w14:textId="75A20DEE" w:rsidR="000235D8" w:rsidRPr="00F46807" w:rsidRDefault="000235D8" w:rsidP="00F46807">
    <w:pPr>
      <w:pBdr>
        <w:top w:val="nil"/>
        <w:left w:val="nil"/>
        <w:bottom w:val="nil"/>
        <w:right w:val="nil"/>
        <w:between w:val="nil"/>
      </w:pBdr>
      <w:tabs>
        <w:tab w:val="center" w:pos="4680"/>
        <w:tab w:val="right" w:pos="9360"/>
      </w:tabs>
      <w:spacing w:after="0" w:line="240" w:lineRule="auto"/>
      <w:jc w:val="center"/>
      <w:rPr>
        <w:color w:val="000000"/>
        <w:sz w:val="20"/>
        <w:szCs w:val="20"/>
      </w:rPr>
    </w:pPr>
    <w:r w:rsidRPr="009645F5">
      <w:rPr>
        <w:rFonts w:ascii="Cambria" w:eastAsia="Cambria" w:hAnsi="Cambria" w:cs="Cambria"/>
        <w:color w:val="000000"/>
        <w:sz w:val="20"/>
        <w:szCs w:val="20"/>
      </w:rPr>
      <w:fldChar w:fldCharType="begin"/>
    </w:r>
    <w:r w:rsidRPr="009645F5">
      <w:rPr>
        <w:rFonts w:ascii="Cambria" w:eastAsia="Cambria" w:hAnsi="Cambria" w:cs="Cambria"/>
        <w:color w:val="000000"/>
        <w:sz w:val="20"/>
        <w:szCs w:val="20"/>
      </w:rPr>
      <w:instrText>PAGE</w:instrText>
    </w:r>
    <w:r w:rsidRPr="009645F5">
      <w:rPr>
        <w:rFonts w:ascii="Cambria" w:eastAsia="Cambria" w:hAnsi="Cambria" w:cs="Cambria"/>
        <w:color w:val="000000"/>
        <w:sz w:val="20"/>
        <w:szCs w:val="20"/>
      </w:rPr>
      <w:fldChar w:fldCharType="separate"/>
    </w:r>
    <w:r w:rsidR="00CA227D">
      <w:rPr>
        <w:rFonts w:ascii="Cambria" w:eastAsia="Cambria" w:hAnsi="Cambria" w:cs="Cambria"/>
        <w:noProof/>
        <w:color w:val="000000"/>
        <w:sz w:val="20"/>
        <w:szCs w:val="20"/>
      </w:rPr>
      <w:t>6</w:t>
    </w:r>
    <w:r w:rsidRPr="009645F5">
      <w:rPr>
        <w:rFonts w:ascii="Cambria" w:eastAsia="Cambria" w:hAnsi="Cambria" w:cs="Cambria"/>
        <w:color w:val="00000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06BC8" w14:textId="77777777" w:rsidR="000235D8" w:rsidRDefault="000235D8">
    <w:pPr>
      <w:pBdr>
        <w:top w:val="nil"/>
        <w:left w:val="nil"/>
        <w:bottom w:val="nil"/>
        <w:right w:val="nil"/>
        <w:between w:val="nil"/>
      </w:pBdr>
      <w:tabs>
        <w:tab w:val="center" w:pos="4680"/>
        <w:tab w:val="right" w:pos="9360"/>
      </w:tabs>
      <w:spacing w:after="0" w:line="36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2D2D0" w14:textId="77777777" w:rsidR="00EE1000" w:rsidRDefault="00EE1000">
      <w:pPr>
        <w:spacing w:after="0" w:line="240" w:lineRule="auto"/>
      </w:pPr>
      <w:r>
        <w:separator/>
      </w:r>
    </w:p>
  </w:footnote>
  <w:footnote w:type="continuationSeparator" w:id="0">
    <w:p w14:paraId="0FDEEBA6" w14:textId="77777777" w:rsidR="00EE1000" w:rsidRDefault="00EE1000">
      <w:pPr>
        <w:spacing w:after="0" w:line="240" w:lineRule="auto"/>
      </w:pPr>
      <w:r>
        <w:continuationSeparator/>
      </w:r>
    </w:p>
  </w:footnote>
  <w:footnote w:type="continuationNotice" w:id="1">
    <w:p w14:paraId="68822756" w14:textId="77777777" w:rsidR="00EE1000" w:rsidRDefault="00EE1000">
      <w:pPr>
        <w:spacing w:after="0" w:line="240" w:lineRule="auto"/>
      </w:pPr>
    </w:p>
  </w:footnote>
  <w:footnote w:id="2">
    <w:p w14:paraId="14606BCF" w14:textId="77777777" w:rsidR="000235D8" w:rsidRPr="000D1DE6" w:rsidRDefault="000235D8" w:rsidP="00F46807">
      <w:pPr>
        <w:pBdr>
          <w:top w:val="nil"/>
          <w:left w:val="nil"/>
          <w:bottom w:val="nil"/>
          <w:right w:val="nil"/>
          <w:between w:val="nil"/>
        </w:pBdr>
        <w:spacing w:after="120" w:line="240" w:lineRule="auto"/>
        <w:ind w:firstLine="720"/>
        <w:jc w:val="both"/>
        <w:rPr>
          <w:rFonts w:asciiTheme="minorHAnsi" w:eastAsia="Cambria" w:hAnsiTheme="minorHAnsi" w:cs="Cambria"/>
          <w:color w:val="000000"/>
          <w:sz w:val="18"/>
          <w:szCs w:val="18"/>
          <w:lang w:val="es-MX"/>
        </w:rPr>
      </w:pPr>
      <w:r w:rsidRPr="000D1DE6">
        <w:rPr>
          <w:rFonts w:asciiTheme="minorHAnsi" w:hAnsiTheme="minorHAnsi"/>
          <w:sz w:val="18"/>
          <w:szCs w:val="18"/>
          <w:vertAlign w:val="superscript"/>
          <w:lang w:val="es-MX"/>
        </w:rPr>
        <w:footnoteRef/>
      </w:r>
      <w:r w:rsidRPr="000D1DE6">
        <w:rPr>
          <w:rFonts w:asciiTheme="minorHAnsi" w:eastAsia="Cambria" w:hAnsiTheme="minorHAnsi" w:cs="Cambria"/>
          <w:color w:val="000000"/>
          <w:sz w:val="18"/>
          <w:szCs w:val="18"/>
          <w:vertAlign w:val="superscript"/>
          <w:lang w:val="es-MX"/>
        </w:rPr>
        <w:t>*</w:t>
      </w:r>
      <w:r w:rsidRPr="000D1DE6">
        <w:rPr>
          <w:rFonts w:asciiTheme="minorHAnsi" w:eastAsia="Cambria" w:hAnsiTheme="minorHAnsi" w:cs="Cambria"/>
          <w:color w:val="000000"/>
          <w:sz w:val="18"/>
          <w:szCs w:val="18"/>
          <w:lang w:val="es-MX"/>
        </w:rPr>
        <w:t xml:space="preserve"> Conforme a lo dispuesto en el artículo 17.2 del Reglamento de la Comisión, el Comisionado Joel Hernández, de nacionalidad mexicana, no participó en la discusión, investigación, deliberación y aprobación del presente informe.</w:t>
      </w:r>
    </w:p>
  </w:footnote>
  <w:footnote w:id="3">
    <w:p w14:paraId="14606BD0" w14:textId="77777777" w:rsidR="000235D8" w:rsidRPr="000D1DE6" w:rsidRDefault="000235D8" w:rsidP="00F46807">
      <w:pPr>
        <w:pBdr>
          <w:top w:val="nil"/>
          <w:left w:val="nil"/>
          <w:bottom w:val="nil"/>
          <w:right w:val="nil"/>
          <w:between w:val="nil"/>
        </w:pBdr>
        <w:spacing w:after="120" w:line="240" w:lineRule="auto"/>
        <w:ind w:firstLine="720"/>
        <w:jc w:val="both"/>
        <w:rPr>
          <w:rFonts w:asciiTheme="minorHAnsi" w:eastAsia="Cambria" w:hAnsiTheme="minorHAnsi" w:cs="Cambria"/>
          <w:color w:val="000000"/>
          <w:sz w:val="18"/>
          <w:szCs w:val="18"/>
          <w:lang w:val="es-MX"/>
        </w:rPr>
      </w:pPr>
      <w:r w:rsidRPr="000D1DE6">
        <w:rPr>
          <w:rFonts w:asciiTheme="minorHAnsi" w:hAnsiTheme="minorHAnsi"/>
          <w:sz w:val="18"/>
          <w:szCs w:val="18"/>
          <w:vertAlign w:val="superscript"/>
          <w:lang w:val="es-MX"/>
        </w:rPr>
        <w:footnoteRef/>
      </w:r>
      <w:r w:rsidRPr="000D1DE6">
        <w:rPr>
          <w:rFonts w:asciiTheme="minorHAnsi" w:eastAsia="Cambria" w:hAnsiTheme="minorHAnsi" w:cs="Cambria"/>
          <w:color w:val="000000"/>
          <w:sz w:val="18"/>
          <w:szCs w:val="18"/>
          <w:lang w:val="es-MX"/>
        </w:rPr>
        <w:t xml:space="preserve"> Comunicación del Estado mexicano. Noveno Informe del Estado mexicano sobre el cumplimiento y seguimiento de las recomendaciones de la CIDH. Capítulo V, Nota OEA3510 / Exp. 4.8.0.1. del 22 de octubre de 2021.</w:t>
      </w:r>
    </w:p>
  </w:footnote>
  <w:footnote w:id="4">
    <w:p w14:paraId="14606BD1" w14:textId="1EAFEE97" w:rsidR="000235D8" w:rsidRPr="000D1DE6" w:rsidRDefault="000235D8" w:rsidP="00F46807">
      <w:pPr>
        <w:pBdr>
          <w:top w:val="nil"/>
          <w:left w:val="nil"/>
          <w:bottom w:val="nil"/>
          <w:right w:val="nil"/>
          <w:between w:val="nil"/>
        </w:pBdr>
        <w:spacing w:after="120" w:line="240" w:lineRule="auto"/>
        <w:ind w:firstLine="720"/>
        <w:jc w:val="both"/>
        <w:rPr>
          <w:rFonts w:asciiTheme="minorHAnsi" w:eastAsia="Cambria" w:hAnsiTheme="minorHAnsi" w:cs="Cambria"/>
          <w:color w:val="000000"/>
          <w:sz w:val="18"/>
          <w:szCs w:val="18"/>
          <w:lang w:val="es-MX"/>
        </w:rPr>
      </w:pPr>
      <w:r w:rsidRPr="000D1DE6">
        <w:rPr>
          <w:rFonts w:asciiTheme="minorHAnsi" w:hAnsiTheme="minorHAnsi"/>
          <w:sz w:val="18"/>
          <w:szCs w:val="18"/>
          <w:vertAlign w:val="superscript"/>
          <w:lang w:val="es-MX"/>
        </w:rPr>
        <w:footnoteRef/>
      </w:r>
      <w:r w:rsidRPr="000D1DE6">
        <w:rPr>
          <w:rFonts w:asciiTheme="minorHAnsi" w:eastAsia="Cambria" w:hAnsiTheme="minorHAnsi" w:cs="Cambria"/>
          <w:color w:val="000000"/>
          <w:sz w:val="18"/>
          <w:szCs w:val="18"/>
          <w:lang w:val="es-MX"/>
        </w:rPr>
        <w:t xml:space="preserve"> La CIDH recibió información remitida por el Centro de Derechos Humanos Miguel Agustín Pro Juárez (en adelante el “Centro PRODH”), el Instituto Mexicano de Derechos Humanos y Democracia, A.C. (en adelante “IMDHD”); y Servicios y Asesoría para la Paz – SERAPAZ (en adelante “SERAPAZ”).</w:t>
      </w:r>
    </w:p>
  </w:footnote>
  <w:footnote w:id="5">
    <w:p w14:paraId="14606BD2" w14:textId="45CED58E" w:rsidR="000235D8" w:rsidRPr="000D1DE6" w:rsidRDefault="000235D8" w:rsidP="00F46807">
      <w:pPr>
        <w:pBdr>
          <w:top w:val="nil"/>
          <w:left w:val="nil"/>
          <w:bottom w:val="nil"/>
          <w:right w:val="nil"/>
          <w:between w:val="nil"/>
        </w:pBdr>
        <w:spacing w:after="120" w:line="240" w:lineRule="auto"/>
        <w:ind w:firstLine="720"/>
        <w:jc w:val="both"/>
        <w:rPr>
          <w:rFonts w:asciiTheme="minorHAnsi" w:eastAsia="Cambria" w:hAnsiTheme="minorHAnsi" w:cs="Cambria"/>
          <w:color w:val="000000"/>
          <w:sz w:val="18"/>
          <w:szCs w:val="18"/>
          <w:lang w:val="es-MX"/>
        </w:rPr>
      </w:pPr>
      <w:r w:rsidRPr="000D1DE6">
        <w:rPr>
          <w:rFonts w:asciiTheme="minorHAnsi" w:hAnsiTheme="minorHAnsi"/>
          <w:sz w:val="18"/>
          <w:szCs w:val="18"/>
          <w:vertAlign w:val="superscript"/>
          <w:lang w:val="es-MX"/>
        </w:rPr>
        <w:footnoteRef/>
      </w:r>
      <w:r w:rsidRPr="000D1DE6">
        <w:rPr>
          <w:rFonts w:asciiTheme="minorHAnsi" w:eastAsia="Cambria" w:hAnsiTheme="minorHAnsi" w:cs="Cambria"/>
          <w:color w:val="000000"/>
          <w:sz w:val="18"/>
          <w:szCs w:val="18"/>
          <w:lang w:val="es-MX"/>
        </w:rPr>
        <w:t xml:space="preserve"> Noveno Informe del Estado mexicano sobre el cumplimiento de las RECOMENDACIONES DE LA COMISIÓN INTERAMERICANA DE DERECHOS HUMANOS emitidas en su informe sobre la “Situación de los Derechos Humanos en México”, derivado de su visita a México del 28 de septiembre al 2 de octubre de 2015, pág. 2. [En adelante “Noveno Informe del Estado mexicano sobre el cumplimiento y seguimiento de las recomendaciones contenidas en el informe “Situación de los Derechos Humanos en México”]. </w:t>
      </w:r>
    </w:p>
  </w:footnote>
  <w:footnote w:id="6">
    <w:p w14:paraId="14606BD3" w14:textId="25CCCCE7" w:rsidR="000235D8" w:rsidRPr="000D1DE6" w:rsidRDefault="000235D8" w:rsidP="00F46807">
      <w:pPr>
        <w:pBdr>
          <w:top w:val="nil"/>
          <w:left w:val="nil"/>
          <w:bottom w:val="nil"/>
          <w:right w:val="nil"/>
          <w:between w:val="nil"/>
        </w:pBdr>
        <w:spacing w:after="120" w:line="240" w:lineRule="auto"/>
        <w:ind w:firstLine="720"/>
        <w:jc w:val="both"/>
        <w:rPr>
          <w:rFonts w:asciiTheme="minorHAnsi" w:eastAsia="Cambria" w:hAnsiTheme="minorHAnsi" w:cs="Cambria"/>
          <w:color w:val="000000"/>
          <w:sz w:val="18"/>
          <w:szCs w:val="18"/>
          <w:lang w:val="es-MX"/>
        </w:rPr>
      </w:pPr>
      <w:r w:rsidRPr="0053683D">
        <w:rPr>
          <w:rFonts w:asciiTheme="minorHAnsi" w:hAnsiTheme="minorHAnsi"/>
          <w:sz w:val="18"/>
          <w:szCs w:val="18"/>
          <w:vertAlign w:val="superscript"/>
          <w:lang w:val="es-MX"/>
        </w:rPr>
        <w:footnoteRef/>
      </w:r>
      <w:r w:rsidRPr="0053683D">
        <w:rPr>
          <w:rFonts w:asciiTheme="minorHAnsi" w:eastAsia="Cambria" w:hAnsiTheme="minorHAnsi" w:cs="Cambria"/>
          <w:color w:val="000000"/>
          <w:sz w:val="18"/>
          <w:szCs w:val="18"/>
          <w:lang w:val="es-MX"/>
        </w:rPr>
        <w:t xml:space="preserve"> </w:t>
      </w:r>
      <w:hyperlink r:id="rId1" w:history="1">
        <w:r w:rsidRPr="0053683D">
          <w:rPr>
            <w:rStyle w:val="Hyperlink"/>
            <w:rFonts w:asciiTheme="minorHAnsi" w:eastAsia="Cambria" w:hAnsiTheme="minorHAnsi" w:cs="Cambria"/>
            <w:sz w:val="18"/>
            <w:szCs w:val="18"/>
            <w:lang w:val="es-MX"/>
          </w:rPr>
          <w:t xml:space="preserve">Observaciones y comentarios del Estado mexicano al proyecto de Capítulo V sobre el seguimiento a las recomendaciones formuladas por la Comisión Interamericana de Derechos Humanos en el Informe sobre la “Situación de los derechos humanos en México”. </w:t>
        </w:r>
        <w:r w:rsidR="007B69C1" w:rsidRPr="0053683D">
          <w:rPr>
            <w:rStyle w:val="Hyperlink"/>
            <w:rFonts w:asciiTheme="minorHAnsi" w:eastAsia="Cambria" w:hAnsiTheme="minorHAnsi" w:cs="Cambria"/>
            <w:sz w:val="18"/>
            <w:szCs w:val="18"/>
            <w:lang w:val="es-MX"/>
          </w:rPr>
          <w:t>25</w:t>
        </w:r>
        <w:r w:rsidRPr="0053683D">
          <w:rPr>
            <w:rStyle w:val="Hyperlink"/>
            <w:rFonts w:asciiTheme="minorHAnsi" w:eastAsia="Cambria" w:hAnsiTheme="minorHAnsi" w:cs="Cambria"/>
            <w:sz w:val="18"/>
            <w:szCs w:val="18"/>
            <w:lang w:val="es-MX"/>
          </w:rPr>
          <w:t xml:space="preserve"> de enero de 202</w:t>
        </w:r>
        <w:r w:rsidR="007B69C1" w:rsidRPr="0053683D">
          <w:rPr>
            <w:rStyle w:val="Hyperlink"/>
            <w:rFonts w:asciiTheme="minorHAnsi" w:eastAsia="Cambria" w:hAnsiTheme="minorHAnsi" w:cs="Cambria"/>
            <w:sz w:val="18"/>
            <w:szCs w:val="18"/>
            <w:lang w:val="es-MX"/>
          </w:rPr>
          <w:t>2</w:t>
        </w:r>
      </w:hyperlink>
      <w:r w:rsidRPr="0053683D">
        <w:rPr>
          <w:rFonts w:asciiTheme="minorHAnsi" w:eastAsia="Cambria" w:hAnsiTheme="minorHAnsi" w:cs="Cambria"/>
          <w:color w:val="000000"/>
          <w:sz w:val="18"/>
          <w:szCs w:val="18"/>
          <w:lang w:val="es-MX"/>
        </w:rPr>
        <w:t>. [En adelante “Observaciones y comentarios del Estado de 2</w:t>
      </w:r>
      <w:r w:rsidR="007B69C1" w:rsidRPr="0053683D">
        <w:rPr>
          <w:rFonts w:asciiTheme="minorHAnsi" w:eastAsia="Cambria" w:hAnsiTheme="minorHAnsi" w:cs="Cambria"/>
          <w:color w:val="000000"/>
          <w:sz w:val="18"/>
          <w:szCs w:val="18"/>
          <w:lang w:val="es-MX"/>
        </w:rPr>
        <w:t>4</w:t>
      </w:r>
      <w:r w:rsidRPr="0053683D">
        <w:rPr>
          <w:rFonts w:asciiTheme="minorHAnsi" w:eastAsia="Cambria" w:hAnsiTheme="minorHAnsi" w:cs="Cambria"/>
          <w:color w:val="000000"/>
          <w:sz w:val="18"/>
          <w:szCs w:val="18"/>
          <w:lang w:val="es-MX"/>
        </w:rPr>
        <w:t xml:space="preserve"> de enero de 202</w:t>
      </w:r>
      <w:r w:rsidR="007B69C1" w:rsidRPr="0053683D">
        <w:rPr>
          <w:rFonts w:asciiTheme="minorHAnsi" w:eastAsia="Cambria" w:hAnsiTheme="minorHAnsi" w:cs="Cambria"/>
          <w:color w:val="000000"/>
          <w:sz w:val="18"/>
          <w:szCs w:val="18"/>
          <w:lang w:val="es-MX"/>
        </w:rPr>
        <w:t>2</w:t>
      </w:r>
      <w:r w:rsidRPr="0053683D">
        <w:rPr>
          <w:rFonts w:asciiTheme="minorHAnsi" w:eastAsia="Cambria" w:hAnsiTheme="minorHAnsi" w:cs="Cambria"/>
          <w:color w:val="000000"/>
          <w:sz w:val="18"/>
          <w:szCs w:val="18"/>
          <w:lang w:val="es-MX"/>
        </w:rPr>
        <w:t>”]</w:t>
      </w:r>
    </w:p>
  </w:footnote>
  <w:footnote w:id="7">
    <w:p w14:paraId="14606BD4" w14:textId="60379E61" w:rsidR="000235D8" w:rsidRPr="000D1DE6" w:rsidRDefault="000235D8" w:rsidP="00F46807">
      <w:pPr>
        <w:pBdr>
          <w:top w:val="nil"/>
          <w:left w:val="nil"/>
          <w:bottom w:val="nil"/>
          <w:right w:val="nil"/>
          <w:between w:val="nil"/>
        </w:pBdr>
        <w:spacing w:after="120" w:line="240" w:lineRule="auto"/>
        <w:ind w:firstLine="720"/>
        <w:jc w:val="both"/>
        <w:rPr>
          <w:rFonts w:asciiTheme="minorHAnsi" w:eastAsia="Cambria" w:hAnsiTheme="minorHAnsi" w:cs="Cambria"/>
          <w:color w:val="000000"/>
          <w:sz w:val="18"/>
          <w:szCs w:val="18"/>
          <w:lang w:val="es-MX"/>
        </w:rPr>
      </w:pPr>
      <w:r w:rsidRPr="000D1DE6">
        <w:rPr>
          <w:rFonts w:asciiTheme="minorHAnsi" w:hAnsiTheme="minorHAnsi"/>
          <w:sz w:val="18"/>
          <w:szCs w:val="18"/>
          <w:vertAlign w:val="superscript"/>
          <w:lang w:val="es-MX"/>
        </w:rPr>
        <w:footnoteRef/>
      </w:r>
      <w:r w:rsidRPr="000D1DE6">
        <w:rPr>
          <w:rFonts w:asciiTheme="minorHAnsi" w:eastAsia="Cambria" w:hAnsiTheme="minorHAnsi" w:cs="Cambria"/>
          <w:color w:val="000000"/>
          <w:sz w:val="18"/>
          <w:szCs w:val="18"/>
          <w:lang w:val="es-MX"/>
        </w:rPr>
        <w:t xml:space="preserve"> Observaciones y comentarios del Estado de </w:t>
      </w:r>
      <w:r w:rsidR="007B69C1" w:rsidRPr="000D1DE6">
        <w:rPr>
          <w:rFonts w:asciiTheme="minorHAnsi" w:eastAsia="Cambria" w:hAnsiTheme="minorHAnsi" w:cs="Cambria"/>
          <w:color w:val="000000"/>
          <w:sz w:val="18"/>
          <w:szCs w:val="18"/>
          <w:lang w:val="es-MX"/>
        </w:rPr>
        <w:t>24 de enero</w:t>
      </w:r>
      <w:r w:rsidRPr="000D1DE6">
        <w:rPr>
          <w:rFonts w:asciiTheme="minorHAnsi" w:eastAsia="Cambria" w:hAnsiTheme="minorHAnsi" w:cs="Cambria"/>
          <w:color w:val="000000"/>
          <w:sz w:val="18"/>
          <w:szCs w:val="18"/>
          <w:lang w:val="es-MX"/>
        </w:rPr>
        <w:t xml:space="preserve"> de 2022, pág. 4. </w:t>
      </w:r>
    </w:p>
  </w:footnote>
  <w:footnote w:id="8">
    <w:p w14:paraId="5B602BBB" w14:textId="3AFEA103" w:rsidR="007B69C1" w:rsidRPr="000D1DE6" w:rsidRDefault="007B69C1" w:rsidP="00F46807">
      <w:pPr>
        <w:pBdr>
          <w:top w:val="nil"/>
          <w:left w:val="nil"/>
          <w:bottom w:val="nil"/>
          <w:right w:val="nil"/>
          <w:between w:val="nil"/>
        </w:pBdr>
        <w:spacing w:after="120" w:line="240" w:lineRule="auto"/>
        <w:ind w:firstLine="720"/>
        <w:jc w:val="both"/>
        <w:rPr>
          <w:rFonts w:asciiTheme="minorHAnsi" w:eastAsia="Cambria" w:hAnsiTheme="minorHAnsi" w:cs="Cambria"/>
          <w:color w:val="000000"/>
          <w:sz w:val="18"/>
          <w:szCs w:val="18"/>
          <w:lang w:val="es-MX"/>
        </w:rPr>
      </w:pPr>
      <w:r w:rsidRPr="000D1DE6">
        <w:rPr>
          <w:rStyle w:val="FootnoteReference"/>
        </w:rPr>
        <w:footnoteRef/>
      </w:r>
      <w:r w:rsidRPr="000D1DE6">
        <w:t xml:space="preserve"> </w:t>
      </w:r>
      <w:r w:rsidRPr="000D1DE6">
        <w:rPr>
          <w:rFonts w:asciiTheme="minorHAnsi" w:eastAsia="Cambria" w:hAnsiTheme="minorHAnsi" w:cs="Cambria"/>
          <w:color w:val="000000"/>
          <w:sz w:val="18"/>
          <w:szCs w:val="18"/>
          <w:lang w:val="es-MX"/>
        </w:rPr>
        <w:t xml:space="preserve">Observaciones y comentarios del Estado de 24 de enero de 2022, pág. 5. </w:t>
      </w:r>
    </w:p>
  </w:footnote>
  <w:footnote w:id="9">
    <w:p w14:paraId="14606BD5" w14:textId="02C271CB" w:rsidR="000235D8" w:rsidRPr="000D1DE6" w:rsidRDefault="000235D8" w:rsidP="00F46807">
      <w:pPr>
        <w:pBdr>
          <w:top w:val="nil"/>
          <w:left w:val="nil"/>
          <w:bottom w:val="nil"/>
          <w:right w:val="nil"/>
          <w:between w:val="nil"/>
        </w:pBdr>
        <w:spacing w:after="120" w:line="240" w:lineRule="auto"/>
        <w:ind w:firstLine="720"/>
        <w:jc w:val="both"/>
        <w:rPr>
          <w:rFonts w:asciiTheme="minorHAnsi" w:eastAsia="Cambria" w:hAnsiTheme="minorHAnsi" w:cs="Cambria"/>
          <w:color w:val="000000"/>
          <w:sz w:val="18"/>
          <w:szCs w:val="18"/>
          <w:lang w:val="es-MX"/>
        </w:rPr>
      </w:pPr>
      <w:r w:rsidRPr="000D1DE6">
        <w:rPr>
          <w:rFonts w:asciiTheme="minorHAnsi" w:hAnsiTheme="minorHAnsi"/>
          <w:sz w:val="18"/>
          <w:szCs w:val="18"/>
          <w:vertAlign w:val="superscript"/>
          <w:lang w:val="es-MX"/>
        </w:rPr>
        <w:footnoteRef/>
      </w:r>
      <w:r w:rsidRPr="000D1DE6">
        <w:rPr>
          <w:rFonts w:asciiTheme="minorHAnsi" w:eastAsia="Cambria" w:hAnsiTheme="minorHAnsi" w:cs="Cambria"/>
          <w:color w:val="000000"/>
          <w:sz w:val="18"/>
          <w:szCs w:val="18"/>
          <w:lang w:val="es-MX"/>
        </w:rPr>
        <w:t xml:space="preserve"> CIDH, </w:t>
      </w:r>
      <w:hyperlink r:id="rId2">
        <w:r w:rsidRPr="000D1DE6">
          <w:rPr>
            <w:rFonts w:asciiTheme="minorHAnsi" w:eastAsia="Cambria" w:hAnsiTheme="minorHAnsi" w:cs="Cambria"/>
            <w:color w:val="0000FF"/>
            <w:sz w:val="18"/>
            <w:szCs w:val="18"/>
            <w:u w:val="single"/>
            <w:lang w:val="es-MX"/>
          </w:rPr>
          <w:t>Directrices Generales de seguimiento de recomendaciones y decisiones de la Comisión Interamericana de Derechos Humanos</w:t>
        </w:r>
      </w:hyperlink>
      <w:r w:rsidRPr="000D1DE6">
        <w:rPr>
          <w:rFonts w:asciiTheme="minorHAnsi" w:eastAsia="Cambria" w:hAnsiTheme="minorHAnsi" w:cs="Cambria"/>
          <w:color w:val="000000"/>
          <w:sz w:val="18"/>
          <w:szCs w:val="18"/>
          <w:lang w:val="es-MX"/>
        </w:rPr>
        <w:t>, OEA/Ser.L/V/II.173 Doc. 177, 30 de septiembre de 2019</w:t>
      </w:r>
      <w:r w:rsidR="00064A28">
        <w:rPr>
          <w:rFonts w:asciiTheme="minorHAnsi" w:eastAsia="Cambria" w:hAnsiTheme="minorHAnsi" w:cs="Cambria"/>
          <w:color w:val="000000"/>
          <w:sz w:val="18"/>
          <w:szCs w:val="18"/>
          <w:lang w:val="es-MX"/>
        </w:rPr>
        <w:t>.</w:t>
      </w:r>
    </w:p>
  </w:footnote>
  <w:footnote w:id="10">
    <w:p w14:paraId="14606BD6" w14:textId="34DBBC15" w:rsidR="000235D8" w:rsidRPr="000D1DE6" w:rsidRDefault="000235D8" w:rsidP="00F46807">
      <w:pPr>
        <w:pBdr>
          <w:top w:val="nil"/>
          <w:left w:val="nil"/>
          <w:bottom w:val="nil"/>
          <w:right w:val="nil"/>
          <w:between w:val="nil"/>
        </w:pBdr>
        <w:spacing w:after="120" w:line="240" w:lineRule="auto"/>
        <w:ind w:firstLine="720"/>
        <w:jc w:val="both"/>
        <w:rPr>
          <w:rFonts w:asciiTheme="minorHAnsi" w:eastAsia="Cambria" w:hAnsiTheme="minorHAnsi" w:cs="Cambria"/>
          <w:color w:val="000000"/>
          <w:sz w:val="18"/>
          <w:szCs w:val="18"/>
          <w:lang w:val="es-MX"/>
        </w:rPr>
      </w:pPr>
      <w:r w:rsidRPr="000D1DE6">
        <w:rPr>
          <w:rFonts w:asciiTheme="minorHAnsi" w:hAnsiTheme="minorHAnsi"/>
          <w:sz w:val="18"/>
          <w:szCs w:val="18"/>
          <w:vertAlign w:val="superscript"/>
          <w:lang w:val="es-MX"/>
        </w:rPr>
        <w:footnoteRef/>
      </w:r>
      <w:r w:rsidRPr="000D1DE6">
        <w:rPr>
          <w:rFonts w:asciiTheme="minorHAnsi" w:eastAsia="Cambria" w:hAnsiTheme="minorHAnsi" w:cs="Cambria"/>
          <w:color w:val="000000"/>
          <w:sz w:val="18"/>
          <w:szCs w:val="18"/>
          <w:lang w:val="es-MX"/>
        </w:rPr>
        <w:t xml:space="preserve"> Noveno Informe del Estado mexicano sobre el cumplimiento y seguimiento de las recomendaciones contenidas en el informe “Situación de los Derechos Humanos en México”, págs. 4 – 5.</w:t>
      </w:r>
    </w:p>
  </w:footnote>
  <w:footnote w:id="11">
    <w:p w14:paraId="14606BD7" w14:textId="03CD77B3" w:rsidR="000235D8" w:rsidRPr="000D1DE6" w:rsidRDefault="000235D8" w:rsidP="00F46807">
      <w:pPr>
        <w:pBdr>
          <w:top w:val="nil"/>
          <w:left w:val="nil"/>
          <w:bottom w:val="nil"/>
          <w:right w:val="nil"/>
          <w:between w:val="nil"/>
        </w:pBdr>
        <w:spacing w:after="120" w:line="240" w:lineRule="auto"/>
        <w:ind w:firstLine="720"/>
        <w:jc w:val="both"/>
        <w:rPr>
          <w:rFonts w:asciiTheme="minorHAnsi" w:eastAsia="Cambria" w:hAnsiTheme="minorHAnsi" w:cs="Cambria"/>
          <w:color w:val="000000"/>
          <w:sz w:val="18"/>
          <w:szCs w:val="18"/>
          <w:lang w:val="es-MX"/>
        </w:rPr>
      </w:pPr>
      <w:r w:rsidRPr="000D1DE6">
        <w:rPr>
          <w:rFonts w:asciiTheme="minorHAnsi" w:hAnsiTheme="minorHAnsi"/>
          <w:sz w:val="18"/>
          <w:szCs w:val="18"/>
          <w:vertAlign w:val="superscript"/>
          <w:lang w:val="es-MX"/>
        </w:rPr>
        <w:footnoteRef/>
      </w:r>
      <w:r w:rsidRPr="000D1DE6">
        <w:rPr>
          <w:rFonts w:asciiTheme="minorHAnsi" w:eastAsia="Cambria" w:hAnsiTheme="minorHAnsi" w:cs="Cambria"/>
          <w:color w:val="000000"/>
          <w:sz w:val="18"/>
          <w:szCs w:val="18"/>
          <w:lang w:val="es-MX"/>
        </w:rPr>
        <w:t xml:space="preserve"> Noveno Informe del Estado mexicano sobre el cumplimiento y seguimiento de las recomendaciones contenidas en el informe “Situación de los Derechos Humanos en México”, págs. 5 – 7.</w:t>
      </w:r>
    </w:p>
  </w:footnote>
  <w:footnote w:id="12">
    <w:p w14:paraId="14606BD8" w14:textId="63977509" w:rsidR="000235D8" w:rsidRPr="000D1DE6" w:rsidRDefault="000235D8" w:rsidP="00F46807">
      <w:pPr>
        <w:pBdr>
          <w:top w:val="nil"/>
          <w:left w:val="nil"/>
          <w:bottom w:val="nil"/>
          <w:right w:val="nil"/>
          <w:between w:val="nil"/>
        </w:pBdr>
        <w:spacing w:after="120" w:line="240" w:lineRule="auto"/>
        <w:ind w:firstLine="720"/>
        <w:jc w:val="both"/>
        <w:rPr>
          <w:rFonts w:asciiTheme="minorHAnsi" w:eastAsia="Cambria" w:hAnsiTheme="minorHAnsi" w:cs="Cambria"/>
          <w:color w:val="000000"/>
          <w:sz w:val="18"/>
          <w:szCs w:val="18"/>
          <w:lang w:val="es-MX"/>
        </w:rPr>
      </w:pPr>
      <w:r w:rsidRPr="000D1DE6">
        <w:rPr>
          <w:rFonts w:asciiTheme="minorHAnsi" w:hAnsiTheme="minorHAnsi"/>
          <w:sz w:val="18"/>
          <w:szCs w:val="18"/>
          <w:vertAlign w:val="superscript"/>
          <w:lang w:val="es-MX"/>
        </w:rPr>
        <w:footnoteRef/>
      </w:r>
      <w:r w:rsidRPr="000D1DE6">
        <w:rPr>
          <w:rFonts w:asciiTheme="minorHAnsi" w:eastAsia="Cambria" w:hAnsiTheme="minorHAnsi" w:cs="Cambria"/>
          <w:color w:val="000000"/>
          <w:sz w:val="18"/>
          <w:szCs w:val="18"/>
          <w:lang w:val="es-MX"/>
        </w:rPr>
        <w:t xml:space="preserve"> Noveno Informe del Estado mexicano sobre el cumplimiento y seguimiento de las recomendaciones contenidas en el informe “Situación de los Derechos Humanos en México”, págs. 5 – 7.</w:t>
      </w:r>
    </w:p>
  </w:footnote>
  <w:footnote w:id="13">
    <w:p w14:paraId="14606BD9" w14:textId="08E43FF2" w:rsidR="000235D8" w:rsidRPr="000D1DE6" w:rsidRDefault="000235D8" w:rsidP="00F46807">
      <w:pPr>
        <w:pBdr>
          <w:top w:val="nil"/>
          <w:left w:val="nil"/>
          <w:bottom w:val="nil"/>
          <w:right w:val="nil"/>
          <w:between w:val="nil"/>
        </w:pBdr>
        <w:spacing w:after="120" w:line="240" w:lineRule="auto"/>
        <w:ind w:firstLine="720"/>
        <w:jc w:val="both"/>
        <w:rPr>
          <w:rFonts w:asciiTheme="minorHAnsi" w:eastAsia="Cambria" w:hAnsiTheme="minorHAnsi" w:cs="Cambria"/>
          <w:color w:val="000000"/>
          <w:sz w:val="18"/>
          <w:szCs w:val="18"/>
          <w:lang w:val="es-MX"/>
        </w:rPr>
      </w:pPr>
      <w:r w:rsidRPr="000D1DE6">
        <w:rPr>
          <w:rFonts w:asciiTheme="minorHAnsi" w:hAnsiTheme="minorHAnsi"/>
          <w:sz w:val="18"/>
          <w:szCs w:val="18"/>
          <w:vertAlign w:val="superscript"/>
          <w:lang w:val="es-MX"/>
        </w:rPr>
        <w:footnoteRef/>
      </w:r>
      <w:r w:rsidRPr="000D1DE6">
        <w:rPr>
          <w:rFonts w:asciiTheme="minorHAnsi" w:eastAsia="Cambria" w:hAnsiTheme="minorHAnsi" w:cs="Cambria"/>
          <w:color w:val="000000"/>
          <w:sz w:val="18"/>
          <w:szCs w:val="18"/>
          <w:lang w:val="es-MX"/>
        </w:rPr>
        <w:t xml:space="preserve"> Noveno Informe del Estado mexicano sobre el cumplimiento y seguimiento de las recomendaciones contenidas en el informe “Situación de los Derechos Humanos en México”, págs. 5 – 7.</w:t>
      </w:r>
    </w:p>
  </w:footnote>
  <w:footnote w:id="14">
    <w:p w14:paraId="14606BDA" w14:textId="77777777" w:rsidR="000235D8" w:rsidRPr="000D1DE6" w:rsidRDefault="000235D8" w:rsidP="00F46807">
      <w:pPr>
        <w:pBdr>
          <w:top w:val="nil"/>
          <w:left w:val="nil"/>
          <w:bottom w:val="nil"/>
          <w:right w:val="nil"/>
          <w:between w:val="nil"/>
        </w:pBdr>
        <w:spacing w:after="120" w:line="240" w:lineRule="auto"/>
        <w:ind w:firstLine="720"/>
        <w:jc w:val="both"/>
        <w:rPr>
          <w:rFonts w:asciiTheme="minorHAnsi" w:eastAsia="Cambria" w:hAnsiTheme="minorHAnsi" w:cs="Cambria"/>
          <w:color w:val="000000"/>
          <w:sz w:val="18"/>
          <w:szCs w:val="18"/>
          <w:lang w:val="es-MX"/>
        </w:rPr>
      </w:pPr>
      <w:r w:rsidRPr="000D1DE6">
        <w:rPr>
          <w:rFonts w:asciiTheme="minorHAnsi" w:hAnsiTheme="minorHAnsi"/>
          <w:sz w:val="18"/>
          <w:szCs w:val="18"/>
          <w:vertAlign w:val="superscript"/>
          <w:lang w:val="es-MX"/>
        </w:rPr>
        <w:footnoteRef/>
      </w:r>
      <w:r w:rsidRPr="000D1DE6">
        <w:rPr>
          <w:rFonts w:asciiTheme="minorHAnsi" w:eastAsia="Cambria" w:hAnsiTheme="minorHAnsi" w:cs="Cambria"/>
          <w:color w:val="000000"/>
          <w:sz w:val="18"/>
          <w:szCs w:val="18"/>
          <w:lang w:val="es-MX"/>
        </w:rPr>
        <w:t xml:space="preserve"> OACNUDH, </w:t>
      </w:r>
      <w:hyperlink r:id="rId3">
        <w:r w:rsidRPr="000D1DE6">
          <w:rPr>
            <w:rFonts w:asciiTheme="minorHAnsi" w:eastAsia="Cambria" w:hAnsiTheme="minorHAnsi" w:cs="Cambria"/>
            <w:color w:val="0000FF"/>
            <w:sz w:val="18"/>
            <w:szCs w:val="18"/>
            <w:u w:val="single"/>
            <w:lang w:val="es-MX"/>
          </w:rPr>
          <w:t>ONU-DH saluda la decisión del INAI que ordena a la Guardia Nacional hacer públicos sus informes sobre uso de la fuerza</w:t>
        </w:r>
      </w:hyperlink>
      <w:r w:rsidRPr="000D1DE6">
        <w:rPr>
          <w:rFonts w:asciiTheme="minorHAnsi" w:eastAsia="Cambria" w:hAnsiTheme="minorHAnsi" w:cs="Cambria"/>
          <w:color w:val="000000"/>
          <w:sz w:val="18"/>
          <w:szCs w:val="18"/>
          <w:lang w:val="es-MX"/>
        </w:rPr>
        <w:t xml:space="preserve">, 20 de septiembre de 2021. </w:t>
      </w:r>
    </w:p>
  </w:footnote>
  <w:footnote w:id="15">
    <w:p w14:paraId="14606BDB" w14:textId="2415B7BC" w:rsidR="000235D8" w:rsidRPr="000D1DE6" w:rsidRDefault="000235D8" w:rsidP="00F46807">
      <w:pPr>
        <w:spacing w:after="120" w:line="240" w:lineRule="auto"/>
        <w:ind w:firstLine="720"/>
        <w:jc w:val="both"/>
        <w:rPr>
          <w:rFonts w:asciiTheme="minorHAnsi" w:eastAsia="Cambria" w:hAnsiTheme="minorHAnsi" w:cs="Cambria"/>
          <w:sz w:val="18"/>
          <w:szCs w:val="18"/>
          <w:lang w:val="es-MX"/>
        </w:rPr>
      </w:pPr>
      <w:r w:rsidRPr="000D1DE6">
        <w:rPr>
          <w:rFonts w:asciiTheme="minorHAnsi" w:hAnsiTheme="minorHAnsi"/>
          <w:sz w:val="18"/>
          <w:szCs w:val="18"/>
          <w:vertAlign w:val="superscript"/>
          <w:lang w:val="es-MX"/>
        </w:rPr>
        <w:footnoteRef/>
      </w:r>
      <w:r w:rsidRPr="000D1DE6">
        <w:rPr>
          <w:rFonts w:asciiTheme="minorHAnsi" w:eastAsia="Cambria" w:hAnsiTheme="minorHAnsi" w:cs="Cambria"/>
          <w:sz w:val="18"/>
          <w:szCs w:val="18"/>
          <w:lang w:val="es-MX"/>
        </w:rPr>
        <w:t xml:space="preserve"> Centro PRODH. </w:t>
      </w:r>
      <w:hyperlink r:id="rId4">
        <w:r w:rsidRPr="000D1DE6">
          <w:rPr>
            <w:rFonts w:asciiTheme="minorHAnsi" w:eastAsia="Cambria" w:hAnsiTheme="minorHAnsi" w:cs="Cambria"/>
            <w:color w:val="0000FF"/>
            <w:sz w:val="18"/>
            <w:szCs w:val="18"/>
            <w:u w:val="single"/>
            <w:lang w:val="es-MX"/>
          </w:rPr>
          <w:t>Poder Militar. La Guardia Nacional y los riesgos del renovado protagonismo castrense</w:t>
        </w:r>
      </w:hyperlink>
      <w:r w:rsidRPr="000D1DE6">
        <w:rPr>
          <w:rFonts w:asciiTheme="minorHAnsi" w:eastAsia="Cambria" w:hAnsiTheme="minorHAnsi" w:cs="Cambria"/>
          <w:sz w:val="18"/>
          <w:szCs w:val="18"/>
          <w:lang w:val="es-MX"/>
        </w:rPr>
        <w:t xml:space="preserve">, junio de 2021, págs. 137 – 143 y 155 – 172; Centro PRODH, </w:t>
      </w:r>
      <w:hyperlink r:id="rId5" w:history="1">
        <w:r w:rsidRPr="000D1DE6">
          <w:rPr>
            <w:rStyle w:val="Hyperlink"/>
            <w:rFonts w:asciiTheme="minorHAnsi" w:eastAsia="Cambria" w:hAnsiTheme="minorHAnsi" w:cs="Cambria"/>
            <w:sz w:val="18"/>
            <w:szCs w:val="18"/>
            <w:lang w:val="es-MX"/>
          </w:rPr>
          <w:t>Dos años de la Guardia Nacional: poder militar</w:t>
        </w:r>
      </w:hyperlink>
      <w:r w:rsidRPr="000D1DE6">
        <w:rPr>
          <w:rFonts w:asciiTheme="minorHAnsi" w:eastAsia="Cambria" w:hAnsiTheme="minorHAnsi" w:cs="Cambria"/>
          <w:sz w:val="18"/>
          <w:szCs w:val="18"/>
          <w:lang w:val="es-MX"/>
        </w:rPr>
        <w:t>, 1 de julio de 2021.</w:t>
      </w:r>
    </w:p>
  </w:footnote>
  <w:footnote w:id="16">
    <w:p w14:paraId="14606BDC" w14:textId="1C0CB18E" w:rsidR="000235D8" w:rsidRPr="000D1DE6" w:rsidRDefault="000235D8" w:rsidP="00F46807">
      <w:pPr>
        <w:spacing w:after="120" w:line="240" w:lineRule="auto"/>
        <w:ind w:firstLine="720"/>
        <w:jc w:val="both"/>
        <w:rPr>
          <w:rFonts w:asciiTheme="minorHAnsi" w:eastAsia="Cambria" w:hAnsiTheme="minorHAnsi" w:cs="Cambria"/>
          <w:sz w:val="18"/>
          <w:szCs w:val="18"/>
          <w:lang w:val="es-MX"/>
        </w:rPr>
      </w:pPr>
      <w:r w:rsidRPr="000D1DE6">
        <w:rPr>
          <w:rFonts w:asciiTheme="minorHAnsi" w:hAnsiTheme="minorHAnsi"/>
          <w:sz w:val="18"/>
          <w:szCs w:val="18"/>
          <w:vertAlign w:val="superscript"/>
          <w:lang w:val="es-MX"/>
        </w:rPr>
        <w:footnoteRef/>
      </w:r>
      <w:r w:rsidRPr="000D1DE6">
        <w:rPr>
          <w:rFonts w:asciiTheme="minorHAnsi" w:eastAsia="Cambria" w:hAnsiTheme="minorHAnsi" w:cs="Cambria"/>
          <w:sz w:val="18"/>
          <w:szCs w:val="18"/>
          <w:lang w:val="es-MX"/>
        </w:rPr>
        <w:t xml:space="preserve"> ​​Arista, L, </w:t>
      </w:r>
      <w:hyperlink r:id="rId6" w:history="1">
        <w:r w:rsidRPr="000D1DE6">
          <w:rPr>
            <w:rStyle w:val="Hyperlink"/>
            <w:rFonts w:asciiTheme="minorHAnsi" w:eastAsia="Cambria" w:hAnsiTheme="minorHAnsi" w:cs="Cambria"/>
            <w:sz w:val="18"/>
            <w:szCs w:val="18"/>
            <w:lang w:val="es-MX"/>
          </w:rPr>
          <w:t>La Guardia Nacional suma 424 quejas por actos contra derechos humanos: 20 Al Mes. Expansión política</w:t>
        </w:r>
      </w:hyperlink>
      <w:r w:rsidRPr="000D1DE6">
        <w:rPr>
          <w:rFonts w:asciiTheme="minorHAnsi" w:eastAsia="Cambria" w:hAnsiTheme="minorHAnsi" w:cs="Cambria"/>
          <w:sz w:val="18"/>
          <w:szCs w:val="18"/>
          <w:lang w:val="es-MX"/>
        </w:rPr>
        <w:t>, 19 de abril de 2021.</w:t>
      </w:r>
    </w:p>
  </w:footnote>
  <w:footnote w:id="17">
    <w:p w14:paraId="14606BDD" w14:textId="7CA15AEA" w:rsidR="000235D8" w:rsidRPr="000D1DE6" w:rsidRDefault="000235D8" w:rsidP="00F46807">
      <w:pPr>
        <w:spacing w:after="120" w:line="240" w:lineRule="auto"/>
        <w:ind w:firstLine="720"/>
        <w:jc w:val="both"/>
        <w:rPr>
          <w:rFonts w:asciiTheme="minorHAnsi" w:eastAsia="Cambria" w:hAnsiTheme="minorHAnsi" w:cs="Cambria"/>
          <w:sz w:val="18"/>
          <w:szCs w:val="18"/>
          <w:lang w:val="es-MX"/>
        </w:rPr>
      </w:pPr>
      <w:r w:rsidRPr="000D1DE6">
        <w:rPr>
          <w:rFonts w:asciiTheme="minorHAnsi" w:hAnsiTheme="minorHAnsi"/>
          <w:sz w:val="18"/>
          <w:szCs w:val="18"/>
          <w:vertAlign w:val="superscript"/>
          <w:lang w:val="es-MX"/>
        </w:rPr>
        <w:footnoteRef/>
      </w:r>
      <w:r w:rsidRPr="000D1DE6">
        <w:rPr>
          <w:rFonts w:asciiTheme="minorHAnsi" w:eastAsia="Cambria" w:hAnsiTheme="minorHAnsi" w:cs="Cambria"/>
          <w:sz w:val="18"/>
          <w:szCs w:val="18"/>
          <w:lang w:val="es-MX"/>
        </w:rPr>
        <w:t xml:space="preserve"> Arista, L, </w:t>
      </w:r>
      <w:hyperlink r:id="rId7" w:history="1">
        <w:r w:rsidRPr="000D1DE6">
          <w:rPr>
            <w:rStyle w:val="Hyperlink"/>
            <w:rFonts w:asciiTheme="minorHAnsi" w:eastAsia="Cambria" w:hAnsiTheme="minorHAnsi" w:cs="Cambria"/>
            <w:sz w:val="18"/>
            <w:szCs w:val="18"/>
            <w:lang w:val="es-MX"/>
          </w:rPr>
          <w:t>La Guardia Nacional suma 424 quejas por actos contra derechos humanos: 20 Al Mes. Expansión política</w:t>
        </w:r>
      </w:hyperlink>
      <w:r w:rsidRPr="000D1DE6">
        <w:rPr>
          <w:rFonts w:asciiTheme="minorHAnsi" w:eastAsia="Cambria" w:hAnsiTheme="minorHAnsi" w:cs="Cambria"/>
          <w:sz w:val="18"/>
          <w:szCs w:val="18"/>
          <w:lang w:val="es-MX"/>
        </w:rPr>
        <w:t>, 19 de abril de 2021</w:t>
      </w:r>
      <w:r w:rsidR="00DD4A85">
        <w:rPr>
          <w:rFonts w:asciiTheme="minorHAnsi" w:eastAsia="Cambria" w:hAnsiTheme="minorHAnsi" w:cs="Cambria"/>
          <w:sz w:val="18"/>
          <w:szCs w:val="18"/>
          <w:lang w:val="es-MX"/>
        </w:rPr>
        <w:t>.</w:t>
      </w:r>
    </w:p>
  </w:footnote>
  <w:footnote w:id="18">
    <w:p w14:paraId="14606BDE" w14:textId="033B1427" w:rsidR="000235D8" w:rsidRPr="000D1DE6" w:rsidRDefault="000235D8" w:rsidP="00F46807">
      <w:pPr>
        <w:spacing w:after="120" w:line="240" w:lineRule="auto"/>
        <w:ind w:firstLine="720"/>
        <w:jc w:val="both"/>
        <w:rPr>
          <w:rFonts w:asciiTheme="minorHAnsi" w:hAnsiTheme="minorHAnsi"/>
          <w:sz w:val="18"/>
          <w:szCs w:val="18"/>
          <w:lang w:val="es-MX"/>
        </w:rPr>
      </w:pPr>
      <w:r w:rsidRPr="000D1DE6">
        <w:rPr>
          <w:rFonts w:asciiTheme="minorHAnsi" w:hAnsiTheme="minorHAnsi"/>
          <w:sz w:val="18"/>
          <w:szCs w:val="18"/>
          <w:vertAlign w:val="superscript"/>
          <w:lang w:val="es-MX"/>
        </w:rPr>
        <w:footnoteRef/>
      </w:r>
      <w:r w:rsidRPr="000D1DE6">
        <w:rPr>
          <w:rFonts w:asciiTheme="minorHAnsi" w:eastAsia="Cambria" w:hAnsiTheme="minorHAnsi" w:cs="Cambria"/>
          <w:sz w:val="18"/>
          <w:szCs w:val="18"/>
          <w:lang w:val="es-MX"/>
        </w:rPr>
        <w:t xml:space="preserve"> CIDH, </w:t>
      </w:r>
      <w:hyperlink r:id="rId8" w:history="1">
        <w:r w:rsidRPr="000D1DE6">
          <w:rPr>
            <w:rStyle w:val="Hyperlink"/>
            <w:rFonts w:asciiTheme="minorHAnsi" w:eastAsia="Cambria" w:hAnsiTheme="minorHAnsi" w:cs="Cambria"/>
            <w:sz w:val="18"/>
            <w:szCs w:val="18"/>
            <w:lang w:val="es-MX"/>
          </w:rPr>
          <w:t>Informe Anual. Capítulo V, México,</w:t>
        </w:r>
      </w:hyperlink>
      <w:r w:rsidRPr="000D1DE6">
        <w:rPr>
          <w:rFonts w:asciiTheme="minorHAnsi" w:eastAsia="Cambria" w:hAnsiTheme="minorHAnsi" w:cs="Cambria"/>
          <w:sz w:val="18"/>
          <w:szCs w:val="18"/>
          <w:lang w:val="es-MX"/>
        </w:rPr>
        <w:t xml:space="preserve"> 2020, párr. 22.</w:t>
      </w:r>
    </w:p>
  </w:footnote>
  <w:footnote w:id="19">
    <w:p w14:paraId="14606BDF" w14:textId="5CB6A50C" w:rsidR="000235D8" w:rsidRPr="000D1DE6" w:rsidRDefault="000235D8" w:rsidP="00F46807">
      <w:pPr>
        <w:spacing w:after="120" w:line="240" w:lineRule="auto"/>
        <w:ind w:firstLine="720"/>
        <w:jc w:val="both"/>
        <w:rPr>
          <w:rFonts w:asciiTheme="minorHAnsi" w:eastAsia="Cambria" w:hAnsiTheme="minorHAnsi" w:cs="Cambria"/>
          <w:sz w:val="18"/>
          <w:szCs w:val="18"/>
          <w:lang w:val="es-MX"/>
        </w:rPr>
      </w:pPr>
      <w:r w:rsidRPr="000D1DE6">
        <w:rPr>
          <w:rFonts w:asciiTheme="minorHAnsi" w:hAnsiTheme="minorHAnsi"/>
          <w:sz w:val="18"/>
          <w:szCs w:val="18"/>
          <w:vertAlign w:val="superscript"/>
          <w:lang w:val="es-MX"/>
        </w:rPr>
        <w:footnoteRef/>
      </w:r>
      <w:r w:rsidRPr="000D1DE6">
        <w:rPr>
          <w:rFonts w:asciiTheme="minorHAnsi" w:eastAsia="Cambria" w:hAnsiTheme="minorHAnsi" w:cs="Cambria"/>
          <w:sz w:val="18"/>
          <w:szCs w:val="18"/>
          <w:lang w:val="es-MX"/>
        </w:rPr>
        <w:t xml:space="preserve"> ​​SCJN, </w:t>
      </w:r>
      <w:hyperlink r:id="rId9" w:history="1">
        <w:r w:rsidRPr="000D1DE6">
          <w:rPr>
            <w:rStyle w:val="Hyperlink"/>
            <w:rFonts w:asciiTheme="minorHAnsi" w:eastAsia="Cambria" w:hAnsiTheme="minorHAnsi" w:cs="Cambria"/>
            <w:sz w:val="18"/>
            <w:szCs w:val="18"/>
            <w:lang w:val="es-MX"/>
          </w:rPr>
          <w:t>Controversia Constitucional 90/2020</w:t>
        </w:r>
      </w:hyperlink>
      <w:r w:rsidRPr="000D1DE6">
        <w:rPr>
          <w:rFonts w:asciiTheme="minorHAnsi" w:eastAsia="Cambria" w:hAnsiTheme="minorHAnsi" w:cs="Cambria"/>
          <w:sz w:val="18"/>
          <w:szCs w:val="18"/>
          <w:lang w:val="es-MX"/>
        </w:rPr>
        <w:t xml:space="preserve">, 23 de junio de 2020. </w:t>
      </w:r>
    </w:p>
  </w:footnote>
  <w:footnote w:id="20">
    <w:p w14:paraId="14606BE0" w14:textId="259B74C9" w:rsidR="000235D8" w:rsidRPr="000D1DE6" w:rsidRDefault="000235D8" w:rsidP="00F46807">
      <w:pPr>
        <w:spacing w:after="120" w:line="240" w:lineRule="auto"/>
        <w:ind w:firstLine="720"/>
        <w:jc w:val="both"/>
        <w:rPr>
          <w:rFonts w:asciiTheme="minorHAnsi" w:eastAsia="Cambria" w:hAnsiTheme="minorHAnsi" w:cs="Cambria"/>
          <w:sz w:val="18"/>
          <w:szCs w:val="18"/>
          <w:lang w:val="es-MX"/>
        </w:rPr>
      </w:pPr>
      <w:r w:rsidRPr="000D1DE6">
        <w:rPr>
          <w:rFonts w:asciiTheme="minorHAnsi" w:hAnsiTheme="minorHAnsi"/>
          <w:sz w:val="18"/>
          <w:szCs w:val="18"/>
          <w:vertAlign w:val="superscript"/>
          <w:lang w:val="es-MX"/>
        </w:rPr>
        <w:footnoteRef/>
      </w:r>
      <w:r w:rsidRPr="000D1DE6">
        <w:rPr>
          <w:rFonts w:asciiTheme="minorHAnsi" w:eastAsia="Cambria" w:hAnsiTheme="minorHAnsi" w:cs="Cambria"/>
          <w:sz w:val="18"/>
          <w:szCs w:val="18"/>
          <w:lang w:val="es-MX"/>
        </w:rPr>
        <w:t xml:space="preserve"> ​​Aristegui Noticias, </w:t>
      </w:r>
      <w:hyperlink r:id="rId10" w:history="1">
        <w:r w:rsidRPr="000D1DE6">
          <w:rPr>
            <w:rStyle w:val="Hyperlink"/>
            <w:rFonts w:asciiTheme="minorHAnsi" w:eastAsia="Cambria" w:hAnsiTheme="minorHAnsi" w:cs="Cambria"/>
            <w:sz w:val="18"/>
            <w:szCs w:val="18"/>
            <w:lang w:val="es-MX"/>
          </w:rPr>
          <w:t>“Llama Centro Prodh a la Corte a ser "contrapeso frente al proceso de profundización de la militarización"</w:t>
        </w:r>
      </w:hyperlink>
      <w:r w:rsidRPr="000D1DE6">
        <w:rPr>
          <w:rFonts w:asciiTheme="minorHAnsi" w:eastAsia="Cambria" w:hAnsiTheme="minorHAnsi" w:cs="Cambria"/>
          <w:sz w:val="18"/>
          <w:szCs w:val="18"/>
          <w:lang w:val="es-MX"/>
        </w:rPr>
        <w:t>, 2 de noviembre de 2021.</w:t>
      </w:r>
    </w:p>
  </w:footnote>
  <w:footnote w:id="21">
    <w:p w14:paraId="10C8B753" w14:textId="5529CDB3" w:rsidR="007B69C1" w:rsidRPr="000D1DE6" w:rsidRDefault="007B69C1" w:rsidP="00F46807">
      <w:pPr>
        <w:pStyle w:val="FootnoteText"/>
        <w:spacing w:after="120"/>
        <w:ind w:firstLine="720"/>
      </w:pPr>
      <w:r w:rsidRPr="000D1DE6">
        <w:rPr>
          <w:rStyle w:val="FootnoteReference"/>
        </w:rPr>
        <w:footnoteRef/>
      </w:r>
      <w:r w:rsidRPr="000D1DE6">
        <w:t xml:space="preserve"> </w:t>
      </w:r>
      <w:r w:rsidRPr="000D1DE6">
        <w:rPr>
          <w:rFonts w:asciiTheme="minorHAnsi" w:eastAsia="Cambria" w:hAnsiTheme="minorHAnsi" w:cs="Cambria"/>
          <w:color w:val="000000"/>
          <w:lang w:val="es-MX"/>
        </w:rPr>
        <w:t>Observaciones y comentarios del Estado de 24 de enero de 2022, pág. 5</w:t>
      </w:r>
      <w:r w:rsidR="00DD4A85">
        <w:rPr>
          <w:rFonts w:asciiTheme="minorHAnsi" w:eastAsia="Cambria" w:hAnsiTheme="minorHAnsi" w:cs="Cambria"/>
          <w:color w:val="000000"/>
          <w:lang w:val="es-MX"/>
        </w:rPr>
        <w:t>.</w:t>
      </w:r>
    </w:p>
  </w:footnote>
  <w:footnote w:id="22">
    <w:p w14:paraId="14606BE2" w14:textId="5D6ABBE9" w:rsidR="000235D8" w:rsidRPr="000D1DE6" w:rsidRDefault="000235D8" w:rsidP="00F46807">
      <w:pPr>
        <w:pBdr>
          <w:top w:val="nil"/>
          <w:left w:val="nil"/>
          <w:bottom w:val="nil"/>
          <w:right w:val="nil"/>
          <w:between w:val="nil"/>
        </w:pBdr>
        <w:spacing w:after="120" w:line="240" w:lineRule="auto"/>
        <w:ind w:firstLine="720"/>
        <w:jc w:val="both"/>
        <w:rPr>
          <w:rFonts w:asciiTheme="minorHAnsi" w:eastAsia="Cambria" w:hAnsiTheme="minorHAnsi" w:cs="Cambria"/>
          <w:sz w:val="18"/>
          <w:szCs w:val="18"/>
          <w:lang w:val="pt-BR"/>
        </w:rPr>
      </w:pPr>
      <w:r w:rsidRPr="000D1DE6">
        <w:rPr>
          <w:rFonts w:asciiTheme="minorHAnsi" w:hAnsiTheme="minorHAnsi"/>
          <w:sz w:val="18"/>
          <w:szCs w:val="18"/>
          <w:vertAlign w:val="superscript"/>
          <w:lang w:val="es-MX"/>
        </w:rPr>
        <w:footnoteRef/>
      </w:r>
      <w:r w:rsidRPr="000D1DE6">
        <w:rPr>
          <w:rFonts w:asciiTheme="minorHAnsi" w:eastAsia="Cambria" w:hAnsiTheme="minorHAnsi" w:cs="Cambria"/>
          <w:color w:val="000000"/>
          <w:sz w:val="18"/>
          <w:szCs w:val="18"/>
          <w:lang w:val="es-MX"/>
        </w:rPr>
        <w:t xml:space="preserve"> </w:t>
      </w:r>
      <w:r w:rsidRPr="000D1DE6">
        <w:rPr>
          <w:rFonts w:asciiTheme="minorHAnsi" w:eastAsia="Cambria" w:hAnsiTheme="minorHAnsi" w:cs="Cambria"/>
          <w:sz w:val="18"/>
          <w:szCs w:val="18"/>
          <w:lang w:val="es-MX"/>
        </w:rPr>
        <w:t xml:space="preserve">Noveno Informe del Estado mexicano sobre el cumplimiento y seguimiento de las recomendaciones contenidas en el informe “Situación de los Derechos Humanos en México”, págs. </w:t>
      </w:r>
      <w:r w:rsidRPr="000D1DE6">
        <w:rPr>
          <w:rFonts w:asciiTheme="minorHAnsi" w:eastAsia="Cambria" w:hAnsiTheme="minorHAnsi" w:cs="Cambria"/>
          <w:sz w:val="18"/>
          <w:szCs w:val="18"/>
          <w:lang w:val="pt-BR"/>
        </w:rPr>
        <w:t>5 – 7.</w:t>
      </w:r>
    </w:p>
  </w:footnote>
  <w:footnote w:id="23">
    <w:p w14:paraId="14606BE3" w14:textId="2EAFD329" w:rsidR="000235D8" w:rsidRPr="000D1DE6" w:rsidRDefault="000235D8" w:rsidP="00F46807">
      <w:pPr>
        <w:pBdr>
          <w:top w:val="nil"/>
          <w:left w:val="nil"/>
          <w:bottom w:val="nil"/>
          <w:right w:val="nil"/>
          <w:between w:val="nil"/>
        </w:pBdr>
        <w:spacing w:after="120" w:line="240" w:lineRule="auto"/>
        <w:ind w:firstLine="720"/>
        <w:jc w:val="both"/>
        <w:rPr>
          <w:rFonts w:asciiTheme="minorHAnsi" w:eastAsia="Cambria" w:hAnsiTheme="minorHAnsi" w:cs="Cambria"/>
          <w:color w:val="000000"/>
          <w:sz w:val="18"/>
          <w:szCs w:val="18"/>
          <w:lang w:val="pt-BR"/>
        </w:rPr>
      </w:pPr>
      <w:r w:rsidRPr="000D1DE6">
        <w:rPr>
          <w:rFonts w:asciiTheme="minorHAnsi" w:hAnsiTheme="minorHAnsi"/>
          <w:sz w:val="18"/>
          <w:szCs w:val="18"/>
          <w:vertAlign w:val="superscript"/>
          <w:lang w:val="es-MX"/>
        </w:rPr>
        <w:footnoteRef/>
      </w:r>
      <w:r w:rsidRPr="000D1DE6">
        <w:rPr>
          <w:rFonts w:asciiTheme="minorHAnsi" w:eastAsia="Cambria" w:hAnsiTheme="minorHAnsi" w:cs="Cambria"/>
          <w:color w:val="000000"/>
          <w:sz w:val="18"/>
          <w:szCs w:val="18"/>
          <w:lang w:val="pt-BR"/>
        </w:rPr>
        <w:t xml:space="preserve"> CIDH, </w:t>
      </w:r>
      <w:hyperlink r:id="rId11">
        <w:r w:rsidRPr="000D1DE6">
          <w:rPr>
            <w:rFonts w:asciiTheme="minorHAnsi" w:eastAsia="Cambria" w:hAnsiTheme="minorHAnsi" w:cs="Cambria"/>
            <w:color w:val="0000FF"/>
            <w:sz w:val="18"/>
            <w:szCs w:val="18"/>
            <w:u w:val="single"/>
            <w:lang w:val="pt-BR"/>
          </w:rPr>
          <w:t>Informe Anual. Capítulo V, México</w:t>
        </w:r>
      </w:hyperlink>
      <w:r w:rsidRPr="000D1DE6">
        <w:rPr>
          <w:rFonts w:asciiTheme="minorHAnsi" w:eastAsia="Cambria" w:hAnsiTheme="minorHAnsi" w:cs="Cambria"/>
          <w:color w:val="000000"/>
          <w:sz w:val="18"/>
          <w:szCs w:val="18"/>
          <w:lang w:val="pt-BR"/>
        </w:rPr>
        <w:t>, 2019, párr. 28-29.</w:t>
      </w:r>
    </w:p>
  </w:footnote>
  <w:footnote w:id="24">
    <w:p w14:paraId="1013E4A3" w14:textId="43EC6032" w:rsidR="000235D8" w:rsidRPr="000D1DE6" w:rsidRDefault="000235D8" w:rsidP="00F46807">
      <w:pPr>
        <w:spacing w:after="120" w:line="240" w:lineRule="auto"/>
        <w:ind w:firstLine="720"/>
        <w:jc w:val="both"/>
        <w:rPr>
          <w:rFonts w:asciiTheme="minorHAnsi" w:eastAsia="Cambria" w:hAnsiTheme="minorHAnsi" w:cs="Cambria"/>
          <w:sz w:val="18"/>
          <w:szCs w:val="18"/>
          <w:lang w:val="es-MX"/>
        </w:rPr>
      </w:pPr>
      <w:r w:rsidRPr="000D1DE6">
        <w:rPr>
          <w:rFonts w:asciiTheme="minorHAnsi" w:hAnsiTheme="minorHAnsi"/>
          <w:sz w:val="18"/>
          <w:szCs w:val="18"/>
          <w:vertAlign w:val="superscript"/>
          <w:lang w:val="es-MX"/>
        </w:rPr>
        <w:footnoteRef/>
      </w:r>
      <w:r w:rsidRPr="000D1DE6">
        <w:rPr>
          <w:rFonts w:asciiTheme="minorHAnsi" w:eastAsia="Cambria" w:hAnsiTheme="minorHAnsi" w:cs="Cambria"/>
          <w:sz w:val="18"/>
          <w:szCs w:val="18"/>
          <w:lang w:val="pt-BR"/>
        </w:rPr>
        <w:t xml:space="preserve"> CIDH, </w:t>
      </w:r>
      <w:hyperlink r:id="rId12">
        <w:r w:rsidRPr="000D1DE6">
          <w:rPr>
            <w:rFonts w:asciiTheme="minorHAnsi" w:eastAsia="Cambria" w:hAnsiTheme="minorHAnsi" w:cs="Cambria"/>
            <w:color w:val="0000FF"/>
            <w:sz w:val="18"/>
            <w:szCs w:val="18"/>
            <w:u w:val="single"/>
            <w:lang w:val="pt-BR"/>
          </w:rPr>
          <w:t xml:space="preserve">Informe Anual. </w:t>
        </w:r>
        <w:r w:rsidRPr="000D1DE6">
          <w:rPr>
            <w:rFonts w:asciiTheme="minorHAnsi" w:eastAsia="Cambria" w:hAnsiTheme="minorHAnsi" w:cs="Cambria"/>
            <w:color w:val="0000FF"/>
            <w:sz w:val="18"/>
            <w:szCs w:val="18"/>
            <w:u w:val="single"/>
            <w:lang w:val="es-MX"/>
          </w:rPr>
          <w:t>Capítulo V, México</w:t>
        </w:r>
      </w:hyperlink>
      <w:r w:rsidRPr="000D1DE6">
        <w:rPr>
          <w:rFonts w:asciiTheme="minorHAnsi" w:eastAsia="Cambria" w:hAnsiTheme="minorHAnsi" w:cs="Cambria"/>
          <w:sz w:val="18"/>
          <w:szCs w:val="18"/>
          <w:lang w:val="es-MX"/>
        </w:rPr>
        <w:t xml:space="preserve">, 2020, párr. 27. </w:t>
      </w:r>
    </w:p>
  </w:footnote>
  <w:footnote w:id="25">
    <w:p w14:paraId="14606BE4" w14:textId="23806A48" w:rsidR="000235D8" w:rsidRPr="000D1DE6" w:rsidRDefault="000235D8" w:rsidP="00F46807">
      <w:pPr>
        <w:pBdr>
          <w:top w:val="nil"/>
          <w:left w:val="nil"/>
          <w:bottom w:val="nil"/>
          <w:right w:val="nil"/>
          <w:between w:val="nil"/>
        </w:pBdr>
        <w:spacing w:after="120" w:line="240" w:lineRule="auto"/>
        <w:ind w:firstLine="720"/>
        <w:jc w:val="both"/>
        <w:rPr>
          <w:rFonts w:asciiTheme="minorHAnsi" w:eastAsia="Cambria" w:hAnsiTheme="minorHAnsi" w:cs="Cambria"/>
          <w:sz w:val="18"/>
          <w:szCs w:val="18"/>
          <w:lang w:val="es-MX"/>
        </w:rPr>
      </w:pPr>
      <w:r w:rsidRPr="000D1DE6">
        <w:rPr>
          <w:rFonts w:asciiTheme="minorHAnsi" w:hAnsiTheme="minorHAnsi"/>
          <w:sz w:val="18"/>
          <w:szCs w:val="18"/>
          <w:vertAlign w:val="superscript"/>
          <w:lang w:val="es-MX"/>
        </w:rPr>
        <w:footnoteRef/>
      </w:r>
      <w:r w:rsidRPr="000D1DE6">
        <w:rPr>
          <w:rFonts w:asciiTheme="minorHAnsi" w:eastAsia="Cambria" w:hAnsiTheme="minorHAnsi" w:cs="Cambria"/>
          <w:color w:val="000000"/>
          <w:sz w:val="18"/>
          <w:szCs w:val="18"/>
          <w:lang w:val="es-MX"/>
        </w:rPr>
        <w:t xml:space="preserve"> Cámara de Diputados, </w:t>
      </w:r>
      <w:hyperlink r:id="rId13">
        <w:r w:rsidRPr="000D1DE6">
          <w:rPr>
            <w:rFonts w:asciiTheme="minorHAnsi" w:eastAsia="Cambria" w:hAnsiTheme="minorHAnsi" w:cs="Cambria"/>
            <w:color w:val="0000FF"/>
            <w:sz w:val="18"/>
            <w:szCs w:val="18"/>
            <w:u w:val="single"/>
            <w:lang w:val="es-MX"/>
          </w:rPr>
          <w:t>Ley Nacional sobre el uso de la fuerza</w:t>
        </w:r>
      </w:hyperlink>
      <w:r w:rsidRPr="000D1DE6">
        <w:rPr>
          <w:rFonts w:asciiTheme="minorHAnsi" w:eastAsia="Cambria" w:hAnsiTheme="minorHAnsi" w:cs="Cambria"/>
          <w:sz w:val="18"/>
          <w:szCs w:val="18"/>
          <w:lang w:val="es-MX"/>
        </w:rPr>
        <w:t xml:space="preserve">, 27 de mayo de 2019. </w:t>
      </w:r>
    </w:p>
  </w:footnote>
  <w:footnote w:id="26">
    <w:p w14:paraId="14606BE5" w14:textId="20D76CFE" w:rsidR="000235D8" w:rsidRPr="000D1DE6" w:rsidRDefault="000235D8" w:rsidP="00F46807">
      <w:pPr>
        <w:pBdr>
          <w:top w:val="nil"/>
          <w:left w:val="nil"/>
          <w:bottom w:val="nil"/>
          <w:right w:val="nil"/>
          <w:between w:val="nil"/>
        </w:pBdr>
        <w:spacing w:after="120" w:line="240" w:lineRule="auto"/>
        <w:ind w:firstLine="720"/>
        <w:jc w:val="both"/>
        <w:rPr>
          <w:rFonts w:asciiTheme="minorHAnsi" w:eastAsia="Cambria" w:hAnsiTheme="minorHAnsi" w:cs="Cambria"/>
          <w:color w:val="000000"/>
          <w:sz w:val="18"/>
          <w:szCs w:val="18"/>
          <w:lang w:val="es-MX"/>
        </w:rPr>
      </w:pPr>
      <w:r w:rsidRPr="000D1DE6">
        <w:rPr>
          <w:rFonts w:asciiTheme="minorHAnsi" w:hAnsiTheme="minorHAnsi"/>
          <w:sz w:val="18"/>
          <w:szCs w:val="18"/>
          <w:vertAlign w:val="superscript"/>
          <w:lang w:val="es-MX"/>
        </w:rPr>
        <w:footnoteRef/>
      </w:r>
      <w:r w:rsidRPr="000D1DE6">
        <w:rPr>
          <w:rFonts w:asciiTheme="minorHAnsi" w:eastAsia="Cambria" w:hAnsiTheme="minorHAnsi" w:cs="Cambria"/>
          <w:color w:val="000000"/>
          <w:sz w:val="18"/>
          <w:szCs w:val="18"/>
          <w:lang w:val="es-MX"/>
        </w:rPr>
        <w:t xml:space="preserve"> </w:t>
      </w:r>
      <w:r w:rsidRPr="000D1DE6">
        <w:rPr>
          <w:rFonts w:asciiTheme="minorHAnsi" w:eastAsia="Cambria" w:hAnsiTheme="minorHAnsi" w:cs="Cambria"/>
          <w:sz w:val="18"/>
          <w:szCs w:val="18"/>
          <w:lang w:val="es-MX"/>
        </w:rPr>
        <w:t xml:space="preserve">Cámara de Diputados, </w:t>
      </w:r>
      <w:hyperlink r:id="rId14">
        <w:r w:rsidRPr="000D1DE6">
          <w:rPr>
            <w:rFonts w:asciiTheme="minorHAnsi" w:eastAsia="Cambria" w:hAnsiTheme="minorHAnsi" w:cs="Cambria"/>
            <w:color w:val="0000FF"/>
            <w:sz w:val="18"/>
            <w:szCs w:val="18"/>
            <w:u w:val="single"/>
            <w:lang w:val="es-MX"/>
          </w:rPr>
          <w:t>Ley Nacional sobre el uso de la fuerza</w:t>
        </w:r>
      </w:hyperlink>
      <w:r w:rsidRPr="000D1DE6">
        <w:rPr>
          <w:rFonts w:asciiTheme="minorHAnsi" w:eastAsia="Cambria" w:hAnsiTheme="minorHAnsi" w:cs="Cambria"/>
          <w:sz w:val="18"/>
          <w:szCs w:val="18"/>
          <w:lang w:val="es-MX"/>
        </w:rPr>
        <w:t xml:space="preserve">, 27 de mayo de 2019. </w:t>
      </w:r>
    </w:p>
  </w:footnote>
  <w:footnote w:id="27">
    <w:p w14:paraId="14606BE6" w14:textId="10FD8E29" w:rsidR="000235D8" w:rsidRPr="000D1DE6" w:rsidRDefault="000235D8" w:rsidP="00F46807">
      <w:pPr>
        <w:spacing w:after="120" w:line="240" w:lineRule="auto"/>
        <w:ind w:firstLine="720"/>
        <w:jc w:val="both"/>
        <w:rPr>
          <w:rFonts w:asciiTheme="minorHAnsi" w:eastAsia="Cambria" w:hAnsiTheme="minorHAnsi" w:cs="Cambria"/>
          <w:sz w:val="18"/>
          <w:szCs w:val="18"/>
          <w:lang w:val="es-MX"/>
        </w:rPr>
      </w:pPr>
      <w:r w:rsidRPr="000D1DE6">
        <w:rPr>
          <w:rFonts w:asciiTheme="minorHAnsi" w:hAnsiTheme="minorHAnsi"/>
          <w:sz w:val="18"/>
          <w:szCs w:val="18"/>
          <w:vertAlign w:val="superscript"/>
          <w:lang w:val="es-MX"/>
        </w:rPr>
        <w:footnoteRef/>
      </w:r>
      <w:r w:rsidRPr="000D1DE6">
        <w:rPr>
          <w:rFonts w:asciiTheme="minorHAnsi" w:eastAsia="Cambria" w:hAnsiTheme="minorHAnsi" w:cs="Cambria"/>
          <w:sz w:val="18"/>
          <w:szCs w:val="18"/>
          <w:lang w:val="es-MX"/>
        </w:rPr>
        <w:t xml:space="preserve"> SCJN, Comunicado de prensa No. 326/2021, </w:t>
      </w:r>
      <w:hyperlink r:id="rId15" w:history="1">
        <w:r w:rsidRPr="000D1DE6">
          <w:rPr>
            <w:rStyle w:val="Hyperlink"/>
            <w:rFonts w:asciiTheme="minorHAnsi" w:eastAsia="Cambria" w:hAnsiTheme="minorHAnsi" w:cs="Cambria"/>
            <w:sz w:val="18"/>
            <w:szCs w:val="18"/>
            <w:lang w:val="es-MX"/>
          </w:rPr>
          <w:t>La Suprema Corte declara la existencia de diversas omisiones legislativas, así como la invalidez de una porción normativa de la Ley Nacional sobre el Uso de la Fuerza</w:t>
        </w:r>
      </w:hyperlink>
      <w:r w:rsidRPr="000D1DE6">
        <w:rPr>
          <w:rFonts w:asciiTheme="minorHAnsi" w:eastAsia="Cambria" w:hAnsiTheme="minorHAnsi" w:cs="Cambria"/>
          <w:sz w:val="18"/>
          <w:szCs w:val="18"/>
          <w:lang w:val="es-MX"/>
        </w:rPr>
        <w:t>, 26 de octubre de 2021.</w:t>
      </w:r>
    </w:p>
  </w:footnote>
  <w:footnote w:id="28">
    <w:p w14:paraId="14606BE7" w14:textId="20BE4EF8" w:rsidR="000235D8" w:rsidRPr="000D1DE6" w:rsidRDefault="000235D8" w:rsidP="00F46807">
      <w:pPr>
        <w:spacing w:after="120" w:line="240" w:lineRule="auto"/>
        <w:ind w:firstLine="720"/>
        <w:jc w:val="both"/>
        <w:rPr>
          <w:rFonts w:asciiTheme="minorHAnsi" w:eastAsia="Cambria" w:hAnsiTheme="minorHAnsi" w:cs="Cambria"/>
          <w:sz w:val="18"/>
          <w:szCs w:val="18"/>
          <w:lang w:val="es-MX"/>
        </w:rPr>
      </w:pPr>
      <w:r w:rsidRPr="000D1DE6">
        <w:rPr>
          <w:rFonts w:asciiTheme="minorHAnsi" w:hAnsiTheme="minorHAnsi"/>
          <w:sz w:val="18"/>
          <w:szCs w:val="18"/>
          <w:vertAlign w:val="superscript"/>
          <w:lang w:val="es-MX"/>
        </w:rPr>
        <w:footnoteRef/>
      </w:r>
      <w:r w:rsidRPr="000D1DE6">
        <w:rPr>
          <w:rFonts w:asciiTheme="minorHAnsi" w:eastAsia="Cambria" w:hAnsiTheme="minorHAnsi" w:cs="Cambria"/>
          <w:sz w:val="18"/>
          <w:szCs w:val="18"/>
          <w:lang w:val="es-MX"/>
        </w:rPr>
        <w:t xml:space="preserve"> Centro PRODH, </w:t>
      </w:r>
      <w:hyperlink r:id="rId16" w:history="1">
        <w:r w:rsidRPr="000D1DE6">
          <w:rPr>
            <w:rStyle w:val="Hyperlink"/>
            <w:rFonts w:asciiTheme="minorHAnsi" w:eastAsia="Cambria" w:hAnsiTheme="minorHAnsi" w:cs="Cambria"/>
            <w:sz w:val="18"/>
            <w:szCs w:val="18"/>
            <w:lang w:val="es-MX"/>
          </w:rPr>
          <w:t>Valida SCJN normas ambiguas sobre uso de la fuerza letal y protesta</w:t>
        </w:r>
      </w:hyperlink>
      <w:r w:rsidRPr="000D1DE6">
        <w:rPr>
          <w:rFonts w:asciiTheme="minorHAnsi" w:eastAsia="Cambria" w:hAnsiTheme="minorHAnsi" w:cs="Cambria"/>
          <w:sz w:val="18"/>
          <w:szCs w:val="18"/>
          <w:lang w:val="es-MX"/>
        </w:rPr>
        <w:t>, 27 de octubre de 2021.</w:t>
      </w:r>
    </w:p>
  </w:footnote>
  <w:footnote w:id="29">
    <w:p w14:paraId="7D4C0FDD" w14:textId="64FD6263" w:rsidR="007B69C1" w:rsidRPr="000D1DE6" w:rsidRDefault="007B69C1" w:rsidP="00F46807">
      <w:pPr>
        <w:pStyle w:val="FootnoteText"/>
        <w:spacing w:after="120"/>
        <w:ind w:firstLine="720"/>
      </w:pPr>
      <w:r w:rsidRPr="000D1DE6">
        <w:rPr>
          <w:rStyle w:val="FootnoteReference"/>
        </w:rPr>
        <w:footnoteRef/>
      </w:r>
      <w:r w:rsidRPr="000D1DE6">
        <w:t xml:space="preserve"> </w:t>
      </w:r>
      <w:r w:rsidRPr="000D1DE6">
        <w:rPr>
          <w:rFonts w:asciiTheme="minorHAnsi" w:eastAsia="Cambria" w:hAnsiTheme="minorHAnsi" w:cs="Cambria"/>
          <w:color w:val="000000"/>
          <w:lang w:val="es-MX"/>
        </w:rPr>
        <w:t>Observaciones y comentarios del Estado de 24 de enero de 2022, págs. 5-6</w:t>
      </w:r>
      <w:r w:rsidR="00F46807">
        <w:rPr>
          <w:rFonts w:asciiTheme="minorHAnsi" w:eastAsia="Cambria" w:hAnsiTheme="minorHAnsi" w:cs="Cambria"/>
          <w:color w:val="000000"/>
          <w:lang w:val="es-MX"/>
        </w:rPr>
        <w:t>.</w:t>
      </w:r>
    </w:p>
  </w:footnote>
  <w:footnote w:id="30">
    <w:p w14:paraId="14606BE9" w14:textId="33C89964" w:rsidR="000235D8" w:rsidRPr="000D1DE6" w:rsidRDefault="000235D8" w:rsidP="00F46807">
      <w:pPr>
        <w:spacing w:after="120" w:line="240" w:lineRule="auto"/>
        <w:ind w:firstLine="720"/>
        <w:jc w:val="both"/>
        <w:rPr>
          <w:rFonts w:asciiTheme="minorHAnsi" w:eastAsia="Cambria" w:hAnsiTheme="minorHAnsi" w:cs="Cambria"/>
          <w:sz w:val="18"/>
          <w:szCs w:val="18"/>
          <w:lang w:val="es-MX"/>
        </w:rPr>
      </w:pPr>
      <w:r w:rsidRPr="000D1DE6">
        <w:rPr>
          <w:rFonts w:asciiTheme="minorHAnsi" w:hAnsiTheme="minorHAnsi"/>
          <w:sz w:val="18"/>
          <w:szCs w:val="18"/>
          <w:vertAlign w:val="superscript"/>
          <w:lang w:val="es-MX"/>
        </w:rPr>
        <w:footnoteRef/>
      </w:r>
      <w:r w:rsidRPr="000D1DE6">
        <w:rPr>
          <w:rFonts w:asciiTheme="minorHAnsi" w:eastAsia="Cambria" w:hAnsiTheme="minorHAnsi" w:cs="Cambria"/>
          <w:sz w:val="18"/>
          <w:szCs w:val="18"/>
          <w:lang w:val="es-MX"/>
        </w:rPr>
        <w:t xml:space="preserve"> CIDH, Audiencia Pública, </w:t>
      </w:r>
      <w:hyperlink r:id="rId17" w:history="1">
        <w:r w:rsidRPr="000D1DE6">
          <w:rPr>
            <w:rStyle w:val="Hyperlink"/>
            <w:rFonts w:asciiTheme="minorHAnsi" w:eastAsia="Cambria" w:hAnsiTheme="minorHAnsi" w:cs="Cambria"/>
            <w:sz w:val="18"/>
            <w:szCs w:val="18"/>
            <w:lang w:val="es-MX"/>
          </w:rPr>
          <w:t>Situación de los derechos humanos de mujeres y niñas en el contexto de las protestas en México</w:t>
        </w:r>
      </w:hyperlink>
      <w:r w:rsidRPr="000D1DE6">
        <w:rPr>
          <w:rFonts w:asciiTheme="minorHAnsi" w:eastAsia="Cambria" w:hAnsiTheme="minorHAnsi" w:cs="Cambria"/>
          <w:color w:val="1155CC"/>
          <w:sz w:val="18"/>
          <w:szCs w:val="18"/>
          <w:u w:val="single"/>
          <w:lang w:val="es-MX"/>
        </w:rPr>
        <w:t>,</w:t>
      </w:r>
      <w:r w:rsidRPr="000D1DE6">
        <w:rPr>
          <w:rFonts w:asciiTheme="minorHAnsi" w:eastAsia="Cambria" w:hAnsiTheme="minorHAnsi" w:cs="Cambria"/>
          <w:sz w:val="18"/>
          <w:szCs w:val="18"/>
          <w:lang w:val="es-MX"/>
        </w:rPr>
        <w:t xml:space="preserve"> 181 período de sesiones, Washington, D.C., 27 de octubre de 2021. </w:t>
      </w:r>
    </w:p>
  </w:footnote>
  <w:footnote w:id="31">
    <w:p w14:paraId="12B294C9" w14:textId="1541CE96" w:rsidR="000235D8" w:rsidRPr="000D1DE6" w:rsidRDefault="000235D8" w:rsidP="00F46807">
      <w:pPr>
        <w:pStyle w:val="FootnoteText"/>
        <w:spacing w:after="120"/>
        <w:ind w:firstLine="720"/>
        <w:rPr>
          <w:rFonts w:asciiTheme="minorHAnsi" w:hAnsiTheme="minorHAnsi"/>
        </w:rPr>
      </w:pPr>
      <w:r w:rsidRPr="000D1DE6">
        <w:rPr>
          <w:rStyle w:val="FootnoteReference"/>
          <w:rFonts w:asciiTheme="minorHAnsi" w:hAnsiTheme="minorHAnsi"/>
        </w:rPr>
        <w:footnoteRef/>
      </w:r>
      <w:r w:rsidRPr="000D1DE6">
        <w:rPr>
          <w:rFonts w:asciiTheme="minorHAnsi" w:hAnsiTheme="minorHAnsi"/>
        </w:rPr>
        <w:t xml:space="preserve"> </w:t>
      </w:r>
      <w:r w:rsidRPr="000D1DE6">
        <w:rPr>
          <w:rFonts w:asciiTheme="minorHAnsi" w:hAnsiTheme="minorHAnsi"/>
          <w:lang w:val="es-MX"/>
        </w:rPr>
        <w:t xml:space="preserve">La CIDH continuará monitoreando la implementación de la norma en contextos de protesta social, preocupaciones en materia del uso de la fuerza letal en contextos de protesta social y los mecanismos de rendición de cuentas según lo señalado en los párrafos 23 y 24 del presente informe. </w:t>
      </w:r>
    </w:p>
  </w:footnote>
  <w:footnote w:id="32">
    <w:p w14:paraId="69E69401" w14:textId="57BCDEAA" w:rsidR="000235D8" w:rsidRPr="000D1DE6" w:rsidRDefault="000235D8" w:rsidP="00F46807">
      <w:pPr>
        <w:pStyle w:val="FootnoteText"/>
        <w:spacing w:after="120"/>
        <w:ind w:firstLine="720"/>
        <w:rPr>
          <w:rFonts w:asciiTheme="minorHAnsi" w:hAnsiTheme="minorHAnsi"/>
        </w:rPr>
      </w:pPr>
      <w:r w:rsidRPr="000D1DE6">
        <w:rPr>
          <w:rStyle w:val="FootnoteReference"/>
          <w:rFonts w:asciiTheme="minorHAnsi" w:hAnsiTheme="minorHAnsi"/>
        </w:rPr>
        <w:footnoteRef/>
      </w:r>
      <w:r w:rsidRPr="000D1DE6">
        <w:rPr>
          <w:rFonts w:asciiTheme="minorHAnsi" w:hAnsiTheme="minorHAnsi"/>
        </w:rPr>
        <w:t xml:space="preserve"> Forbes, </w:t>
      </w:r>
      <w:hyperlink r:id="rId18" w:history="1">
        <w:r w:rsidRPr="000D1DE6">
          <w:rPr>
            <w:rStyle w:val="Hyperlink"/>
            <w:rFonts w:asciiTheme="minorHAnsi" w:hAnsiTheme="minorHAnsi"/>
          </w:rPr>
          <w:t>AMLO defiende a militares y anuncia que comenzarán a repartir medicamentos</w:t>
        </w:r>
      </w:hyperlink>
      <w:r w:rsidRPr="000D1DE6">
        <w:rPr>
          <w:rFonts w:asciiTheme="minorHAnsi" w:hAnsiTheme="minorHAnsi"/>
        </w:rPr>
        <w:t xml:space="preserve">, 1 de diciembre de 2021. </w:t>
      </w:r>
    </w:p>
  </w:footnote>
  <w:footnote w:id="33">
    <w:p w14:paraId="7D37B51F" w14:textId="760C8C0A" w:rsidR="000235D8" w:rsidRPr="000D1DE6" w:rsidRDefault="000235D8" w:rsidP="00F46807">
      <w:pPr>
        <w:pBdr>
          <w:top w:val="nil"/>
          <w:left w:val="nil"/>
          <w:bottom w:val="nil"/>
          <w:right w:val="nil"/>
          <w:between w:val="nil"/>
        </w:pBdr>
        <w:spacing w:after="120" w:line="240" w:lineRule="auto"/>
        <w:ind w:firstLine="720"/>
        <w:jc w:val="both"/>
        <w:rPr>
          <w:rFonts w:asciiTheme="minorHAnsi" w:eastAsia="Cambria" w:hAnsiTheme="minorHAnsi" w:cs="Cambria"/>
          <w:sz w:val="18"/>
          <w:szCs w:val="18"/>
          <w:lang w:val="es-MX"/>
        </w:rPr>
      </w:pPr>
      <w:r w:rsidRPr="000D1DE6">
        <w:rPr>
          <w:rStyle w:val="FootnoteReference"/>
          <w:rFonts w:asciiTheme="minorHAnsi" w:hAnsiTheme="minorHAnsi"/>
          <w:sz w:val="18"/>
          <w:szCs w:val="18"/>
          <w:lang w:val="es-MX"/>
        </w:rPr>
        <w:footnoteRef/>
      </w:r>
      <w:r w:rsidRPr="000D1DE6">
        <w:rPr>
          <w:rFonts w:asciiTheme="minorHAnsi" w:hAnsiTheme="minorHAnsi"/>
          <w:sz w:val="18"/>
          <w:szCs w:val="18"/>
          <w:lang w:val="es-MX"/>
        </w:rPr>
        <w:t xml:space="preserve"> </w:t>
      </w:r>
      <w:r w:rsidRPr="000D1DE6">
        <w:rPr>
          <w:rFonts w:asciiTheme="minorHAnsi" w:eastAsia="Cambria" w:hAnsiTheme="minorHAnsi" w:cs="Cambria"/>
          <w:sz w:val="18"/>
          <w:szCs w:val="18"/>
          <w:lang w:val="es-MX"/>
        </w:rPr>
        <w:t>Noveno Informe del Estado mexicano sobre el cumplimiento y seguimiento de las recomendaciones contenidas en el informe “Situación de los Derechos Humanos en México”, págs. 10 – 11.</w:t>
      </w:r>
    </w:p>
  </w:footnote>
  <w:footnote w:id="34">
    <w:p w14:paraId="08FE1767" w14:textId="63B1582F" w:rsidR="000235D8" w:rsidRPr="000D1DE6" w:rsidRDefault="000235D8" w:rsidP="00F46807">
      <w:pPr>
        <w:pStyle w:val="FootnoteText"/>
        <w:spacing w:after="120"/>
        <w:ind w:firstLine="720"/>
        <w:rPr>
          <w:rFonts w:asciiTheme="minorHAnsi" w:hAnsiTheme="minorHAnsi"/>
          <w:lang w:val="es-MX"/>
        </w:rPr>
      </w:pPr>
      <w:r w:rsidRPr="000D1DE6">
        <w:rPr>
          <w:rStyle w:val="FootnoteReference"/>
          <w:rFonts w:asciiTheme="minorHAnsi" w:hAnsiTheme="minorHAnsi"/>
          <w:lang w:val="es-MX"/>
        </w:rPr>
        <w:footnoteRef/>
      </w:r>
      <w:r w:rsidRPr="000D1DE6">
        <w:rPr>
          <w:rFonts w:asciiTheme="minorHAnsi" w:hAnsiTheme="minorHAnsi"/>
          <w:lang w:val="es-MX"/>
        </w:rPr>
        <w:t xml:space="preserve"> Noveno Informe del Estado mexicano sobre el cumplimiento y seguimiento de las recomendaciones contenidas en el informe “Situación de los Derechos Humanos en México”, págs. 10 – 11.</w:t>
      </w:r>
    </w:p>
  </w:footnote>
  <w:footnote w:id="35">
    <w:p w14:paraId="0EEB0906" w14:textId="5FCE5640" w:rsidR="000235D8" w:rsidRPr="000D1DE6" w:rsidRDefault="000235D8" w:rsidP="00F46807">
      <w:pPr>
        <w:spacing w:after="120" w:line="240" w:lineRule="auto"/>
        <w:ind w:firstLine="720"/>
        <w:jc w:val="both"/>
        <w:rPr>
          <w:rFonts w:asciiTheme="minorHAnsi" w:eastAsia="Cambria" w:hAnsiTheme="minorHAnsi" w:cs="Cambria"/>
          <w:sz w:val="18"/>
          <w:szCs w:val="18"/>
          <w:lang w:val="es-MX"/>
        </w:rPr>
      </w:pPr>
      <w:r w:rsidRPr="000D1DE6">
        <w:rPr>
          <w:rFonts w:asciiTheme="minorHAnsi" w:hAnsiTheme="minorHAnsi"/>
          <w:sz w:val="18"/>
          <w:szCs w:val="18"/>
          <w:vertAlign w:val="superscript"/>
          <w:lang w:val="es-MX"/>
        </w:rPr>
        <w:footnoteRef/>
      </w:r>
      <w:r w:rsidRPr="000D1DE6">
        <w:rPr>
          <w:rFonts w:asciiTheme="minorHAnsi" w:eastAsia="Cambria" w:hAnsiTheme="minorHAnsi" w:cs="Cambria"/>
          <w:sz w:val="18"/>
          <w:szCs w:val="18"/>
          <w:lang w:val="es-MX"/>
        </w:rPr>
        <w:t xml:space="preserve"> Centro PRODH. </w:t>
      </w:r>
      <w:hyperlink r:id="rId19">
        <w:r w:rsidRPr="000D1DE6">
          <w:rPr>
            <w:rFonts w:asciiTheme="minorHAnsi" w:eastAsia="Cambria" w:hAnsiTheme="minorHAnsi" w:cs="Cambria"/>
            <w:color w:val="0000FF"/>
            <w:sz w:val="18"/>
            <w:szCs w:val="18"/>
            <w:u w:val="single"/>
            <w:lang w:val="es-MX"/>
          </w:rPr>
          <w:t>Poder Militar. La Guardia Nacional y los riesgos del renovado protagonismo castrense</w:t>
        </w:r>
      </w:hyperlink>
      <w:r w:rsidRPr="000D1DE6">
        <w:rPr>
          <w:rFonts w:asciiTheme="minorHAnsi" w:eastAsia="Cambria" w:hAnsiTheme="minorHAnsi" w:cs="Cambria"/>
          <w:sz w:val="18"/>
          <w:szCs w:val="18"/>
          <w:lang w:val="es-MX"/>
        </w:rPr>
        <w:t xml:space="preserve">, junio de 2021, págs. 166 y 167; Animal Político, </w:t>
      </w:r>
      <w:hyperlink r:id="rId20" w:history="1">
        <w:r w:rsidRPr="000D1DE6">
          <w:rPr>
            <w:rStyle w:val="Hyperlink"/>
            <w:rFonts w:asciiTheme="minorHAnsi" w:eastAsia="Cambria" w:hAnsiTheme="minorHAnsi" w:cs="Cambria"/>
            <w:sz w:val="18"/>
            <w:szCs w:val="18"/>
            <w:lang w:val="es-MX"/>
          </w:rPr>
          <w:t>Revés de la Opacidad</w:t>
        </w:r>
      </w:hyperlink>
      <w:r w:rsidRPr="000D1DE6">
        <w:rPr>
          <w:rFonts w:asciiTheme="minorHAnsi" w:eastAsia="Cambria" w:hAnsiTheme="minorHAnsi" w:cs="Cambria"/>
          <w:sz w:val="18"/>
          <w:szCs w:val="18"/>
          <w:lang w:val="es-MX"/>
        </w:rPr>
        <w:t xml:space="preserve">, 20 de septiembre de 2021. </w:t>
      </w:r>
    </w:p>
  </w:footnote>
  <w:footnote w:id="36">
    <w:p w14:paraId="14606BEB" w14:textId="48E630DA" w:rsidR="000235D8" w:rsidRPr="000D1DE6" w:rsidRDefault="000235D8" w:rsidP="00F46807">
      <w:pPr>
        <w:spacing w:after="120" w:line="240" w:lineRule="auto"/>
        <w:ind w:firstLine="720"/>
        <w:jc w:val="both"/>
        <w:rPr>
          <w:rFonts w:asciiTheme="minorHAnsi" w:eastAsia="Cambria" w:hAnsiTheme="minorHAnsi" w:cs="Cambria"/>
          <w:sz w:val="18"/>
          <w:szCs w:val="18"/>
          <w:lang w:val="es-MX"/>
        </w:rPr>
      </w:pPr>
      <w:r w:rsidRPr="000D1DE6">
        <w:rPr>
          <w:rFonts w:asciiTheme="minorHAnsi" w:hAnsiTheme="minorHAnsi"/>
          <w:sz w:val="18"/>
          <w:szCs w:val="18"/>
          <w:vertAlign w:val="superscript"/>
          <w:lang w:val="es-MX"/>
        </w:rPr>
        <w:footnoteRef/>
      </w:r>
      <w:r w:rsidRPr="000D1DE6">
        <w:rPr>
          <w:rFonts w:asciiTheme="minorHAnsi" w:eastAsia="Cambria" w:hAnsiTheme="minorHAnsi" w:cs="Cambria"/>
          <w:sz w:val="18"/>
          <w:szCs w:val="18"/>
          <w:lang w:val="pt-BR"/>
        </w:rPr>
        <w:t xml:space="preserve"> CIDH, </w:t>
      </w:r>
      <w:hyperlink r:id="rId21">
        <w:r w:rsidRPr="000D1DE6">
          <w:rPr>
            <w:rFonts w:asciiTheme="minorHAnsi" w:eastAsia="Cambria" w:hAnsiTheme="minorHAnsi" w:cs="Cambria"/>
            <w:color w:val="0000FF"/>
            <w:sz w:val="18"/>
            <w:szCs w:val="18"/>
            <w:u w:val="single"/>
            <w:lang w:val="pt-BR"/>
          </w:rPr>
          <w:t>Informe Anual. Capítulo V, México</w:t>
        </w:r>
      </w:hyperlink>
      <w:r w:rsidRPr="000D1DE6">
        <w:rPr>
          <w:rFonts w:asciiTheme="minorHAnsi" w:eastAsia="Cambria" w:hAnsiTheme="minorHAnsi" w:cs="Cambria"/>
          <w:sz w:val="18"/>
          <w:szCs w:val="18"/>
          <w:lang w:val="pt-BR"/>
        </w:rPr>
        <w:t xml:space="preserve">, 2020, párr. </w:t>
      </w:r>
      <w:r w:rsidRPr="000D1DE6">
        <w:rPr>
          <w:rFonts w:asciiTheme="minorHAnsi" w:eastAsia="Cambria" w:hAnsiTheme="minorHAnsi" w:cs="Cambria"/>
          <w:sz w:val="18"/>
          <w:szCs w:val="18"/>
          <w:lang w:val="es-MX"/>
        </w:rPr>
        <w:t xml:space="preserve">36. </w:t>
      </w:r>
    </w:p>
  </w:footnote>
  <w:footnote w:id="37">
    <w:p w14:paraId="14606BEC" w14:textId="77777777" w:rsidR="000235D8" w:rsidRPr="000D1DE6" w:rsidRDefault="000235D8" w:rsidP="00F46807">
      <w:pPr>
        <w:pBdr>
          <w:top w:val="nil"/>
          <w:left w:val="nil"/>
          <w:bottom w:val="nil"/>
          <w:right w:val="nil"/>
          <w:between w:val="nil"/>
        </w:pBdr>
        <w:spacing w:after="120" w:line="240" w:lineRule="auto"/>
        <w:ind w:firstLine="720"/>
        <w:jc w:val="both"/>
        <w:rPr>
          <w:rFonts w:asciiTheme="minorHAnsi" w:eastAsia="Cambria" w:hAnsiTheme="minorHAnsi" w:cs="Cambria"/>
          <w:color w:val="000000"/>
          <w:sz w:val="18"/>
          <w:szCs w:val="18"/>
          <w:lang w:val="es-MX"/>
        </w:rPr>
      </w:pPr>
      <w:r w:rsidRPr="000D1DE6">
        <w:rPr>
          <w:rFonts w:asciiTheme="minorHAnsi" w:hAnsiTheme="minorHAnsi"/>
          <w:sz w:val="18"/>
          <w:szCs w:val="18"/>
          <w:vertAlign w:val="superscript"/>
          <w:lang w:val="es-MX"/>
        </w:rPr>
        <w:footnoteRef/>
      </w:r>
      <w:r w:rsidRPr="000D1DE6">
        <w:rPr>
          <w:rFonts w:asciiTheme="minorHAnsi" w:eastAsia="Cambria" w:hAnsiTheme="minorHAnsi" w:cs="Cambria"/>
          <w:color w:val="000000"/>
          <w:sz w:val="18"/>
          <w:szCs w:val="18"/>
          <w:lang w:val="es-MX"/>
        </w:rPr>
        <w:t xml:space="preserve"> Corte IDH. Caso Mujeres Víctimas de Tortura Sexual en Atenco Vs. México. Excepción Preliminar, Fondo, Reparaciones y Costas. Sentencia de 28 de noviembre de 2018. Serie C No. 371, párr. 356. </w:t>
      </w:r>
    </w:p>
  </w:footnote>
  <w:footnote w:id="38">
    <w:p w14:paraId="4CCF42A5" w14:textId="262CA562" w:rsidR="000235D8" w:rsidRPr="000D1DE6" w:rsidRDefault="000235D8" w:rsidP="00F46807">
      <w:pPr>
        <w:pStyle w:val="FootnoteText"/>
        <w:spacing w:after="120"/>
        <w:ind w:firstLine="720"/>
        <w:rPr>
          <w:rFonts w:asciiTheme="minorHAnsi" w:hAnsiTheme="minorHAnsi"/>
          <w:lang w:val="es-MX"/>
        </w:rPr>
      </w:pPr>
      <w:r w:rsidRPr="000D1DE6">
        <w:rPr>
          <w:rStyle w:val="FootnoteReference"/>
          <w:rFonts w:asciiTheme="minorHAnsi" w:hAnsiTheme="minorHAnsi"/>
          <w:lang w:val="es-MX"/>
        </w:rPr>
        <w:footnoteRef/>
      </w:r>
      <w:r w:rsidRPr="000D1DE6">
        <w:rPr>
          <w:rFonts w:asciiTheme="minorHAnsi" w:hAnsiTheme="minorHAnsi"/>
          <w:lang w:val="es-MX"/>
        </w:rPr>
        <w:t xml:space="preserve"> Noveno Informe del Estado mexicano sobre el cumplimiento y seguimiento de las recomendaciones contenidas en el informe “Situació</w:t>
      </w:r>
      <w:r w:rsidR="00FD16FD">
        <w:rPr>
          <w:rFonts w:asciiTheme="minorHAnsi" w:hAnsiTheme="minorHAnsi"/>
          <w:lang w:val="es-MX"/>
        </w:rPr>
        <w:t>a</w:t>
      </w:r>
      <w:r w:rsidRPr="000D1DE6">
        <w:rPr>
          <w:rFonts w:asciiTheme="minorHAnsi" w:hAnsiTheme="minorHAnsi"/>
          <w:lang w:val="es-MX"/>
        </w:rPr>
        <w:t>n de los Derechos Humanos en México”, págs. 11 – 12.</w:t>
      </w:r>
    </w:p>
  </w:footnote>
  <w:footnote w:id="39">
    <w:p w14:paraId="7CE8AD92" w14:textId="51459C73" w:rsidR="000235D8" w:rsidRPr="000D1DE6" w:rsidRDefault="000235D8" w:rsidP="00F46807">
      <w:pPr>
        <w:pBdr>
          <w:top w:val="nil"/>
          <w:left w:val="nil"/>
          <w:bottom w:val="nil"/>
          <w:right w:val="nil"/>
          <w:between w:val="nil"/>
        </w:pBdr>
        <w:spacing w:after="120" w:line="240" w:lineRule="auto"/>
        <w:ind w:firstLine="720"/>
        <w:jc w:val="both"/>
        <w:rPr>
          <w:rFonts w:asciiTheme="minorHAnsi" w:eastAsia="Cambria" w:hAnsiTheme="minorHAnsi" w:cs="Cambria"/>
          <w:color w:val="000000"/>
          <w:sz w:val="18"/>
          <w:szCs w:val="18"/>
          <w:lang w:val="es-MX"/>
        </w:rPr>
      </w:pPr>
      <w:r w:rsidRPr="000D1DE6">
        <w:rPr>
          <w:rFonts w:asciiTheme="minorHAnsi" w:hAnsiTheme="minorHAnsi"/>
          <w:sz w:val="18"/>
          <w:szCs w:val="18"/>
          <w:vertAlign w:val="superscript"/>
          <w:lang w:val="es-MX"/>
        </w:rPr>
        <w:footnoteRef/>
      </w:r>
      <w:r w:rsidRPr="000D1DE6">
        <w:rPr>
          <w:rFonts w:asciiTheme="minorHAnsi" w:eastAsia="Cambria" w:hAnsiTheme="minorHAnsi" w:cs="Cambria"/>
          <w:color w:val="000000"/>
          <w:sz w:val="18"/>
          <w:szCs w:val="18"/>
          <w:lang w:val="es-MX"/>
        </w:rPr>
        <w:t xml:space="preserve"> Noveno Informe del Estado mexicano sobre el cumplimiento y seguimiento de las recomendaciones contenidas en el informe “Situación de los Derechos Humanos en México”, págs. 11 – 12.</w:t>
      </w:r>
    </w:p>
  </w:footnote>
  <w:footnote w:id="40">
    <w:p w14:paraId="0557A75D" w14:textId="6C6B2E8C" w:rsidR="000235D8" w:rsidRPr="000D1DE6" w:rsidRDefault="000235D8" w:rsidP="00F46807">
      <w:pPr>
        <w:spacing w:after="120" w:line="240" w:lineRule="auto"/>
        <w:ind w:firstLine="720"/>
        <w:jc w:val="both"/>
        <w:rPr>
          <w:rFonts w:asciiTheme="minorHAnsi" w:eastAsia="Cambria" w:hAnsiTheme="minorHAnsi" w:cs="Cambria"/>
          <w:sz w:val="18"/>
          <w:szCs w:val="18"/>
          <w:lang w:val="es-MX"/>
        </w:rPr>
      </w:pPr>
      <w:r w:rsidRPr="000D1DE6">
        <w:rPr>
          <w:rFonts w:asciiTheme="minorHAnsi" w:hAnsiTheme="minorHAnsi"/>
          <w:sz w:val="18"/>
          <w:szCs w:val="18"/>
          <w:vertAlign w:val="superscript"/>
          <w:lang w:val="es-MX"/>
        </w:rPr>
        <w:footnoteRef/>
      </w:r>
      <w:r w:rsidRPr="000D1DE6">
        <w:rPr>
          <w:rFonts w:asciiTheme="minorHAnsi" w:eastAsia="Cambria" w:hAnsiTheme="minorHAnsi" w:cs="Cambria"/>
          <w:sz w:val="18"/>
          <w:szCs w:val="18"/>
          <w:lang w:val="es-MX"/>
        </w:rPr>
        <w:t xml:space="preserve"> El Universal,</w:t>
      </w:r>
      <w:hyperlink r:id="rId22">
        <w:r w:rsidRPr="000D1DE6">
          <w:rPr>
            <w:rFonts w:asciiTheme="minorHAnsi" w:eastAsia="Cambria" w:hAnsiTheme="minorHAnsi" w:cs="Cambria"/>
            <w:color w:val="1155CC"/>
            <w:sz w:val="18"/>
            <w:szCs w:val="18"/>
            <w:u w:val="single"/>
            <w:lang w:val="es-MX"/>
          </w:rPr>
          <w:t xml:space="preserve"> Reaprehenden a militares del caso Tlatlaya</w:t>
        </w:r>
      </w:hyperlink>
      <w:r w:rsidRPr="000D1DE6">
        <w:rPr>
          <w:rFonts w:asciiTheme="minorHAnsi" w:eastAsia="Cambria" w:hAnsiTheme="minorHAnsi" w:cs="Cambria"/>
          <w:sz w:val="18"/>
          <w:szCs w:val="18"/>
          <w:lang w:val="es-MX"/>
        </w:rPr>
        <w:t xml:space="preserve">, 1 de abril de 2021; El Universal, </w:t>
      </w:r>
      <w:hyperlink r:id="rId23">
        <w:r w:rsidRPr="000D1DE6">
          <w:rPr>
            <w:rFonts w:asciiTheme="minorHAnsi" w:eastAsia="Cambria" w:hAnsiTheme="minorHAnsi" w:cs="Cambria"/>
            <w:color w:val="1155CC"/>
            <w:sz w:val="18"/>
            <w:szCs w:val="18"/>
            <w:u w:val="single"/>
            <w:lang w:val="es-MX"/>
          </w:rPr>
          <w:t>Reaprehensión de militares en caso Tlatlaya es relevante; falta investigar cadena de mando: Centro Prodh</w:t>
        </w:r>
      </w:hyperlink>
      <w:r w:rsidRPr="000D1DE6">
        <w:rPr>
          <w:rFonts w:asciiTheme="minorHAnsi" w:eastAsia="Cambria" w:hAnsiTheme="minorHAnsi" w:cs="Cambria"/>
          <w:sz w:val="18"/>
          <w:szCs w:val="18"/>
          <w:lang w:val="es-MX"/>
        </w:rPr>
        <w:t>, 1 de abril de 2021.</w:t>
      </w:r>
    </w:p>
  </w:footnote>
  <w:footnote w:id="41">
    <w:p w14:paraId="14606BEF" w14:textId="23B5984A" w:rsidR="000235D8" w:rsidRPr="000D1DE6" w:rsidRDefault="000235D8" w:rsidP="00F46807">
      <w:pPr>
        <w:pBdr>
          <w:top w:val="nil"/>
          <w:left w:val="nil"/>
          <w:bottom w:val="nil"/>
          <w:right w:val="nil"/>
          <w:between w:val="nil"/>
        </w:pBdr>
        <w:spacing w:after="120" w:line="240" w:lineRule="auto"/>
        <w:ind w:firstLine="720"/>
        <w:jc w:val="both"/>
        <w:rPr>
          <w:rFonts w:asciiTheme="minorHAnsi" w:eastAsia="Cambria" w:hAnsiTheme="minorHAnsi" w:cs="Cambria"/>
          <w:color w:val="000000"/>
          <w:sz w:val="18"/>
          <w:szCs w:val="18"/>
          <w:lang w:val="pt-BR"/>
        </w:rPr>
      </w:pPr>
      <w:r w:rsidRPr="000D1DE6">
        <w:rPr>
          <w:rFonts w:asciiTheme="minorHAnsi" w:hAnsiTheme="minorHAnsi"/>
          <w:sz w:val="18"/>
          <w:szCs w:val="18"/>
          <w:vertAlign w:val="superscript"/>
          <w:lang w:val="es-MX"/>
        </w:rPr>
        <w:footnoteRef/>
      </w:r>
      <w:r w:rsidRPr="000D1DE6">
        <w:rPr>
          <w:rFonts w:asciiTheme="minorHAnsi" w:eastAsia="Cambria" w:hAnsiTheme="minorHAnsi" w:cs="Cambria"/>
          <w:color w:val="000000"/>
          <w:sz w:val="18"/>
          <w:szCs w:val="18"/>
          <w:lang w:val="pt-BR"/>
        </w:rPr>
        <w:t xml:space="preserve"> </w:t>
      </w:r>
      <w:r w:rsidRPr="000D1DE6">
        <w:rPr>
          <w:rFonts w:asciiTheme="minorHAnsi" w:eastAsia="Cambria" w:hAnsiTheme="minorHAnsi" w:cs="Cambria"/>
          <w:sz w:val="18"/>
          <w:szCs w:val="18"/>
          <w:lang w:val="pt-BR"/>
        </w:rPr>
        <w:t xml:space="preserve">CIDH, </w:t>
      </w:r>
      <w:hyperlink r:id="rId24">
        <w:r w:rsidRPr="000D1DE6">
          <w:rPr>
            <w:rFonts w:asciiTheme="minorHAnsi" w:eastAsia="Cambria" w:hAnsiTheme="minorHAnsi" w:cs="Cambria"/>
            <w:color w:val="0000FF"/>
            <w:sz w:val="18"/>
            <w:szCs w:val="18"/>
            <w:u w:val="single"/>
            <w:lang w:val="pt-BR"/>
          </w:rPr>
          <w:t>Informe Anual. Capítulo V, México</w:t>
        </w:r>
      </w:hyperlink>
      <w:r w:rsidRPr="000D1DE6">
        <w:rPr>
          <w:rFonts w:asciiTheme="minorHAnsi" w:eastAsia="Cambria" w:hAnsiTheme="minorHAnsi" w:cs="Cambria"/>
          <w:sz w:val="18"/>
          <w:szCs w:val="18"/>
          <w:lang w:val="pt-BR"/>
        </w:rPr>
        <w:t xml:space="preserve">, 2020, párr. 41; </w:t>
      </w:r>
      <w:r w:rsidRPr="000D1DE6">
        <w:rPr>
          <w:rFonts w:asciiTheme="minorHAnsi" w:eastAsia="Cambria" w:hAnsiTheme="minorHAnsi" w:cs="Cambria"/>
          <w:color w:val="000000"/>
          <w:sz w:val="18"/>
          <w:szCs w:val="18"/>
          <w:lang w:val="pt-BR"/>
        </w:rPr>
        <w:t xml:space="preserve">CIDH, </w:t>
      </w:r>
      <w:hyperlink r:id="rId25">
        <w:r w:rsidRPr="000D1DE6">
          <w:rPr>
            <w:rFonts w:asciiTheme="minorHAnsi" w:eastAsia="Cambria" w:hAnsiTheme="minorHAnsi" w:cs="Cambria"/>
            <w:color w:val="0000FF"/>
            <w:sz w:val="18"/>
            <w:szCs w:val="18"/>
            <w:u w:val="single"/>
            <w:lang w:val="pt-BR"/>
          </w:rPr>
          <w:t>Informe Anual. Capítulo V, México</w:t>
        </w:r>
      </w:hyperlink>
      <w:r w:rsidRPr="000D1DE6">
        <w:rPr>
          <w:rFonts w:asciiTheme="minorHAnsi" w:eastAsia="Cambria" w:hAnsiTheme="minorHAnsi" w:cs="Cambria"/>
          <w:color w:val="000000"/>
          <w:sz w:val="18"/>
          <w:szCs w:val="18"/>
          <w:lang w:val="pt-BR"/>
        </w:rPr>
        <w:t xml:space="preserve">, 2019, </w:t>
      </w:r>
      <w:r w:rsidR="00FD16FD">
        <w:rPr>
          <w:rFonts w:asciiTheme="minorHAnsi" w:eastAsia="Cambria" w:hAnsiTheme="minorHAnsi" w:cs="Cambria"/>
          <w:color w:val="000000"/>
          <w:sz w:val="18"/>
          <w:szCs w:val="18"/>
          <w:lang w:val="pt-BR"/>
        </w:rPr>
        <w:br/>
      </w:r>
      <w:r w:rsidRPr="000D1DE6">
        <w:rPr>
          <w:rFonts w:asciiTheme="minorHAnsi" w:eastAsia="Cambria" w:hAnsiTheme="minorHAnsi" w:cs="Cambria"/>
          <w:color w:val="000000"/>
          <w:sz w:val="18"/>
          <w:szCs w:val="18"/>
          <w:lang w:val="pt-BR"/>
        </w:rPr>
        <w:t>párr. 42.</w:t>
      </w:r>
    </w:p>
  </w:footnote>
  <w:footnote w:id="42">
    <w:p w14:paraId="14606BF0" w14:textId="08A00D3A" w:rsidR="000235D8" w:rsidRPr="000D1DE6" w:rsidRDefault="000235D8" w:rsidP="00F46807">
      <w:pPr>
        <w:pBdr>
          <w:top w:val="nil"/>
          <w:left w:val="nil"/>
          <w:bottom w:val="nil"/>
          <w:right w:val="nil"/>
          <w:between w:val="nil"/>
        </w:pBdr>
        <w:spacing w:after="120" w:line="240" w:lineRule="auto"/>
        <w:ind w:firstLine="720"/>
        <w:jc w:val="both"/>
        <w:rPr>
          <w:rFonts w:asciiTheme="minorHAnsi" w:eastAsia="Cambria" w:hAnsiTheme="minorHAnsi" w:cs="Cambria"/>
          <w:color w:val="000000"/>
          <w:sz w:val="18"/>
          <w:szCs w:val="18"/>
          <w:lang w:val="es-MX"/>
        </w:rPr>
      </w:pPr>
      <w:r w:rsidRPr="000D1DE6">
        <w:rPr>
          <w:rFonts w:asciiTheme="minorHAnsi" w:hAnsiTheme="minorHAnsi"/>
          <w:sz w:val="18"/>
          <w:szCs w:val="18"/>
          <w:vertAlign w:val="superscript"/>
          <w:lang w:val="es-MX"/>
        </w:rPr>
        <w:footnoteRef/>
      </w:r>
      <w:r w:rsidRPr="000D1DE6">
        <w:rPr>
          <w:rFonts w:asciiTheme="minorHAnsi" w:eastAsia="Cambria" w:hAnsiTheme="minorHAnsi" w:cs="Cambria"/>
          <w:color w:val="000000"/>
          <w:sz w:val="18"/>
          <w:szCs w:val="18"/>
          <w:lang w:val="pt-BR"/>
        </w:rPr>
        <w:t xml:space="preserve"> </w:t>
      </w:r>
      <w:r w:rsidRPr="000D1DE6">
        <w:rPr>
          <w:rFonts w:asciiTheme="minorHAnsi" w:eastAsia="Cambria" w:hAnsiTheme="minorHAnsi" w:cs="Cambria"/>
          <w:sz w:val="18"/>
          <w:szCs w:val="18"/>
          <w:lang w:val="pt-BR"/>
        </w:rPr>
        <w:t xml:space="preserve">CIDH, </w:t>
      </w:r>
      <w:hyperlink r:id="rId26">
        <w:r w:rsidRPr="000D1DE6">
          <w:rPr>
            <w:rFonts w:asciiTheme="minorHAnsi" w:eastAsia="Cambria" w:hAnsiTheme="minorHAnsi" w:cs="Cambria"/>
            <w:color w:val="0000FF"/>
            <w:sz w:val="18"/>
            <w:szCs w:val="18"/>
            <w:u w:val="single"/>
            <w:lang w:val="pt-BR"/>
          </w:rPr>
          <w:t>Informe Anual. Capítulo V, México</w:t>
        </w:r>
      </w:hyperlink>
      <w:r w:rsidRPr="000D1DE6">
        <w:rPr>
          <w:rFonts w:asciiTheme="minorHAnsi" w:eastAsia="Cambria" w:hAnsiTheme="minorHAnsi" w:cs="Cambria"/>
          <w:sz w:val="18"/>
          <w:szCs w:val="18"/>
          <w:lang w:val="pt-BR"/>
        </w:rPr>
        <w:t xml:space="preserve">, 2020, párr. </w:t>
      </w:r>
      <w:r w:rsidRPr="000D1DE6">
        <w:rPr>
          <w:rFonts w:asciiTheme="minorHAnsi" w:eastAsia="Cambria" w:hAnsiTheme="minorHAnsi" w:cs="Cambria"/>
          <w:sz w:val="18"/>
          <w:szCs w:val="18"/>
          <w:lang w:val="es-MX"/>
        </w:rPr>
        <w:t xml:space="preserve">41; </w:t>
      </w:r>
      <w:r w:rsidRPr="000D1DE6">
        <w:rPr>
          <w:rFonts w:asciiTheme="minorHAnsi" w:eastAsia="Cambria" w:hAnsiTheme="minorHAnsi" w:cs="Cambria"/>
          <w:color w:val="000000"/>
          <w:sz w:val="18"/>
          <w:szCs w:val="18"/>
          <w:lang w:val="es-MX"/>
        </w:rPr>
        <w:t xml:space="preserve">CIDH, </w:t>
      </w:r>
      <w:hyperlink r:id="rId27">
        <w:r w:rsidRPr="000D1DE6">
          <w:rPr>
            <w:rFonts w:asciiTheme="minorHAnsi" w:eastAsia="Cambria" w:hAnsiTheme="minorHAnsi" w:cs="Cambria"/>
            <w:color w:val="0000FF"/>
            <w:sz w:val="18"/>
            <w:szCs w:val="18"/>
            <w:u w:val="single"/>
            <w:lang w:val="es-MX"/>
          </w:rPr>
          <w:t>Informe Anual. Capítulo V, México</w:t>
        </w:r>
      </w:hyperlink>
      <w:r w:rsidRPr="000D1DE6">
        <w:rPr>
          <w:rFonts w:asciiTheme="minorHAnsi" w:eastAsia="Cambria" w:hAnsiTheme="minorHAnsi" w:cs="Cambria"/>
          <w:color w:val="000000"/>
          <w:sz w:val="18"/>
          <w:szCs w:val="18"/>
          <w:lang w:val="es-MX"/>
        </w:rPr>
        <w:t xml:space="preserve">, 2019, </w:t>
      </w:r>
      <w:r w:rsidR="00FD16FD">
        <w:rPr>
          <w:rFonts w:asciiTheme="minorHAnsi" w:eastAsia="Cambria" w:hAnsiTheme="minorHAnsi" w:cs="Cambria"/>
          <w:color w:val="000000"/>
          <w:sz w:val="18"/>
          <w:szCs w:val="18"/>
          <w:lang w:val="es-MX"/>
        </w:rPr>
        <w:br/>
      </w:r>
      <w:r w:rsidRPr="000D1DE6">
        <w:rPr>
          <w:rFonts w:asciiTheme="minorHAnsi" w:eastAsia="Cambria" w:hAnsiTheme="minorHAnsi" w:cs="Cambria"/>
          <w:color w:val="000000"/>
          <w:sz w:val="18"/>
          <w:szCs w:val="18"/>
          <w:lang w:val="es-MX"/>
        </w:rPr>
        <w:t>párr. 43.</w:t>
      </w:r>
    </w:p>
  </w:footnote>
  <w:footnote w:id="43">
    <w:p w14:paraId="4469923E" w14:textId="3FC52E42" w:rsidR="007B69C1" w:rsidRPr="000D1DE6" w:rsidRDefault="007B69C1" w:rsidP="00F46807">
      <w:pPr>
        <w:pStyle w:val="FootnoteText"/>
        <w:spacing w:after="120"/>
        <w:ind w:firstLine="720"/>
      </w:pPr>
      <w:r w:rsidRPr="000D1DE6">
        <w:rPr>
          <w:rStyle w:val="FootnoteReference"/>
        </w:rPr>
        <w:footnoteRef/>
      </w:r>
      <w:r w:rsidRPr="000D1DE6">
        <w:t xml:space="preserve">  </w:t>
      </w:r>
      <w:r w:rsidRPr="000D1DE6">
        <w:rPr>
          <w:rFonts w:eastAsia="Cambria" w:cs="Cambria"/>
          <w:sz w:val="16"/>
          <w:szCs w:val="16"/>
          <w:lang w:val="es-MX"/>
        </w:rPr>
        <w:t>En sus observaciones al proyecto del presente informe, el Estado informó que  en  la  línea jurisprudencial de la SCJN existe un pronunciamiento en la materia, en torno a la validez de la norma que prevé que el delito de desaparición forzada se puede cometer por una persona servidora pública, independientemente de que haya participado en la detención legal o ilegal de una o varias personas.</w:t>
      </w:r>
      <w:r w:rsidRPr="000D1DE6">
        <w:rPr>
          <w:rFonts w:eastAsia="Cambria" w:cs="Cambria"/>
          <w:sz w:val="20"/>
          <w:szCs w:val="20"/>
          <w:lang w:val="es-MX"/>
        </w:rPr>
        <w:t xml:space="preserve">  </w:t>
      </w:r>
      <w:r w:rsidRPr="000D1DE6">
        <w:rPr>
          <w:rFonts w:asciiTheme="minorHAnsi" w:eastAsia="Cambria" w:hAnsiTheme="minorHAnsi" w:cs="Cambria"/>
          <w:color w:val="000000"/>
          <w:lang w:val="es-MX"/>
        </w:rPr>
        <w:t>Observaciones y comentarios del Estado de 24 de enero de 2022, págs. 5-6</w:t>
      </w:r>
      <w:r w:rsidR="00DD4A85">
        <w:rPr>
          <w:rFonts w:asciiTheme="minorHAnsi" w:eastAsia="Cambria" w:hAnsiTheme="minorHAnsi" w:cs="Cambria"/>
          <w:color w:val="000000"/>
          <w:lang w:val="es-MX"/>
        </w:rPr>
        <w:t>.</w:t>
      </w:r>
    </w:p>
  </w:footnote>
  <w:footnote w:id="44">
    <w:p w14:paraId="7057C1A6" w14:textId="5A37C6EA" w:rsidR="000235D8" w:rsidRPr="000D1DE6" w:rsidRDefault="000235D8" w:rsidP="00F46807">
      <w:pPr>
        <w:pStyle w:val="FootnoteText"/>
        <w:spacing w:after="120"/>
        <w:ind w:firstLine="720"/>
        <w:rPr>
          <w:rFonts w:asciiTheme="minorHAnsi" w:hAnsiTheme="minorHAnsi"/>
          <w:lang w:val="es-MX"/>
        </w:rPr>
      </w:pPr>
      <w:r w:rsidRPr="000D1DE6">
        <w:rPr>
          <w:rStyle w:val="FootnoteReference"/>
          <w:rFonts w:asciiTheme="minorHAnsi" w:hAnsiTheme="minorHAnsi"/>
          <w:lang w:val="es-MX"/>
        </w:rPr>
        <w:footnoteRef/>
      </w:r>
      <w:r w:rsidRPr="000D1DE6">
        <w:rPr>
          <w:rFonts w:asciiTheme="minorHAnsi" w:hAnsiTheme="minorHAnsi"/>
          <w:lang w:val="es-MX"/>
        </w:rPr>
        <w:t xml:space="preserve"> Noveno Informe del Estado mexicano sobre el cumplimiento y seguimiento de las recomendaciones contenidas en el informe “Situación de los Derechos Humanos en México”, pág. 12.</w:t>
      </w:r>
    </w:p>
  </w:footnote>
  <w:footnote w:id="45">
    <w:p w14:paraId="5184A1D3" w14:textId="0A8C78D7" w:rsidR="000235D8" w:rsidRPr="000D1DE6" w:rsidRDefault="000235D8" w:rsidP="00F46807">
      <w:pPr>
        <w:pStyle w:val="FootnoteText"/>
        <w:spacing w:after="120"/>
        <w:ind w:firstLine="720"/>
        <w:rPr>
          <w:rFonts w:asciiTheme="minorHAnsi" w:hAnsiTheme="minorHAnsi"/>
          <w:lang w:val="es-MX"/>
        </w:rPr>
      </w:pPr>
      <w:r w:rsidRPr="000D1DE6">
        <w:rPr>
          <w:rStyle w:val="FootnoteReference"/>
          <w:rFonts w:asciiTheme="minorHAnsi" w:hAnsiTheme="minorHAnsi"/>
          <w:lang w:val="es-MX"/>
        </w:rPr>
        <w:footnoteRef/>
      </w:r>
      <w:r w:rsidRPr="000D1DE6">
        <w:rPr>
          <w:rFonts w:asciiTheme="minorHAnsi" w:hAnsiTheme="minorHAnsi"/>
          <w:lang w:val="es-MX"/>
        </w:rPr>
        <w:t xml:space="preserve"> Noveno Informe del Estado mexicano sobre el cumplimiento y seguimiento de las recomendaciones contenidas en el informe “Situación de los Derechos Humanos en México”, pág. 12. El Estado señaló que la información ya podía ser consultada en un </w:t>
      </w:r>
      <w:hyperlink r:id="rId28" w:history="1">
        <w:r w:rsidRPr="000D1DE6">
          <w:rPr>
            <w:rStyle w:val="Hyperlink"/>
            <w:rFonts w:asciiTheme="minorHAnsi" w:hAnsiTheme="minorHAnsi"/>
            <w:lang w:val="es-MX"/>
          </w:rPr>
          <w:t>enlace web habilitado temporalmente</w:t>
        </w:r>
      </w:hyperlink>
      <w:r w:rsidRPr="000D1DE6">
        <w:rPr>
          <w:rFonts w:asciiTheme="minorHAnsi" w:hAnsiTheme="minorHAnsi"/>
          <w:lang w:val="es-MX"/>
        </w:rPr>
        <w:t xml:space="preserve"> y que contiene información sobre la situación de los derechos de niñas, niños y adolescentes, en particular sobre los temas de trabajo infantil, prevalencia delictiva, inseguridad, suicidio, homicidios de menores de 18 años de edad, solicitantes de refugio, feminicidio de niñas y adolescentes, población de niños, niños y adolescentes que no asiste a la escuela, niveles de analfabetismo, desnutrición, mortalidad, entre otros</w:t>
      </w:r>
      <w:r w:rsidR="00DD4A85">
        <w:rPr>
          <w:rFonts w:asciiTheme="minorHAnsi" w:hAnsiTheme="minorHAnsi"/>
          <w:lang w:val="es-MX"/>
        </w:rPr>
        <w:t>.</w:t>
      </w:r>
    </w:p>
  </w:footnote>
  <w:footnote w:id="46">
    <w:p w14:paraId="51952094" w14:textId="663FB9EA" w:rsidR="000235D8" w:rsidRPr="000D1DE6" w:rsidRDefault="000235D8" w:rsidP="00F46807">
      <w:pPr>
        <w:pStyle w:val="FootnoteText"/>
        <w:spacing w:after="120"/>
        <w:ind w:firstLine="720"/>
        <w:rPr>
          <w:rFonts w:asciiTheme="minorHAnsi" w:hAnsiTheme="minorHAnsi"/>
          <w:lang w:val="es-MX"/>
        </w:rPr>
      </w:pPr>
      <w:r w:rsidRPr="000D1DE6">
        <w:rPr>
          <w:rStyle w:val="FootnoteReference"/>
          <w:rFonts w:asciiTheme="minorHAnsi" w:hAnsiTheme="minorHAnsi"/>
          <w:lang w:val="es-MX"/>
        </w:rPr>
        <w:footnoteRef/>
      </w:r>
      <w:r w:rsidRPr="000D1DE6">
        <w:rPr>
          <w:rFonts w:asciiTheme="minorHAnsi" w:hAnsiTheme="minorHAnsi"/>
          <w:lang w:val="es-MX"/>
        </w:rPr>
        <w:t xml:space="preserve"> En su Noveno Informe del Estado mexicano sobre el cumplimiento y seguimiento de las recomendaciones contenidas en el informe “Situación de los Derechos Humanos en México”</w:t>
      </w:r>
      <w:r w:rsidRPr="000D1DE6">
        <w:rPr>
          <w:rFonts w:asciiTheme="minorHAnsi" w:eastAsia="Times New Roman" w:hAnsiTheme="minorHAnsi" w:cs="Times New Roman"/>
          <w:bdr w:val="none" w:sz="0" w:space="0" w:color="auto" w:frame="1"/>
          <w:lang w:val="es-MX" w:eastAsia="es-MX"/>
        </w:rPr>
        <w:t xml:space="preserve"> el Estado reportó (</w:t>
      </w:r>
      <w:r w:rsidRPr="000D1DE6">
        <w:rPr>
          <w:rFonts w:asciiTheme="minorHAnsi" w:hAnsiTheme="minorHAnsi"/>
          <w:lang w:val="es-MX"/>
        </w:rPr>
        <w:t xml:space="preserve">pág. 54-55) </w:t>
      </w:r>
      <w:r w:rsidRPr="000D1DE6">
        <w:rPr>
          <w:rFonts w:asciiTheme="minorHAnsi" w:eastAsia="Times New Roman" w:hAnsiTheme="minorHAnsi" w:cs="Times New Roman"/>
          <w:bdr w:val="none" w:sz="0" w:space="0" w:color="auto" w:frame="1"/>
          <w:lang w:val="es-MX" w:eastAsia="es-MX"/>
        </w:rPr>
        <w:t>que brindaba protección a 1.848 personas beneficiarias. Sin embargo, se consigna en esta sección la última cifra oficial publicada recientemente por el Estado, indicando que el Mecanismo contaría con 1.506 personas beneficiarias.</w:t>
      </w:r>
    </w:p>
  </w:footnote>
  <w:footnote w:id="47">
    <w:p w14:paraId="0D6689C0" w14:textId="2578E1F5" w:rsidR="000235D8" w:rsidRPr="000D1DE6" w:rsidRDefault="000235D8" w:rsidP="00F46807">
      <w:pPr>
        <w:pStyle w:val="FootnoteText"/>
        <w:spacing w:after="120"/>
        <w:ind w:firstLine="720"/>
        <w:rPr>
          <w:rFonts w:asciiTheme="minorHAnsi" w:hAnsiTheme="minorHAnsi"/>
          <w:lang w:val="es-MX"/>
        </w:rPr>
      </w:pPr>
      <w:r w:rsidRPr="000D1DE6">
        <w:rPr>
          <w:rStyle w:val="FootnoteReference"/>
          <w:rFonts w:asciiTheme="minorHAnsi" w:hAnsiTheme="minorHAnsi"/>
          <w:lang w:val="es-MX"/>
        </w:rPr>
        <w:footnoteRef/>
      </w:r>
      <w:r w:rsidRPr="000D1DE6">
        <w:rPr>
          <w:rFonts w:asciiTheme="minorHAnsi" w:hAnsiTheme="minorHAnsi"/>
          <w:lang w:val="es-MX"/>
        </w:rPr>
        <w:t xml:space="preserve"> Noveno Informe del Estado mexicano sobre el cumplimiento y seguimiento de las recomendaciones contenidas en el informe “Situación de los Derechos Humanos en México”, pág. 54.</w:t>
      </w:r>
    </w:p>
  </w:footnote>
  <w:footnote w:id="48">
    <w:p w14:paraId="1A0366DB" w14:textId="75C2E006" w:rsidR="000235D8" w:rsidRPr="000D1DE6" w:rsidRDefault="000235D8" w:rsidP="00F46807">
      <w:pPr>
        <w:pStyle w:val="FootnoteText"/>
        <w:spacing w:after="120"/>
        <w:ind w:firstLine="720"/>
        <w:rPr>
          <w:rFonts w:asciiTheme="minorHAnsi" w:hAnsiTheme="minorHAnsi"/>
          <w:lang w:val="es-MX"/>
        </w:rPr>
      </w:pPr>
      <w:r w:rsidRPr="000D1DE6">
        <w:rPr>
          <w:rStyle w:val="FootnoteReference"/>
          <w:rFonts w:asciiTheme="minorHAnsi" w:hAnsiTheme="minorHAnsi"/>
          <w:lang w:val="es-MX"/>
        </w:rPr>
        <w:footnoteRef/>
      </w:r>
      <w:r w:rsidRPr="000D1DE6">
        <w:rPr>
          <w:rFonts w:asciiTheme="minorHAnsi" w:hAnsiTheme="minorHAnsi"/>
          <w:lang w:val="es-MX"/>
        </w:rPr>
        <w:t xml:space="preserve"> Noveno Informe del Estado mexicano sobre el cumplimiento y seguimiento de las recomendaciones contenidas en el informe “Situación de los Derechos Humanos en México”, pág. 12.</w:t>
      </w:r>
    </w:p>
  </w:footnote>
  <w:footnote w:id="49">
    <w:p w14:paraId="771D7AAC" w14:textId="1BD8EC02" w:rsidR="000235D8" w:rsidRPr="000D1DE6" w:rsidRDefault="000235D8" w:rsidP="00F46807">
      <w:pPr>
        <w:pStyle w:val="FootnoteText"/>
        <w:spacing w:after="120"/>
        <w:ind w:firstLine="720"/>
        <w:rPr>
          <w:rFonts w:asciiTheme="minorHAnsi" w:hAnsiTheme="minorHAnsi"/>
          <w:lang w:val="es-MX"/>
        </w:rPr>
      </w:pPr>
      <w:r w:rsidRPr="000D1DE6">
        <w:rPr>
          <w:rStyle w:val="FootnoteReference"/>
          <w:rFonts w:asciiTheme="minorHAnsi" w:hAnsiTheme="minorHAnsi"/>
          <w:lang w:val="es-MX"/>
        </w:rPr>
        <w:footnoteRef/>
      </w:r>
      <w:r w:rsidRPr="000D1DE6">
        <w:rPr>
          <w:rFonts w:asciiTheme="minorHAnsi" w:hAnsiTheme="minorHAnsi"/>
          <w:lang w:val="es-MX"/>
        </w:rPr>
        <w:t xml:space="preserve"> INEGI, </w:t>
      </w:r>
      <w:hyperlink r:id="rId29" w:history="1">
        <w:r w:rsidRPr="000D1DE6">
          <w:rPr>
            <w:rStyle w:val="Hyperlink"/>
            <w:rFonts w:asciiTheme="minorHAnsi" w:hAnsiTheme="minorHAnsi"/>
            <w:lang w:val="es-MX"/>
          </w:rPr>
          <w:t>Comunicado de Prensa Núm. 492/21</w:t>
        </w:r>
      </w:hyperlink>
      <w:r w:rsidRPr="000D1DE6">
        <w:rPr>
          <w:rFonts w:asciiTheme="minorHAnsi" w:hAnsiTheme="minorHAnsi"/>
          <w:lang w:val="es-MX"/>
        </w:rPr>
        <w:t>, Inicia levantamiento de información de la Encuesta Nacional sobre Diversidad Sexual y de Género (ENDISEG) 2021, 23 de agosto de 2021.</w:t>
      </w:r>
    </w:p>
  </w:footnote>
  <w:footnote w:id="50">
    <w:p w14:paraId="72BBDBEB" w14:textId="2DB30909" w:rsidR="000235D8" w:rsidRPr="000D1DE6" w:rsidRDefault="000235D8" w:rsidP="00F46807">
      <w:pPr>
        <w:pStyle w:val="FootnoteText"/>
        <w:spacing w:after="120"/>
        <w:ind w:firstLine="720"/>
        <w:rPr>
          <w:rFonts w:asciiTheme="minorHAnsi" w:hAnsiTheme="minorHAnsi"/>
          <w:lang w:val="es-MX"/>
        </w:rPr>
      </w:pPr>
      <w:r w:rsidRPr="000D1DE6">
        <w:rPr>
          <w:rStyle w:val="FootnoteReference"/>
          <w:rFonts w:asciiTheme="minorHAnsi" w:hAnsiTheme="minorHAnsi"/>
          <w:lang w:val="es-MX"/>
        </w:rPr>
        <w:footnoteRef/>
      </w:r>
      <w:r w:rsidRPr="000D1DE6">
        <w:rPr>
          <w:rFonts w:asciiTheme="minorHAnsi" w:hAnsiTheme="minorHAnsi"/>
          <w:lang w:val="es-MX"/>
        </w:rPr>
        <w:t xml:space="preserve"> CONAPRED, </w:t>
      </w:r>
      <w:hyperlink r:id="rId30" w:history="1">
        <w:r w:rsidRPr="000D1DE6">
          <w:rPr>
            <w:rStyle w:val="Hyperlink"/>
            <w:rFonts w:asciiTheme="minorHAnsi" w:hAnsiTheme="minorHAnsi"/>
            <w:lang w:val="es-MX"/>
          </w:rPr>
          <w:t>ENDOSIG 2018</w:t>
        </w:r>
      </w:hyperlink>
      <w:r w:rsidRPr="000D1DE6">
        <w:rPr>
          <w:rFonts w:asciiTheme="minorHAnsi" w:hAnsiTheme="minorHAnsi"/>
          <w:lang w:val="es-MX"/>
        </w:rPr>
        <w:t xml:space="preserve">. </w:t>
      </w:r>
    </w:p>
  </w:footnote>
  <w:footnote w:id="51">
    <w:p w14:paraId="3C22ED17" w14:textId="796FD595" w:rsidR="007B69C1" w:rsidRPr="000D1DE6" w:rsidRDefault="007B69C1" w:rsidP="00F46807">
      <w:pPr>
        <w:pStyle w:val="FootnoteText"/>
        <w:spacing w:after="120"/>
        <w:ind w:firstLine="720"/>
      </w:pPr>
      <w:r w:rsidRPr="000D1DE6">
        <w:rPr>
          <w:rStyle w:val="FootnoteReference"/>
        </w:rPr>
        <w:footnoteRef/>
      </w:r>
      <w:r w:rsidRPr="000D1DE6">
        <w:t xml:space="preserve"> </w:t>
      </w:r>
      <w:r w:rsidRPr="000D1DE6">
        <w:rPr>
          <w:rFonts w:asciiTheme="minorHAnsi" w:eastAsia="Cambria" w:hAnsiTheme="minorHAnsi" w:cs="Cambria"/>
          <w:color w:val="000000"/>
          <w:lang w:val="es-MX"/>
        </w:rPr>
        <w:t>Observaciones y comentarios del Estado de 24 de enero de 2022, pág. 7.</w:t>
      </w:r>
    </w:p>
  </w:footnote>
  <w:footnote w:id="52">
    <w:p w14:paraId="75568FFD" w14:textId="77777777" w:rsidR="000235D8" w:rsidRPr="000D1DE6" w:rsidRDefault="000235D8" w:rsidP="00F46807">
      <w:pPr>
        <w:pStyle w:val="FootnoteText"/>
        <w:spacing w:after="120"/>
        <w:ind w:firstLine="720"/>
        <w:rPr>
          <w:rFonts w:asciiTheme="minorHAnsi" w:hAnsiTheme="minorHAnsi"/>
          <w:lang w:val="es-MX"/>
        </w:rPr>
      </w:pPr>
      <w:r w:rsidRPr="000D1DE6">
        <w:rPr>
          <w:rStyle w:val="FootnoteReference"/>
          <w:rFonts w:asciiTheme="minorHAnsi" w:hAnsiTheme="minorHAnsi"/>
          <w:lang w:val="es-MX"/>
        </w:rPr>
        <w:footnoteRef/>
      </w:r>
      <w:r w:rsidRPr="000D1DE6">
        <w:rPr>
          <w:rFonts w:asciiTheme="minorHAnsi" w:hAnsiTheme="minorHAnsi"/>
          <w:lang w:val="es-MX"/>
        </w:rPr>
        <w:t xml:space="preserve"> INEGI, </w:t>
      </w:r>
      <w:hyperlink r:id="rId31" w:history="1">
        <w:r w:rsidRPr="000D1DE6">
          <w:rPr>
            <w:rStyle w:val="Hyperlink"/>
            <w:rFonts w:asciiTheme="minorHAnsi" w:hAnsiTheme="minorHAnsi"/>
            <w:lang w:val="es-MX"/>
          </w:rPr>
          <w:t>ENPOL 2021</w:t>
        </w:r>
      </w:hyperlink>
      <w:r w:rsidRPr="000D1DE6">
        <w:rPr>
          <w:rFonts w:asciiTheme="minorHAnsi" w:hAnsiTheme="minorHAnsi"/>
          <w:lang w:val="es-MX"/>
        </w:rPr>
        <w:t>, diciembre de 2021.</w:t>
      </w:r>
    </w:p>
  </w:footnote>
  <w:footnote w:id="53">
    <w:p w14:paraId="02376B3F" w14:textId="77777777" w:rsidR="000235D8" w:rsidRPr="000D1DE6" w:rsidRDefault="000235D8" w:rsidP="00F46807">
      <w:pPr>
        <w:pStyle w:val="FootnoteText"/>
        <w:spacing w:after="120"/>
        <w:ind w:firstLine="720"/>
        <w:rPr>
          <w:rFonts w:asciiTheme="minorHAnsi" w:hAnsiTheme="minorHAnsi"/>
          <w:lang w:val="es-MX"/>
        </w:rPr>
      </w:pPr>
      <w:r w:rsidRPr="000D1DE6">
        <w:rPr>
          <w:rStyle w:val="FootnoteReference"/>
          <w:rFonts w:asciiTheme="minorHAnsi" w:hAnsiTheme="minorHAnsi"/>
          <w:lang w:val="es-MX"/>
        </w:rPr>
        <w:footnoteRef/>
      </w:r>
      <w:r w:rsidRPr="000D1DE6">
        <w:rPr>
          <w:rFonts w:asciiTheme="minorHAnsi" w:hAnsiTheme="minorHAnsi"/>
          <w:lang w:val="es-MX"/>
        </w:rPr>
        <w:t xml:space="preserve"> INEGI, </w:t>
      </w:r>
      <w:hyperlink r:id="rId32" w:history="1">
        <w:r w:rsidRPr="000D1DE6">
          <w:rPr>
            <w:rStyle w:val="Hyperlink"/>
            <w:rFonts w:asciiTheme="minorHAnsi" w:hAnsiTheme="minorHAnsi"/>
            <w:lang w:val="es-MX"/>
          </w:rPr>
          <w:t>ENPOL 2021</w:t>
        </w:r>
      </w:hyperlink>
      <w:r w:rsidRPr="000D1DE6">
        <w:rPr>
          <w:rFonts w:asciiTheme="minorHAnsi" w:hAnsiTheme="minorHAnsi"/>
          <w:lang w:val="es-MX"/>
        </w:rPr>
        <w:t>, diciembre de 2021.</w:t>
      </w:r>
    </w:p>
  </w:footnote>
  <w:footnote w:id="54">
    <w:p w14:paraId="28EF7867" w14:textId="11602D08" w:rsidR="007B69C1" w:rsidRPr="000D1DE6" w:rsidRDefault="007B69C1" w:rsidP="00F46807">
      <w:pPr>
        <w:pStyle w:val="FootnoteText"/>
        <w:spacing w:after="120"/>
        <w:ind w:firstLine="720"/>
      </w:pPr>
      <w:r w:rsidRPr="000D1DE6">
        <w:rPr>
          <w:rStyle w:val="FootnoteReference"/>
        </w:rPr>
        <w:footnoteRef/>
      </w:r>
      <w:r w:rsidRPr="000D1DE6">
        <w:t xml:space="preserve"> </w:t>
      </w:r>
      <w:r w:rsidRPr="000D1DE6">
        <w:rPr>
          <w:rFonts w:asciiTheme="minorHAnsi" w:eastAsia="Cambria" w:hAnsiTheme="minorHAnsi" w:cs="Cambria"/>
          <w:color w:val="000000"/>
          <w:lang w:val="es-MX"/>
        </w:rPr>
        <w:t>Observaciones y comentarios del Estado de 24 de enero de 2022, págs. 8-9</w:t>
      </w:r>
      <w:r w:rsidR="00FD16FD">
        <w:rPr>
          <w:rFonts w:asciiTheme="minorHAnsi" w:eastAsia="Cambria" w:hAnsiTheme="minorHAnsi" w:cs="Cambria"/>
          <w:color w:val="000000"/>
          <w:lang w:val="es-MX"/>
        </w:rPr>
        <w:t>.</w:t>
      </w:r>
    </w:p>
  </w:footnote>
  <w:footnote w:id="55">
    <w:p w14:paraId="0780C532" w14:textId="31AC4A3F" w:rsidR="007B69C1" w:rsidRPr="000D1DE6" w:rsidRDefault="007B69C1" w:rsidP="00F46807">
      <w:pPr>
        <w:pStyle w:val="FootnoteText"/>
        <w:spacing w:after="120"/>
        <w:ind w:firstLine="720"/>
      </w:pPr>
      <w:r w:rsidRPr="000D1DE6">
        <w:rPr>
          <w:rStyle w:val="FootnoteReference"/>
        </w:rPr>
        <w:footnoteRef/>
      </w:r>
      <w:r w:rsidRPr="000D1DE6">
        <w:t xml:space="preserve"> </w:t>
      </w:r>
      <w:r w:rsidRPr="000D1DE6">
        <w:rPr>
          <w:rFonts w:asciiTheme="minorHAnsi" w:eastAsia="Cambria" w:hAnsiTheme="minorHAnsi" w:cs="Cambria"/>
          <w:color w:val="000000"/>
          <w:lang w:val="es-MX"/>
        </w:rPr>
        <w:t>Observaciones y comentarios del Estado de 24 de enero de 2022, págs. 8-9</w:t>
      </w:r>
      <w:r w:rsidR="00FD16FD">
        <w:rPr>
          <w:rFonts w:asciiTheme="minorHAnsi" w:eastAsia="Cambria" w:hAnsiTheme="minorHAnsi" w:cs="Cambria"/>
          <w:color w:val="000000"/>
          <w:lang w:val="es-MX"/>
        </w:rPr>
        <w:t>.</w:t>
      </w:r>
    </w:p>
  </w:footnote>
  <w:footnote w:id="56">
    <w:p w14:paraId="00770598" w14:textId="39A93186" w:rsidR="000235D8" w:rsidRPr="000D1DE6" w:rsidRDefault="000235D8" w:rsidP="00F46807">
      <w:pPr>
        <w:pStyle w:val="FootnoteText"/>
        <w:spacing w:after="120"/>
        <w:ind w:firstLine="720"/>
        <w:rPr>
          <w:rFonts w:asciiTheme="minorHAnsi" w:hAnsiTheme="minorHAnsi"/>
          <w:lang w:val="es-MX"/>
        </w:rPr>
      </w:pPr>
      <w:r w:rsidRPr="000D1DE6">
        <w:rPr>
          <w:rStyle w:val="FootnoteReference"/>
          <w:rFonts w:asciiTheme="minorHAnsi" w:hAnsiTheme="minorHAnsi"/>
          <w:lang w:val="es-MX"/>
        </w:rPr>
        <w:footnoteRef/>
      </w:r>
      <w:r w:rsidRPr="000D1DE6">
        <w:rPr>
          <w:rFonts w:asciiTheme="minorHAnsi" w:hAnsiTheme="minorHAnsi"/>
          <w:lang w:val="es-MX"/>
        </w:rPr>
        <w:t xml:space="preserve"> Noveno Informe del Estado mexicano sobre el cumplimiento y seguimiento de las recomendaciones contenidas en el informe “Situación de los Derechos Humanos en México”, pág. 14 – 16. El Estado informó la Dirección de Prevención del Delitos también brindó pláticas informativas, foros, conferencias y reuniones relacionadas con el tema para servidoras y servidores públicos que realizan funciones de prevención del delito en Fiscalía, indicando que estos conocimientos son multiplicados por el personal que ejecuta los programas de prevención del delito en centros escolares, comunitarios y deportivos, entre otras capacitaciones a nivel municipal</w:t>
      </w:r>
      <w:r w:rsidR="00FD16FD">
        <w:rPr>
          <w:rFonts w:asciiTheme="minorHAnsi" w:hAnsiTheme="minorHAnsi"/>
          <w:lang w:val="es-MX"/>
        </w:rPr>
        <w:t>.</w:t>
      </w:r>
    </w:p>
  </w:footnote>
  <w:footnote w:id="57">
    <w:p w14:paraId="74BA89A3" w14:textId="77777777" w:rsidR="000235D8" w:rsidRPr="000D1DE6" w:rsidRDefault="000235D8" w:rsidP="00F46807">
      <w:pPr>
        <w:pBdr>
          <w:top w:val="nil"/>
          <w:left w:val="nil"/>
          <w:bottom w:val="nil"/>
          <w:right w:val="nil"/>
          <w:between w:val="nil"/>
        </w:pBdr>
        <w:spacing w:after="120" w:line="240" w:lineRule="auto"/>
        <w:ind w:firstLine="720"/>
        <w:jc w:val="both"/>
        <w:rPr>
          <w:rFonts w:asciiTheme="minorHAnsi" w:eastAsia="Cambria" w:hAnsiTheme="minorHAnsi" w:cs="Cambria"/>
          <w:sz w:val="18"/>
          <w:szCs w:val="18"/>
          <w:lang w:val="es-MX"/>
        </w:rPr>
      </w:pPr>
      <w:r w:rsidRPr="000D1DE6">
        <w:rPr>
          <w:rFonts w:asciiTheme="minorHAnsi" w:hAnsiTheme="minorHAnsi"/>
          <w:sz w:val="18"/>
          <w:szCs w:val="18"/>
          <w:vertAlign w:val="superscript"/>
          <w:lang w:val="es-MX"/>
        </w:rPr>
        <w:footnoteRef/>
      </w:r>
      <w:r w:rsidRPr="000D1DE6">
        <w:rPr>
          <w:rFonts w:asciiTheme="minorHAnsi" w:eastAsia="Cambria" w:hAnsiTheme="minorHAnsi" w:cs="Cambria"/>
          <w:color w:val="000000"/>
          <w:sz w:val="18"/>
          <w:szCs w:val="18"/>
          <w:lang w:val="es-MX"/>
        </w:rPr>
        <w:t xml:space="preserve"> The New York Times, </w:t>
      </w:r>
      <w:hyperlink r:id="rId33">
        <w:r w:rsidRPr="000D1DE6">
          <w:rPr>
            <w:rFonts w:asciiTheme="minorHAnsi" w:eastAsia="Cambria" w:hAnsiTheme="minorHAnsi" w:cs="Cambria"/>
            <w:color w:val="1155CC"/>
            <w:sz w:val="18"/>
            <w:szCs w:val="18"/>
            <w:u w:val="single"/>
            <w:lang w:val="es-MX"/>
          </w:rPr>
          <w:t xml:space="preserve">México se dispone a legalizar la marihuana y a convertirse en el mayor mercado del mundo, </w:t>
        </w:r>
      </w:hyperlink>
      <w:r w:rsidRPr="000D1DE6">
        <w:rPr>
          <w:rFonts w:asciiTheme="minorHAnsi" w:eastAsia="Cambria" w:hAnsiTheme="minorHAnsi" w:cs="Cambria"/>
          <w:sz w:val="18"/>
          <w:szCs w:val="18"/>
          <w:lang w:val="es-MX"/>
        </w:rPr>
        <w:t>20 de marzo de 2021.</w:t>
      </w:r>
    </w:p>
  </w:footnote>
  <w:footnote w:id="58">
    <w:p w14:paraId="1DBDBBCB" w14:textId="01A55775" w:rsidR="000235D8" w:rsidRPr="000D1DE6" w:rsidRDefault="000235D8" w:rsidP="00F46807">
      <w:pPr>
        <w:pStyle w:val="FootnoteText"/>
        <w:spacing w:after="120"/>
        <w:ind w:firstLine="720"/>
        <w:rPr>
          <w:rFonts w:asciiTheme="minorHAnsi" w:hAnsiTheme="minorHAnsi"/>
          <w:lang w:val="es-MX"/>
        </w:rPr>
      </w:pPr>
      <w:r w:rsidRPr="000D1DE6">
        <w:rPr>
          <w:rStyle w:val="FootnoteReference"/>
          <w:rFonts w:asciiTheme="minorHAnsi" w:hAnsiTheme="minorHAnsi"/>
          <w:lang w:val="es-MX"/>
        </w:rPr>
        <w:footnoteRef/>
      </w:r>
      <w:r w:rsidRPr="000D1DE6">
        <w:rPr>
          <w:rFonts w:asciiTheme="minorHAnsi" w:hAnsiTheme="minorHAnsi"/>
          <w:lang w:val="es-MX"/>
        </w:rPr>
        <w:t xml:space="preserve"> BBC, </w:t>
      </w:r>
      <w:hyperlink r:id="rId34" w:history="1">
        <w:r w:rsidRPr="000D1DE6">
          <w:rPr>
            <w:rStyle w:val="Hyperlink"/>
            <w:rFonts w:asciiTheme="minorHAnsi" w:hAnsiTheme="minorHAnsi"/>
            <w:lang w:val="es-MX"/>
          </w:rPr>
          <w:t>Marihuana en México: 5 preguntas sobre qué cambia ahora que la ley no prohíbe el consumo lúdico de cannabis</w:t>
        </w:r>
      </w:hyperlink>
      <w:r w:rsidRPr="000D1DE6">
        <w:rPr>
          <w:rFonts w:asciiTheme="minorHAnsi" w:hAnsiTheme="minorHAnsi"/>
          <w:lang w:val="es-MX"/>
        </w:rPr>
        <w:t>, 30 de junio de 2021.</w:t>
      </w:r>
    </w:p>
  </w:footnote>
  <w:footnote w:id="59">
    <w:p w14:paraId="0450A674" w14:textId="2ADDA4F8" w:rsidR="007B69C1" w:rsidRPr="000D1DE6" w:rsidRDefault="007B69C1" w:rsidP="00F46807">
      <w:pPr>
        <w:pStyle w:val="FootnoteText"/>
        <w:spacing w:after="120"/>
        <w:ind w:firstLine="720"/>
      </w:pPr>
      <w:r w:rsidRPr="000D1DE6">
        <w:rPr>
          <w:rStyle w:val="FootnoteReference"/>
        </w:rPr>
        <w:footnoteRef/>
      </w:r>
      <w:r w:rsidRPr="000D1DE6">
        <w:t xml:space="preserve"> </w:t>
      </w:r>
      <w:r w:rsidRPr="000D1DE6">
        <w:rPr>
          <w:rFonts w:asciiTheme="minorHAnsi" w:eastAsia="Cambria" w:hAnsiTheme="minorHAnsi" w:cs="Cambria"/>
          <w:color w:val="000000"/>
          <w:lang w:val="es-MX"/>
        </w:rPr>
        <w:t>Observaciones y comentarios del Estado de 24 de enero de 2022, pág. 8</w:t>
      </w:r>
      <w:r w:rsidR="00FD16FD">
        <w:rPr>
          <w:rFonts w:asciiTheme="minorHAnsi" w:eastAsia="Cambria" w:hAnsiTheme="minorHAnsi" w:cs="Cambria"/>
          <w:color w:val="000000"/>
          <w:lang w:val="es-MX"/>
        </w:rPr>
        <w:t>.</w:t>
      </w:r>
    </w:p>
    <w:p w14:paraId="60690BD8" w14:textId="250E6BEF" w:rsidR="007B69C1" w:rsidRPr="000D1DE6" w:rsidRDefault="007B69C1" w:rsidP="00F46807">
      <w:pPr>
        <w:pStyle w:val="FootnoteText"/>
        <w:spacing w:after="120"/>
        <w:ind w:firstLine="720"/>
      </w:pPr>
    </w:p>
  </w:footnote>
  <w:footnote w:id="60">
    <w:p w14:paraId="2A46EC74" w14:textId="77777777" w:rsidR="000235D8" w:rsidRPr="000D1DE6" w:rsidRDefault="000235D8" w:rsidP="00F46807">
      <w:pPr>
        <w:pBdr>
          <w:top w:val="nil"/>
          <w:left w:val="nil"/>
          <w:bottom w:val="nil"/>
          <w:right w:val="nil"/>
          <w:between w:val="nil"/>
        </w:pBdr>
        <w:spacing w:after="120" w:line="240" w:lineRule="auto"/>
        <w:ind w:firstLine="720"/>
        <w:jc w:val="both"/>
        <w:rPr>
          <w:rFonts w:asciiTheme="minorHAnsi" w:eastAsia="Cambria" w:hAnsiTheme="minorHAnsi" w:cs="Cambria"/>
          <w:color w:val="000000"/>
          <w:sz w:val="18"/>
          <w:szCs w:val="18"/>
          <w:lang w:val="es-MX"/>
        </w:rPr>
      </w:pPr>
      <w:r w:rsidRPr="000D1DE6">
        <w:rPr>
          <w:rFonts w:asciiTheme="minorHAnsi" w:hAnsiTheme="minorHAnsi"/>
          <w:sz w:val="18"/>
          <w:szCs w:val="18"/>
          <w:vertAlign w:val="superscript"/>
          <w:lang w:val="es-MX"/>
        </w:rPr>
        <w:footnoteRef/>
      </w:r>
      <w:r w:rsidRPr="000D1DE6">
        <w:rPr>
          <w:rFonts w:asciiTheme="minorHAnsi" w:eastAsia="Cambria" w:hAnsiTheme="minorHAnsi" w:cs="Cambria"/>
          <w:color w:val="000000"/>
          <w:sz w:val="18"/>
          <w:szCs w:val="18"/>
          <w:lang w:val="pt-BR"/>
        </w:rPr>
        <w:t xml:space="preserve"> CIDH, </w:t>
      </w:r>
      <w:hyperlink r:id="rId35" w:history="1">
        <w:r w:rsidRPr="000D1DE6">
          <w:rPr>
            <w:rStyle w:val="Hyperlink"/>
            <w:rFonts w:asciiTheme="minorHAnsi" w:eastAsia="Cambria" w:hAnsiTheme="minorHAnsi" w:cs="Cambria"/>
            <w:sz w:val="18"/>
            <w:szCs w:val="18"/>
            <w:lang w:val="pt-BR"/>
          </w:rPr>
          <w:t>Informe Anual, México</w:t>
        </w:r>
      </w:hyperlink>
      <w:r w:rsidRPr="000D1DE6">
        <w:rPr>
          <w:rFonts w:asciiTheme="minorHAnsi" w:eastAsia="Cambria" w:hAnsiTheme="minorHAnsi" w:cs="Cambria"/>
          <w:color w:val="000000"/>
          <w:sz w:val="18"/>
          <w:szCs w:val="18"/>
          <w:lang w:val="pt-BR"/>
        </w:rPr>
        <w:t xml:space="preserve">, 2020, párr. 59; CIDH, </w:t>
      </w:r>
      <w:hyperlink r:id="rId36">
        <w:r w:rsidRPr="000D1DE6">
          <w:rPr>
            <w:rFonts w:asciiTheme="minorHAnsi" w:eastAsia="Cambria" w:hAnsiTheme="minorHAnsi" w:cs="Cambria"/>
            <w:color w:val="0000FF"/>
            <w:sz w:val="18"/>
            <w:szCs w:val="18"/>
            <w:u w:val="single"/>
            <w:lang w:val="pt-BR"/>
          </w:rPr>
          <w:t>Informe Anual, México</w:t>
        </w:r>
      </w:hyperlink>
      <w:r w:rsidRPr="000D1DE6">
        <w:rPr>
          <w:rFonts w:asciiTheme="minorHAnsi" w:eastAsia="Cambria" w:hAnsiTheme="minorHAnsi" w:cs="Cambria"/>
          <w:color w:val="000000"/>
          <w:sz w:val="18"/>
          <w:szCs w:val="18"/>
          <w:lang w:val="pt-BR"/>
        </w:rPr>
        <w:t xml:space="preserve">, 2019, párr. 57; CIDH, </w:t>
      </w:r>
      <w:hyperlink r:id="rId37">
        <w:r w:rsidRPr="000D1DE6">
          <w:rPr>
            <w:rFonts w:asciiTheme="minorHAnsi" w:eastAsia="Cambria" w:hAnsiTheme="minorHAnsi" w:cs="Cambria"/>
            <w:color w:val="0000FF"/>
            <w:sz w:val="18"/>
            <w:szCs w:val="18"/>
            <w:u w:val="single"/>
            <w:lang w:val="pt-BR"/>
          </w:rPr>
          <w:t>Informe Anual, México,</w:t>
        </w:r>
      </w:hyperlink>
      <w:r w:rsidRPr="000D1DE6">
        <w:rPr>
          <w:rFonts w:asciiTheme="minorHAnsi" w:eastAsia="Cambria" w:hAnsiTheme="minorHAnsi" w:cs="Cambria"/>
          <w:color w:val="000000"/>
          <w:sz w:val="18"/>
          <w:szCs w:val="18"/>
          <w:lang w:val="pt-BR"/>
        </w:rPr>
        <w:t xml:space="preserve"> 2018, párr. </w:t>
      </w:r>
      <w:r w:rsidRPr="000D1DE6">
        <w:rPr>
          <w:rFonts w:asciiTheme="minorHAnsi" w:eastAsia="Cambria" w:hAnsiTheme="minorHAnsi" w:cs="Cambria"/>
          <w:color w:val="000000"/>
          <w:sz w:val="18"/>
          <w:szCs w:val="18"/>
          <w:lang w:val="es-MX"/>
        </w:rPr>
        <w:t xml:space="preserve">40. </w:t>
      </w:r>
    </w:p>
  </w:footnote>
  <w:footnote w:id="61">
    <w:p w14:paraId="7DE9DD74" w14:textId="77777777" w:rsidR="000235D8" w:rsidRPr="000D1DE6" w:rsidRDefault="000235D8" w:rsidP="00F46807">
      <w:pPr>
        <w:pStyle w:val="FootnoteText"/>
        <w:spacing w:after="120"/>
        <w:ind w:firstLine="720"/>
        <w:rPr>
          <w:rFonts w:asciiTheme="minorHAnsi" w:hAnsiTheme="minorHAnsi"/>
          <w:lang w:val="es-MX"/>
        </w:rPr>
      </w:pPr>
      <w:r w:rsidRPr="000D1DE6">
        <w:rPr>
          <w:rStyle w:val="FootnoteReference"/>
          <w:rFonts w:asciiTheme="minorHAnsi" w:hAnsiTheme="minorHAnsi"/>
          <w:lang w:val="es-MX"/>
        </w:rPr>
        <w:footnoteRef/>
      </w:r>
      <w:r w:rsidRPr="000D1DE6">
        <w:rPr>
          <w:rFonts w:asciiTheme="minorHAnsi" w:hAnsiTheme="minorHAnsi"/>
          <w:lang w:val="es-MX"/>
        </w:rPr>
        <w:t xml:space="preserve"> Noveno Informe del Estado mexicano sobre el cumplimiento y seguimiento de las recomendaciones contenidas en el informe “Situación de los Derechos Humanos en México”, pág. 16. </w:t>
      </w:r>
    </w:p>
  </w:footnote>
  <w:footnote w:id="62">
    <w:p w14:paraId="10CB83A9" w14:textId="025DC172" w:rsidR="0094035E" w:rsidRPr="000D1DE6" w:rsidRDefault="0094035E" w:rsidP="00F46807">
      <w:pPr>
        <w:pStyle w:val="FootnoteText"/>
        <w:spacing w:after="120"/>
        <w:ind w:firstLine="720"/>
        <w:rPr>
          <w:rFonts w:asciiTheme="minorHAnsi" w:hAnsiTheme="minorHAnsi"/>
        </w:rPr>
      </w:pPr>
      <w:r w:rsidRPr="000D1DE6">
        <w:rPr>
          <w:rStyle w:val="FootnoteReference"/>
          <w:rFonts w:asciiTheme="minorHAnsi" w:hAnsiTheme="minorHAnsi"/>
        </w:rPr>
        <w:footnoteRef/>
      </w:r>
      <w:r w:rsidRPr="000D1DE6">
        <w:rPr>
          <w:rFonts w:asciiTheme="minorHAnsi" w:hAnsiTheme="minorHAnsi"/>
        </w:rPr>
        <w:t xml:space="preserve"> CIDH, </w:t>
      </w:r>
      <w:hyperlink r:id="rId38" w:history="1">
        <w:r w:rsidRPr="000D1DE6">
          <w:rPr>
            <w:rStyle w:val="Hyperlink"/>
            <w:rFonts w:asciiTheme="minorHAnsi" w:hAnsiTheme="minorHAnsi"/>
          </w:rPr>
          <w:t>Reporte de la CNDH ante el SIMORE,</w:t>
        </w:r>
      </w:hyperlink>
      <w:r w:rsidRPr="000D1DE6">
        <w:rPr>
          <w:rFonts w:asciiTheme="minorHAnsi" w:hAnsiTheme="minorHAnsi"/>
        </w:rPr>
        <w:t xml:space="preserve"> 15 de diciembre de 2021.</w:t>
      </w:r>
    </w:p>
  </w:footnote>
  <w:footnote w:id="63">
    <w:p w14:paraId="0FE197A4" w14:textId="77777777" w:rsidR="000235D8" w:rsidRPr="000D1DE6" w:rsidRDefault="000235D8" w:rsidP="00F46807">
      <w:pPr>
        <w:pStyle w:val="FootnoteText"/>
        <w:spacing w:after="120"/>
        <w:ind w:firstLine="720"/>
        <w:rPr>
          <w:rFonts w:asciiTheme="minorHAnsi" w:hAnsiTheme="minorHAnsi"/>
          <w:lang w:val="es-MX"/>
        </w:rPr>
      </w:pPr>
      <w:r w:rsidRPr="000D1DE6">
        <w:rPr>
          <w:rStyle w:val="FootnoteReference"/>
          <w:rFonts w:asciiTheme="minorHAnsi" w:hAnsiTheme="minorHAnsi"/>
          <w:lang w:val="es-MX"/>
        </w:rPr>
        <w:footnoteRef/>
      </w:r>
      <w:r w:rsidRPr="000D1DE6">
        <w:rPr>
          <w:rFonts w:asciiTheme="minorHAnsi" w:hAnsiTheme="minorHAnsi"/>
          <w:lang w:val="es-MX"/>
        </w:rPr>
        <w:t xml:space="preserve"> Noveno Informe del Estado mexicano sobre el cumplimiento y seguimiento de las recomendaciones contenidas en el informe “Situación de los Derechos Humanos en México”, págs. 16 – 17; </w:t>
      </w:r>
      <w:r w:rsidRPr="000D1DE6">
        <w:rPr>
          <w:rFonts w:asciiTheme="minorHAnsi" w:eastAsia="Cambria" w:hAnsiTheme="minorHAnsi" w:cs="Cambria"/>
          <w:color w:val="000000"/>
          <w:lang w:val="es-MX"/>
        </w:rPr>
        <w:t xml:space="preserve">Diario Oficial de la Federación, </w:t>
      </w:r>
      <w:hyperlink r:id="rId39">
        <w:r w:rsidRPr="000D1DE6">
          <w:rPr>
            <w:rFonts w:asciiTheme="minorHAnsi" w:eastAsia="Cambria" w:hAnsiTheme="minorHAnsi" w:cs="Cambria"/>
            <w:color w:val="0000FF"/>
            <w:u w:val="single"/>
            <w:lang w:val="es-MX"/>
          </w:rPr>
          <w:t>Acuerdo SNBP/002/2020 por el que se aprueba el Protocolo Homologado para la Búsqueda de Personas Desaparecidas y No Localizadas, el cual se anexa al presente Acuerdo y forma parte integrante del mismo</w:t>
        </w:r>
      </w:hyperlink>
      <w:r w:rsidRPr="000D1DE6">
        <w:rPr>
          <w:rFonts w:asciiTheme="minorHAnsi" w:eastAsia="Cambria" w:hAnsiTheme="minorHAnsi" w:cs="Cambria"/>
          <w:color w:val="000000"/>
          <w:lang w:val="es-MX"/>
        </w:rPr>
        <w:t>, 06 de octubre de 2020.</w:t>
      </w:r>
    </w:p>
  </w:footnote>
  <w:footnote w:id="64">
    <w:p w14:paraId="5C8322A7" w14:textId="59185859" w:rsidR="000235D8" w:rsidRPr="000D1DE6" w:rsidRDefault="000235D8" w:rsidP="00F46807">
      <w:pPr>
        <w:pStyle w:val="FootnoteText"/>
        <w:spacing w:after="120"/>
        <w:ind w:firstLine="720"/>
        <w:rPr>
          <w:rFonts w:asciiTheme="minorHAnsi" w:hAnsiTheme="minorHAnsi"/>
          <w:shd w:val="clear" w:color="auto" w:fill="FFFFFF"/>
          <w:lang w:val="es-MX"/>
        </w:rPr>
      </w:pPr>
      <w:r w:rsidRPr="000D1DE6">
        <w:rPr>
          <w:rStyle w:val="FootnoteReference"/>
          <w:rFonts w:asciiTheme="minorHAnsi" w:hAnsiTheme="minorHAnsi"/>
          <w:lang w:val="es-MX"/>
        </w:rPr>
        <w:footnoteRef/>
      </w:r>
      <w:r w:rsidRPr="000D1DE6">
        <w:rPr>
          <w:rFonts w:asciiTheme="minorHAnsi" w:hAnsiTheme="minorHAnsi"/>
          <w:lang w:val="es-MX"/>
        </w:rPr>
        <w:t xml:space="preserve"> </w:t>
      </w:r>
      <w:r w:rsidRPr="000D1DE6">
        <w:rPr>
          <w:rFonts w:asciiTheme="minorHAnsi" w:hAnsiTheme="minorHAnsi"/>
          <w:shd w:val="clear" w:color="auto" w:fill="FFFFFF"/>
          <w:lang w:val="es-MX"/>
        </w:rPr>
        <w:t xml:space="preserve">CIDH, </w:t>
      </w:r>
      <w:hyperlink r:id="rId40" w:history="1">
        <w:r w:rsidRPr="000D1DE6">
          <w:rPr>
            <w:rStyle w:val="Hyperlink"/>
            <w:rFonts w:asciiTheme="minorHAnsi" w:hAnsiTheme="minorHAnsi"/>
            <w:shd w:val="clear" w:color="auto" w:fill="FFFFFF"/>
            <w:lang w:val="es-MX"/>
          </w:rPr>
          <w:t>https://twitter.com/CIDH/status/1383037926066520064?s=20</w:t>
        </w:r>
      </w:hyperlink>
      <w:r w:rsidRPr="000D1DE6">
        <w:rPr>
          <w:rFonts w:asciiTheme="minorHAnsi" w:hAnsiTheme="minorHAnsi"/>
          <w:shd w:val="clear" w:color="auto" w:fill="FFFFFF"/>
          <w:lang w:val="es-MX"/>
        </w:rPr>
        <w:t xml:space="preserve">, 16 de abril de 2021; </w:t>
      </w:r>
      <w:r w:rsidRPr="000D1DE6">
        <w:rPr>
          <w:rFonts w:asciiTheme="minorHAnsi" w:hAnsiTheme="minorHAnsi"/>
          <w:lang w:val="es-MX"/>
        </w:rPr>
        <w:t xml:space="preserve">Noveno Informe del Estado mexicano sobre el cumplimiento y seguimiento de las recomendaciones contenidas en el informe “Situación de los Derechos Humanos en México”, págs. 17 – 18; </w:t>
      </w:r>
      <w:r w:rsidRPr="000D1DE6">
        <w:rPr>
          <w:rFonts w:asciiTheme="minorHAnsi" w:eastAsia="Cambria" w:hAnsiTheme="minorHAnsi" w:cs="Cambria"/>
          <w:lang w:val="es-MX"/>
        </w:rPr>
        <w:t xml:space="preserve">Diario Oficial de la Federación, </w:t>
      </w:r>
      <w:hyperlink r:id="rId41" w:history="1">
        <w:r w:rsidRPr="000D1DE6">
          <w:rPr>
            <w:rStyle w:val="Hyperlink"/>
            <w:rFonts w:asciiTheme="minorHAnsi" w:hAnsiTheme="minorHAnsi"/>
            <w:shd w:val="clear" w:color="auto" w:fill="FFFFFF"/>
            <w:lang w:val="es-MX"/>
          </w:rPr>
          <w:t>Acuerdo SNBP/002/2021 por el que el Sistema Nacional de Búsqueda de Personas aprueba el Protocolo Adicional para la Búsqueda de Niñas, Niños y Adolescentes</w:t>
        </w:r>
      </w:hyperlink>
      <w:r w:rsidRPr="000D1DE6">
        <w:rPr>
          <w:rFonts w:asciiTheme="minorHAnsi" w:hAnsiTheme="minorHAnsi"/>
          <w:shd w:val="clear" w:color="auto" w:fill="FFFFFF"/>
          <w:lang w:val="es-MX"/>
        </w:rPr>
        <w:t xml:space="preserve">, 15 de julio de 2021; CIDH, </w:t>
      </w:r>
      <w:hyperlink r:id="rId42" w:history="1">
        <w:r w:rsidRPr="000D1DE6">
          <w:rPr>
            <w:rStyle w:val="Hyperlink"/>
            <w:rFonts w:asciiTheme="minorHAnsi" w:hAnsiTheme="minorHAnsi"/>
            <w:shd w:val="clear" w:color="auto" w:fill="FFFFFF"/>
            <w:lang w:val="es-MX"/>
          </w:rPr>
          <w:t>https://twitter.com/CIDH/status/1415804689493413897?s=20</w:t>
        </w:r>
      </w:hyperlink>
      <w:r w:rsidRPr="000D1DE6">
        <w:rPr>
          <w:rFonts w:asciiTheme="minorHAnsi" w:hAnsiTheme="minorHAnsi"/>
          <w:shd w:val="clear" w:color="auto" w:fill="FFFFFF"/>
          <w:lang w:val="es-MX"/>
        </w:rPr>
        <w:t>, 15 de julio de 2021.</w:t>
      </w:r>
    </w:p>
  </w:footnote>
  <w:footnote w:id="65">
    <w:p w14:paraId="2DD543B9" w14:textId="77777777" w:rsidR="000235D8" w:rsidRPr="000D1DE6" w:rsidRDefault="000235D8" w:rsidP="00F46807">
      <w:pPr>
        <w:pStyle w:val="FootnoteText"/>
        <w:spacing w:after="120"/>
        <w:ind w:firstLine="720"/>
        <w:rPr>
          <w:rFonts w:asciiTheme="minorHAnsi" w:hAnsiTheme="minorHAnsi"/>
          <w:lang w:val="es-MX"/>
        </w:rPr>
      </w:pPr>
      <w:r w:rsidRPr="000D1DE6">
        <w:rPr>
          <w:rStyle w:val="FootnoteReference"/>
          <w:rFonts w:asciiTheme="minorHAnsi" w:hAnsiTheme="minorHAnsi"/>
          <w:lang w:val="es-MX"/>
        </w:rPr>
        <w:footnoteRef/>
      </w:r>
      <w:r w:rsidRPr="000D1DE6">
        <w:rPr>
          <w:rFonts w:asciiTheme="minorHAnsi" w:hAnsiTheme="minorHAnsi"/>
          <w:lang w:val="es-MX"/>
        </w:rPr>
        <w:t xml:space="preserve"> Noveno Informe del Estado mexicano sobre el cumplimiento y seguimiento de las recomendaciones contenidas en el informe “Situación de los Derechos Humanos en México”, págs. 17 – 18.</w:t>
      </w:r>
    </w:p>
  </w:footnote>
  <w:footnote w:id="66">
    <w:p w14:paraId="6993EEFD" w14:textId="77777777" w:rsidR="000235D8" w:rsidRPr="000D1DE6" w:rsidRDefault="000235D8" w:rsidP="00F46807">
      <w:pPr>
        <w:pStyle w:val="FootnoteText"/>
        <w:spacing w:after="120"/>
        <w:ind w:firstLine="720"/>
        <w:rPr>
          <w:rFonts w:asciiTheme="minorHAnsi" w:hAnsiTheme="minorHAnsi"/>
          <w:lang w:val="es-MX"/>
        </w:rPr>
      </w:pPr>
      <w:r w:rsidRPr="000D1DE6">
        <w:rPr>
          <w:rStyle w:val="FootnoteReference"/>
          <w:rFonts w:asciiTheme="minorHAnsi" w:hAnsiTheme="minorHAnsi"/>
          <w:lang w:val="es-MX"/>
        </w:rPr>
        <w:footnoteRef/>
      </w:r>
      <w:r w:rsidRPr="000D1DE6">
        <w:rPr>
          <w:rFonts w:asciiTheme="minorHAnsi" w:hAnsiTheme="minorHAnsi"/>
          <w:lang w:val="es-MX"/>
        </w:rPr>
        <w:t xml:space="preserve"> CNB, </w:t>
      </w:r>
      <w:hyperlink r:id="rId43" w:history="1">
        <w:r w:rsidRPr="000D1DE6">
          <w:rPr>
            <w:rStyle w:val="Hyperlink"/>
            <w:rFonts w:asciiTheme="minorHAnsi" w:hAnsiTheme="minorHAnsi"/>
            <w:lang w:val="es-MX"/>
          </w:rPr>
          <w:t>Primera sesión ordinaria del Sistema Nacional de Búsqueda de Personas de 2021</w:t>
        </w:r>
      </w:hyperlink>
      <w:r w:rsidRPr="000D1DE6">
        <w:rPr>
          <w:rFonts w:asciiTheme="minorHAnsi" w:hAnsiTheme="minorHAnsi"/>
          <w:lang w:val="es-MX"/>
        </w:rPr>
        <w:t xml:space="preserve">, 15 de abril de 2021. </w:t>
      </w:r>
    </w:p>
  </w:footnote>
  <w:footnote w:id="67">
    <w:p w14:paraId="62D4F953" w14:textId="7BE76BCA" w:rsidR="000235D8" w:rsidRPr="000D1DE6" w:rsidRDefault="000235D8" w:rsidP="00F46807">
      <w:pPr>
        <w:pStyle w:val="FootnoteText"/>
        <w:spacing w:after="120"/>
        <w:ind w:firstLine="720"/>
        <w:rPr>
          <w:rFonts w:asciiTheme="minorHAnsi" w:eastAsia="Cambria" w:hAnsiTheme="minorHAnsi" w:cs="Cambria"/>
          <w:lang w:val="es-MX"/>
        </w:rPr>
      </w:pPr>
      <w:r w:rsidRPr="000D1DE6">
        <w:rPr>
          <w:rStyle w:val="FootnoteReference"/>
          <w:rFonts w:asciiTheme="minorHAnsi" w:hAnsiTheme="minorHAnsi"/>
          <w:lang w:val="es-MX"/>
        </w:rPr>
        <w:footnoteRef/>
      </w:r>
      <w:r w:rsidRPr="000D1DE6">
        <w:rPr>
          <w:rFonts w:asciiTheme="minorHAnsi" w:hAnsiTheme="minorHAnsi"/>
          <w:lang w:val="es-MX"/>
        </w:rPr>
        <w:t xml:space="preserve"> </w:t>
      </w:r>
      <w:r w:rsidRPr="000D1DE6">
        <w:rPr>
          <w:rFonts w:asciiTheme="minorHAnsi" w:eastAsia="Cambria" w:hAnsiTheme="minorHAnsi" w:cs="Cambria"/>
          <w:lang w:val="es-MX"/>
        </w:rPr>
        <w:t xml:space="preserve">CIDH, </w:t>
      </w:r>
      <w:hyperlink r:id="rId44" w:history="1">
        <w:r w:rsidRPr="000D1DE6">
          <w:rPr>
            <w:rStyle w:val="Hyperlink"/>
            <w:rFonts w:asciiTheme="minorHAnsi" w:eastAsia="Cambria" w:hAnsiTheme="minorHAnsi" w:cs="Cambria"/>
            <w:lang w:val="es-MX"/>
          </w:rPr>
          <w:t>https://twitter.com/CIDH/status/1458462923702128643?s=20</w:t>
        </w:r>
      </w:hyperlink>
      <w:r w:rsidRPr="000D1DE6">
        <w:rPr>
          <w:rFonts w:asciiTheme="minorHAnsi" w:eastAsia="Cambria" w:hAnsiTheme="minorHAnsi" w:cs="Cambria"/>
          <w:lang w:val="es-MX"/>
        </w:rPr>
        <w:t xml:space="preserve">, 10 de noviembre de 2021; Secretaría de Gobernación, </w:t>
      </w:r>
      <w:hyperlink r:id="rId45">
        <w:r w:rsidRPr="000D1DE6">
          <w:rPr>
            <w:rStyle w:val="Hyperlink"/>
            <w:rFonts w:asciiTheme="minorHAnsi" w:eastAsia="Cambria" w:hAnsiTheme="minorHAnsi" w:cs="Cambria"/>
            <w:lang w:val="es-MX"/>
          </w:rPr>
          <w:t>Aprueba SNBP mecanismos de búsqueda de personas migrantes desaparecidas</w:t>
        </w:r>
      </w:hyperlink>
      <w:r w:rsidRPr="000D1DE6">
        <w:rPr>
          <w:rFonts w:asciiTheme="minorHAnsi" w:eastAsia="Cambria" w:hAnsiTheme="minorHAnsi" w:cs="Cambria"/>
          <w:lang w:val="es-MX"/>
        </w:rPr>
        <w:t xml:space="preserve">, 9 de noviembre de 2021; </w:t>
      </w:r>
      <w:r w:rsidRPr="000D1DE6">
        <w:rPr>
          <w:rFonts w:asciiTheme="minorHAnsi" w:hAnsiTheme="minorHAnsi"/>
          <w:lang w:val="es-MX"/>
        </w:rPr>
        <w:t xml:space="preserve">CNB, </w:t>
      </w:r>
      <w:hyperlink r:id="rId46" w:history="1">
        <w:r w:rsidRPr="000D1DE6">
          <w:rPr>
            <w:rStyle w:val="Hyperlink"/>
            <w:rFonts w:asciiTheme="minorHAnsi" w:hAnsiTheme="minorHAnsi"/>
            <w:lang w:val="es-MX"/>
          </w:rPr>
          <w:t>Segunda sesión ordinaria del Sistema Nacional de Búsqueda 2021</w:t>
        </w:r>
      </w:hyperlink>
      <w:r w:rsidRPr="000D1DE6">
        <w:rPr>
          <w:rFonts w:asciiTheme="minorHAnsi" w:hAnsiTheme="minorHAnsi"/>
          <w:lang w:val="es-MX"/>
        </w:rPr>
        <w:t xml:space="preserve">, 9 de noviembre de 2021. </w:t>
      </w:r>
    </w:p>
  </w:footnote>
  <w:footnote w:id="68">
    <w:p w14:paraId="56831735" w14:textId="4A0481EF" w:rsidR="000235D8" w:rsidRPr="000D1DE6" w:rsidRDefault="000235D8" w:rsidP="00F46807">
      <w:pPr>
        <w:pStyle w:val="FootnoteText"/>
        <w:spacing w:after="120"/>
        <w:ind w:firstLine="720"/>
        <w:rPr>
          <w:rFonts w:asciiTheme="minorHAnsi" w:hAnsiTheme="minorHAnsi"/>
          <w:lang w:val="es-MX"/>
        </w:rPr>
      </w:pPr>
      <w:r w:rsidRPr="000D1DE6">
        <w:rPr>
          <w:rStyle w:val="FootnoteReference"/>
          <w:rFonts w:asciiTheme="minorHAnsi" w:hAnsiTheme="minorHAnsi"/>
          <w:lang w:val="es-MX"/>
        </w:rPr>
        <w:footnoteRef/>
      </w:r>
      <w:r w:rsidRPr="000D1DE6">
        <w:rPr>
          <w:rFonts w:asciiTheme="minorHAnsi" w:hAnsiTheme="minorHAnsi"/>
          <w:lang w:val="es-MX"/>
        </w:rPr>
        <w:t xml:space="preserve"> CIDH, </w:t>
      </w:r>
      <w:hyperlink r:id="rId47" w:history="1">
        <w:r w:rsidRPr="000D1DE6">
          <w:rPr>
            <w:rStyle w:val="Hyperlink"/>
            <w:rFonts w:asciiTheme="minorHAnsi" w:hAnsiTheme="minorHAnsi"/>
            <w:lang w:val="es-MX"/>
          </w:rPr>
          <w:t>https://twitter.com/CIDH/status/1405663981948309505?s=20</w:t>
        </w:r>
      </w:hyperlink>
      <w:r w:rsidRPr="000D1DE6">
        <w:rPr>
          <w:rFonts w:asciiTheme="minorHAnsi" w:hAnsiTheme="minorHAnsi"/>
          <w:lang w:val="es-MX"/>
        </w:rPr>
        <w:t xml:space="preserve">, 17 de junio de 2021; SCJN, Primera Sala, </w:t>
      </w:r>
      <w:hyperlink r:id="rId48" w:history="1">
        <w:r w:rsidRPr="000D1DE6">
          <w:rPr>
            <w:rStyle w:val="Hyperlink"/>
            <w:rFonts w:asciiTheme="minorHAnsi" w:hAnsiTheme="minorHAnsi"/>
            <w:lang w:val="es-MX"/>
          </w:rPr>
          <w:t>Desaparición forzada de personas. Las acciones urgentes emitidas por el Comité contra la Desaparición Forzada de las Naciones Unidas son obligatorias para las autoridades encargadas de la búsqueda de las personas desaparecidas</w:t>
        </w:r>
      </w:hyperlink>
      <w:r w:rsidRPr="000D1DE6">
        <w:rPr>
          <w:rFonts w:asciiTheme="minorHAnsi" w:hAnsiTheme="minorHAnsi"/>
          <w:lang w:val="es-MX"/>
        </w:rPr>
        <w:t>. Tesis: 1a./J. 37/2021 (11a.), 19 de noviembre de 2021</w:t>
      </w:r>
      <w:r w:rsidR="00DD4A85">
        <w:rPr>
          <w:rFonts w:asciiTheme="minorHAnsi" w:hAnsiTheme="minorHAnsi"/>
          <w:lang w:val="es-MX"/>
        </w:rPr>
        <w:t>.</w:t>
      </w:r>
    </w:p>
  </w:footnote>
  <w:footnote w:id="69">
    <w:p w14:paraId="63F7894E" w14:textId="61B751D6" w:rsidR="000235D8" w:rsidRPr="000D1DE6" w:rsidRDefault="000235D8" w:rsidP="00F46807">
      <w:pPr>
        <w:pStyle w:val="FootnoteText"/>
        <w:spacing w:after="120"/>
        <w:ind w:firstLine="720"/>
        <w:rPr>
          <w:rFonts w:asciiTheme="minorHAnsi" w:hAnsiTheme="minorHAnsi"/>
          <w:lang w:val="es-MX"/>
        </w:rPr>
      </w:pPr>
      <w:r w:rsidRPr="000D1DE6">
        <w:rPr>
          <w:rStyle w:val="FootnoteReference"/>
          <w:rFonts w:asciiTheme="minorHAnsi" w:hAnsiTheme="minorHAnsi"/>
          <w:lang w:val="es-MX"/>
        </w:rPr>
        <w:footnoteRef/>
      </w:r>
      <w:r w:rsidRPr="000D1DE6">
        <w:rPr>
          <w:rFonts w:asciiTheme="minorHAnsi" w:hAnsiTheme="minorHAnsi"/>
          <w:lang w:val="es-MX"/>
        </w:rPr>
        <w:t xml:space="preserve"> Secretaría de Relaciones Exteriores y Secretaría de Gobernación, </w:t>
      </w:r>
      <w:hyperlink r:id="rId49" w:history="1">
        <w:r w:rsidRPr="000D1DE6">
          <w:rPr>
            <w:rStyle w:val="Hyperlink"/>
            <w:rFonts w:asciiTheme="minorHAnsi" w:hAnsiTheme="minorHAnsi"/>
            <w:lang w:val="es-MX"/>
          </w:rPr>
          <w:t>Comité contra la Desaparición Forzada de la Organización de las Naciones Unidas realizará visita a</w:t>
        </w:r>
      </w:hyperlink>
      <w:r w:rsidRPr="000D1DE6">
        <w:rPr>
          <w:rFonts w:asciiTheme="minorHAnsi" w:hAnsiTheme="minorHAnsi"/>
          <w:lang w:val="es-MX"/>
        </w:rPr>
        <w:t xml:space="preserve"> México, 30 de agosto de 2021; OACNUDH, </w:t>
      </w:r>
      <w:hyperlink r:id="rId50" w:history="1">
        <w:r w:rsidRPr="000D1DE6">
          <w:rPr>
            <w:rStyle w:val="Hyperlink"/>
            <w:rFonts w:asciiTheme="minorHAnsi" w:hAnsiTheme="minorHAnsi"/>
            <w:lang w:val="es-MX"/>
          </w:rPr>
          <w:t>Conferencia de prensa tras la visita del Comité de la ONU contra la Desaparición Forzada a México</w:t>
        </w:r>
      </w:hyperlink>
      <w:r w:rsidRPr="000D1DE6">
        <w:rPr>
          <w:rFonts w:asciiTheme="minorHAnsi" w:hAnsiTheme="minorHAnsi"/>
          <w:lang w:val="es-MX"/>
        </w:rPr>
        <w:t xml:space="preserve">, 26 de noviembre de 2021. </w:t>
      </w:r>
    </w:p>
  </w:footnote>
  <w:footnote w:id="70">
    <w:p w14:paraId="4C03A17E" w14:textId="77777777" w:rsidR="000235D8" w:rsidRPr="000D1DE6" w:rsidRDefault="000235D8" w:rsidP="00F46807">
      <w:pPr>
        <w:pStyle w:val="FootnoteText"/>
        <w:spacing w:after="120"/>
        <w:ind w:firstLine="720"/>
        <w:rPr>
          <w:rFonts w:asciiTheme="minorHAnsi" w:hAnsiTheme="minorHAnsi"/>
          <w:lang w:val="es-MX"/>
        </w:rPr>
      </w:pPr>
      <w:r w:rsidRPr="000D1DE6">
        <w:rPr>
          <w:rStyle w:val="FootnoteReference"/>
          <w:rFonts w:asciiTheme="minorHAnsi" w:hAnsiTheme="minorHAnsi"/>
          <w:lang w:val="es-MX"/>
        </w:rPr>
        <w:footnoteRef/>
      </w:r>
      <w:r w:rsidRPr="000D1DE6">
        <w:rPr>
          <w:rFonts w:asciiTheme="minorHAnsi" w:hAnsiTheme="minorHAnsi"/>
          <w:lang w:val="es-MX"/>
        </w:rPr>
        <w:t xml:space="preserve"> Gobierno de Jalisco, </w:t>
      </w:r>
      <w:hyperlink r:id="rId51" w:history="1">
        <w:r w:rsidRPr="000D1DE6">
          <w:rPr>
            <w:rStyle w:val="Hyperlink"/>
            <w:rFonts w:asciiTheme="minorHAnsi" w:hAnsiTheme="minorHAnsi"/>
            <w:lang w:val="es-MX"/>
          </w:rPr>
          <w:t>Funcionarios del gobierno del estado participaron en la glosa académica del III Informe de Gobierno</w:t>
        </w:r>
      </w:hyperlink>
      <w:r w:rsidRPr="000D1DE6">
        <w:rPr>
          <w:rFonts w:asciiTheme="minorHAnsi" w:hAnsiTheme="minorHAnsi"/>
          <w:lang w:val="es-MX"/>
        </w:rPr>
        <w:t xml:space="preserve">, 29 de noviembre de 2021; El Informador, </w:t>
      </w:r>
      <w:hyperlink r:id="rId52" w:history="1">
        <w:r w:rsidRPr="000D1DE6">
          <w:rPr>
            <w:rStyle w:val="Hyperlink"/>
            <w:rFonts w:asciiTheme="minorHAnsi" w:hAnsiTheme="minorHAnsi"/>
            <w:lang w:val="es-MX"/>
          </w:rPr>
          <w:t>Proyectan 29.3 MDP para Centro de Identificación Humana en Jalisco</w:t>
        </w:r>
      </w:hyperlink>
      <w:r w:rsidRPr="000D1DE6">
        <w:rPr>
          <w:rFonts w:asciiTheme="minorHAnsi" w:hAnsiTheme="minorHAnsi"/>
          <w:lang w:val="es-MX"/>
        </w:rPr>
        <w:t>, 2 de noviembre de 2021.</w:t>
      </w:r>
    </w:p>
  </w:footnote>
  <w:footnote w:id="71">
    <w:p w14:paraId="3A101515" w14:textId="4DDE5899" w:rsidR="000235D8" w:rsidRPr="000D1DE6" w:rsidRDefault="000235D8" w:rsidP="00F46807">
      <w:pPr>
        <w:pStyle w:val="FootnoteText"/>
        <w:spacing w:after="120"/>
        <w:ind w:firstLine="720"/>
        <w:rPr>
          <w:rFonts w:asciiTheme="minorHAnsi" w:hAnsiTheme="minorHAnsi"/>
          <w:lang w:val="es-MX"/>
        </w:rPr>
      </w:pPr>
      <w:r w:rsidRPr="000D1DE6">
        <w:rPr>
          <w:rStyle w:val="FootnoteReference"/>
          <w:rFonts w:asciiTheme="minorHAnsi" w:hAnsiTheme="minorHAnsi"/>
          <w:lang w:val="es-MX"/>
        </w:rPr>
        <w:footnoteRef/>
      </w:r>
      <w:r w:rsidRPr="000D1DE6">
        <w:rPr>
          <w:rFonts w:asciiTheme="minorHAnsi" w:hAnsiTheme="minorHAnsi"/>
          <w:lang w:val="es-MX"/>
        </w:rPr>
        <w:t xml:space="preserve"> Noveno Informe del Estado mexicano sobre el cumplimiento y seguimiento de las recomendaciones contenidas en el informe “Situación de los Derechos Humanos en México”, pág. 41. </w:t>
      </w:r>
    </w:p>
  </w:footnote>
  <w:footnote w:id="72">
    <w:p w14:paraId="1842396B" w14:textId="6C103EA8" w:rsidR="000235D8" w:rsidRPr="000D1DE6" w:rsidRDefault="000235D8" w:rsidP="00F46807">
      <w:pPr>
        <w:pStyle w:val="FootnoteText"/>
        <w:spacing w:after="120"/>
        <w:ind w:firstLine="720"/>
        <w:rPr>
          <w:rFonts w:asciiTheme="minorHAnsi" w:hAnsiTheme="minorHAnsi"/>
          <w:lang w:val="es-MX"/>
        </w:rPr>
      </w:pPr>
      <w:r w:rsidRPr="000D1DE6">
        <w:rPr>
          <w:rStyle w:val="FootnoteReference"/>
          <w:rFonts w:asciiTheme="minorHAnsi" w:hAnsiTheme="minorHAnsi"/>
          <w:lang w:val="es-MX"/>
        </w:rPr>
        <w:footnoteRef/>
      </w:r>
      <w:r w:rsidRPr="000D1DE6">
        <w:rPr>
          <w:rFonts w:asciiTheme="minorHAnsi" w:hAnsiTheme="minorHAnsi"/>
          <w:lang w:val="es-MX"/>
        </w:rPr>
        <w:t xml:space="preserve"> Secretaría de Gobernación, </w:t>
      </w:r>
      <w:hyperlink r:id="rId53" w:history="1">
        <w:r w:rsidRPr="000D1DE6">
          <w:rPr>
            <w:rStyle w:val="Hyperlink"/>
            <w:rFonts w:asciiTheme="minorHAnsi" w:hAnsiTheme="minorHAnsi"/>
            <w:lang w:val="es-MX"/>
          </w:rPr>
          <w:t>Se presenta a personas integrantes del Grupo Coordinador del Mecanismo Extraordinario de Identificación Forense,</w:t>
        </w:r>
      </w:hyperlink>
      <w:r w:rsidRPr="000D1DE6">
        <w:rPr>
          <w:rFonts w:asciiTheme="minorHAnsi" w:hAnsiTheme="minorHAnsi"/>
          <w:lang w:val="es-MX"/>
        </w:rPr>
        <w:t xml:space="preserve"> 30 de agosto de 2021; CIDH, </w:t>
      </w:r>
      <w:hyperlink r:id="rId54" w:history="1">
        <w:r w:rsidRPr="000D1DE6">
          <w:rPr>
            <w:rStyle w:val="Hyperlink"/>
            <w:rFonts w:asciiTheme="minorHAnsi" w:hAnsiTheme="minorHAnsi"/>
            <w:lang w:val="es-MX"/>
          </w:rPr>
          <w:t>https://twitter.com/CIDH/status/1432705884673749022?s=20</w:t>
        </w:r>
      </w:hyperlink>
      <w:r w:rsidRPr="000D1DE6">
        <w:rPr>
          <w:rFonts w:asciiTheme="minorHAnsi" w:hAnsiTheme="minorHAnsi"/>
          <w:lang w:val="es-MX"/>
        </w:rPr>
        <w:t>, 31 de agosto de 2021.</w:t>
      </w:r>
    </w:p>
  </w:footnote>
  <w:footnote w:id="73">
    <w:p w14:paraId="51502812" w14:textId="2C1CA989" w:rsidR="000235D8" w:rsidRPr="000D1DE6" w:rsidRDefault="000235D8" w:rsidP="00F46807">
      <w:pPr>
        <w:pStyle w:val="FootnoteText"/>
        <w:spacing w:after="120"/>
        <w:ind w:firstLine="720"/>
        <w:rPr>
          <w:rFonts w:asciiTheme="minorHAnsi" w:hAnsiTheme="minorHAnsi"/>
          <w:lang w:val="es-US"/>
        </w:rPr>
      </w:pPr>
      <w:r w:rsidRPr="000D1DE6">
        <w:rPr>
          <w:rStyle w:val="FootnoteReference"/>
          <w:rFonts w:asciiTheme="minorHAnsi" w:hAnsiTheme="minorHAnsi"/>
        </w:rPr>
        <w:footnoteRef/>
      </w:r>
      <w:r w:rsidRPr="000D1DE6">
        <w:rPr>
          <w:rFonts w:asciiTheme="minorHAnsi" w:hAnsiTheme="minorHAnsi"/>
        </w:rPr>
        <w:t xml:space="preserve"> CIDH, Audiencia Pública, </w:t>
      </w:r>
      <w:hyperlink r:id="rId55" w:history="1">
        <w:r w:rsidRPr="000D1DE6">
          <w:rPr>
            <w:rStyle w:val="Hyperlink"/>
            <w:rFonts w:asciiTheme="minorHAnsi" w:hAnsiTheme="minorHAnsi"/>
          </w:rPr>
          <w:t>Avances y desafíos en la implementación del Mecanismo Extraordinario de Identificación Forense</w:t>
        </w:r>
      </w:hyperlink>
      <w:r w:rsidRPr="000D1DE6">
        <w:rPr>
          <w:rFonts w:asciiTheme="minorHAnsi" w:hAnsiTheme="minorHAnsi"/>
        </w:rPr>
        <w:t xml:space="preserve">, 182 periodo de sesiones, 15 de diciembre de 2021.  </w:t>
      </w:r>
    </w:p>
  </w:footnote>
  <w:footnote w:id="74">
    <w:p w14:paraId="20973C46" w14:textId="5B5B2E6C" w:rsidR="000235D8" w:rsidRPr="000D1DE6" w:rsidRDefault="000235D8" w:rsidP="00F46807">
      <w:pPr>
        <w:pStyle w:val="FootnoteText"/>
        <w:spacing w:after="120"/>
        <w:ind w:firstLine="720"/>
        <w:rPr>
          <w:rFonts w:asciiTheme="minorHAnsi" w:hAnsiTheme="minorHAnsi"/>
        </w:rPr>
      </w:pPr>
      <w:r w:rsidRPr="000D1DE6">
        <w:rPr>
          <w:rStyle w:val="FootnoteReference"/>
          <w:rFonts w:asciiTheme="minorHAnsi" w:hAnsiTheme="minorHAnsi"/>
        </w:rPr>
        <w:footnoteRef/>
      </w:r>
      <w:r w:rsidRPr="000D1DE6">
        <w:rPr>
          <w:rFonts w:asciiTheme="minorHAnsi" w:hAnsiTheme="minorHAnsi"/>
        </w:rPr>
        <w:t xml:space="preserve"> CIDH, Audiencia Pública, </w:t>
      </w:r>
      <w:hyperlink r:id="rId56" w:history="1">
        <w:r w:rsidRPr="000D1DE6">
          <w:rPr>
            <w:rStyle w:val="Hyperlink"/>
            <w:rFonts w:asciiTheme="minorHAnsi" w:hAnsiTheme="minorHAnsi"/>
          </w:rPr>
          <w:t>Avances y desafíos en la implementación del Mecanismo Extraordinario de Identificación Forense</w:t>
        </w:r>
      </w:hyperlink>
      <w:r w:rsidRPr="000D1DE6">
        <w:rPr>
          <w:rFonts w:asciiTheme="minorHAnsi" w:hAnsiTheme="minorHAnsi"/>
        </w:rPr>
        <w:t>, 182 periodo de sesiones, 15 de diciembre de 2021.</w:t>
      </w:r>
    </w:p>
  </w:footnote>
  <w:footnote w:id="75">
    <w:p w14:paraId="76C5B9C3" w14:textId="24A2D62B" w:rsidR="000235D8" w:rsidRPr="000D1DE6" w:rsidRDefault="000235D8" w:rsidP="00F46807">
      <w:pPr>
        <w:pStyle w:val="FootnoteText"/>
        <w:spacing w:after="120"/>
        <w:ind w:firstLine="720"/>
        <w:rPr>
          <w:rFonts w:asciiTheme="minorHAnsi" w:hAnsiTheme="minorHAnsi"/>
          <w:lang w:val="es-MX"/>
        </w:rPr>
      </w:pPr>
      <w:r w:rsidRPr="000D1DE6">
        <w:rPr>
          <w:rStyle w:val="FootnoteReference"/>
          <w:rFonts w:asciiTheme="minorHAnsi" w:hAnsiTheme="minorHAnsi"/>
          <w:lang w:val="es-MX"/>
        </w:rPr>
        <w:footnoteRef/>
      </w:r>
      <w:r w:rsidRPr="000D1DE6">
        <w:rPr>
          <w:rFonts w:asciiTheme="minorHAnsi" w:hAnsiTheme="minorHAnsi"/>
          <w:lang w:val="es-MX"/>
        </w:rPr>
        <w:t xml:space="preserve"> CNB, </w:t>
      </w:r>
      <w:hyperlink r:id="rId57" w:history="1">
        <w:r w:rsidRPr="000D1DE6">
          <w:rPr>
            <w:rStyle w:val="Hyperlink"/>
            <w:rFonts w:asciiTheme="minorHAnsi" w:hAnsiTheme="minorHAnsi"/>
            <w:lang w:val="es-MX"/>
          </w:rPr>
          <w:t>Segunda sesión del Sistema Nacional de Búsqueda 2021</w:t>
        </w:r>
      </w:hyperlink>
      <w:r w:rsidRPr="000D1DE6">
        <w:rPr>
          <w:rFonts w:asciiTheme="minorHAnsi" w:hAnsiTheme="minorHAnsi"/>
          <w:lang w:val="es-MX"/>
        </w:rPr>
        <w:t xml:space="preserve">, 9 de noviembre de 2021. </w:t>
      </w:r>
    </w:p>
  </w:footnote>
  <w:footnote w:id="76">
    <w:p w14:paraId="6B5AADC6" w14:textId="4EF4CD1A" w:rsidR="007B69C1" w:rsidRPr="000D1DE6" w:rsidRDefault="007B69C1" w:rsidP="00F46807">
      <w:pPr>
        <w:pStyle w:val="FootnoteText"/>
        <w:spacing w:after="120"/>
        <w:ind w:firstLine="720"/>
      </w:pPr>
      <w:r w:rsidRPr="000D1DE6">
        <w:rPr>
          <w:rStyle w:val="FootnoteReference"/>
        </w:rPr>
        <w:footnoteRef/>
      </w:r>
      <w:r w:rsidRPr="000D1DE6">
        <w:t xml:space="preserve"> </w:t>
      </w:r>
      <w:r w:rsidRPr="000D1DE6">
        <w:rPr>
          <w:rFonts w:asciiTheme="minorHAnsi" w:eastAsia="Cambria" w:hAnsiTheme="minorHAnsi" w:cs="Cambria"/>
          <w:color w:val="000000"/>
          <w:lang w:val="es-MX"/>
        </w:rPr>
        <w:t>Observaciones y comentarios del Estado de 24 de enero de 2022, pág. 10.</w:t>
      </w:r>
    </w:p>
  </w:footnote>
  <w:footnote w:id="77">
    <w:p w14:paraId="6C0D1B10" w14:textId="60CD4A34" w:rsidR="000235D8" w:rsidRPr="000D1DE6" w:rsidRDefault="000235D8" w:rsidP="00F46807">
      <w:pPr>
        <w:pStyle w:val="FootnoteText"/>
        <w:spacing w:after="120"/>
        <w:ind w:firstLine="720"/>
        <w:rPr>
          <w:rFonts w:asciiTheme="minorHAnsi" w:hAnsiTheme="minorHAnsi"/>
          <w:lang w:val="es-MX"/>
        </w:rPr>
      </w:pPr>
      <w:r w:rsidRPr="000D1DE6">
        <w:rPr>
          <w:rStyle w:val="FootnoteReference"/>
          <w:rFonts w:asciiTheme="minorHAnsi" w:hAnsiTheme="minorHAnsi"/>
          <w:lang w:val="es-MX"/>
        </w:rPr>
        <w:footnoteRef/>
      </w:r>
      <w:r w:rsidRPr="000D1DE6">
        <w:rPr>
          <w:rFonts w:asciiTheme="minorHAnsi" w:hAnsiTheme="minorHAnsi"/>
          <w:lang w:val="es-MX"/>
        </w:rPr>
        <w:t xml:space="preserve"> Noveno Informe del Estado mexicano sobre el cumplimiento y seguimiento de las recomendaciones contenidas en el informe “Situación de los Derechos Humanos en México”, pág. 18. </w:t>
      </w:r>
    </w:p>
  </w:footnote>
  <w:footnote w:id="78">
    <w:p w14:paraId="0BD72D6D" w14:textId="16203C3E" w:rsidR="000235D8" w:rsidRPr="000D1DE6" w:rsidRDefault="000235D8" w:rsidP="00F46807">
      <w:pPr>
        <w:pStyle w:val="FootnoteText"/>
        <w:spacing w:after="120"/>
        <w:ind w:firstLine="720"/>
        <w:rPr>
          <w:rFonts w:asciiTheme="minorHAnsi" w:hAnsiTheme="minorHAnsi"/>
          <w:lang w:val="es-ES_tradnl"/>
        </w:rPr>
      </w:pPr>
      <w:r w:rsidRPr="000D1DE6">
        <w:rPr>
          <w:rStyle w:val="FootnoteReference"/>
          <w:rFonts w:asciiTheme="minorHAnsi" w:hAnsiTheme="minorHAnsi"/>
          <w:lang w:val="es-MX"/>
        </w:rPr>
        <w:footnoteRef/>
      </w:r>
      <w:r w:rsidRPr="000D1DE6">
        <w:rPr>
          <w:rFonts w:asciiTheme="minorHAnsi" w:hAnsiTheme="minorHAnsi"/>
          <w:lang w:val="pt-BR"/>
        </w:rPr>
        <w:t xml:space="preserve"> CIDH, </w:t>
      </w:r>
      <w:hyperlink r:id="rId58" w:history="1">
        <w:r w:rsidRPr="000D1DE6">
          <w:rPr>
            <w:rStyle w:val="Hyperlink"/>
            <w:rFonts w:asciiTheme="minorHAnsi" w:eastAsia="Cambria" w:hAnsiTheme="minorHAnsi" w:cs="Cambria"/>
            <w:lang w:val="pt-BR"/>
          </w:rPr>
          <w:t>Informe Anual, México</w:t>
        </w:r>
      </w:hyperlink>
      <w:r w:rsidRPr="000D1DE6">
        <w:rPr>
          <w:rFonts w:asciiTheme="minorHAnsi" w:hAnsiTheme="minorHAnsi"/>
          <w:lang w:val="pt-BR"/>
        </w:rPr>
        <w:t xml:space="preserve">, 2020, párr. </w:t>
      </w:r>
      <w:r w:rsidRPr="000D1DE6">
        <w:rPr>
          <w:rFonts w:asciiTheme="minorHAnsi" w:hAnsiTheme="minorHAnsi"/>
          <w:lang w:val="es-ES_tradnl"/>
        </w:rPr>
        <w:t xml:space="preserve">70. </w:t>
      </w:r>
    </w:p>
  </w:footnote>
  <w:footnote w:id="79">
    <w:p w14:paraId="65BF49E9" w14:textId="243254FD" w:rsidR="000235D8" w:rsidRPr="000D1DE6" w:rsidRDefault="000235D8" w:rsidP="00F46807">
      <w:pPr>
        <w:pStyle w:val="FootnoteText"/>
        <w:spacing w:after="120"/>
        <w:ind w:firstLine="720"/>
        <w:rPr>
          <w:rFonts w:asciiTheme="minorHAnsi" w:hAnsiTheme="minorHAnsi"/>
          <w:lang w:val="es-MX"/>
        </w:rPr>
      </w:pPr>
      <w:r w:rsidRPr="000D1DE6">
        <w:rPr>
          <w:rStyle w:val="FootnoteReference"/>
          <w:rFonts w:asciiTheme="minorHAnsi" w:hAnsiTheme="minorHAnsi"/>
          <w:lang w:val="es-MX"/>
        </w:rPr>
        <w:footnoteRef/>
      </w:r>
      <w:r w:rsidRPr="000D1DE6">
        <w:rPr>
          <w:rFonts w:asciiTheme="minorHAnsi" w:hAnsiTheme="minorHAnsi"/>
          <w:lang w:val="es-MX"/>
        </w:rPr>
        <w:t xml:space="preserve"> Senado de la República, </w:t>
      </w:r>
      <w:hyperlink r:id="rId59" w:history="1">
        <w:r w:rsidRPr="000D1DE6">
          <w:rPr>
            <w:rStyle w:val="Hyperlink"/>
            <w:rFonts w:asciiTheme="minorHAnsi" w:hAnsiTheme="minorHAnsi"/>
            <w:lang w:val="es-MX"/>
          </w:rPr>
          <w:t>Designa Senado a integrantes del Consejo Ciudadano del Sistema Nacional de Búsqueda de Personas</w:t>
        </w:r>
      </w:hyperlink>
      <w:r w:rsidRPr="000D1DE6">
        <w:rPr>
          <w:rFonts w:asciiTheme="minorHAnsi" w:hAnsiTheme="minorHAnsi"/>
          <w:lang w:val="es-MX"/>
        </w:rPr>
        <w:t xml:space="preserve">, 17 de marzo de 2021. </w:t>
      </w:r>
    </w:p>
  </w:footnote>
  <w:footnote w:id="80">
    <w:p w14:paraId="5C2296BF" w14:textId="69C09B67" w:rsidR="007B69C1" w:rsidRPr="000D1DE6" w:rsidRDefault="007B69C1" w:rsidP="00F46807">
      <w:pPr>
        <w:pStyle w:val="FootnoteText"/>
        <w:spacing w:after="120"/>
        <w:ind w:firstLine="720"/>
      </w:pPr>
      <w:r w:rsidRPr="000D1DE6">
        <w:rPr>
          <w:rStyle w:val="FootnoteReference"/>
        </w:rPr>
        <w:footnoteRef/>
      </w:r>
      <w:r w:rsidRPr="000D1DE6">
        <w:t xml:space="preserve"> </w:t>
      </w:r>
      <w:r w:rsidRPr="000D1DE6">
        <w:rPr>
          <w:rFonts w:asciiTheme="minorHAnsi" w:eastAsia="Cambria" w:hAnsiTheme="minorHAnsi" w:cs="Cambria"/>
          <w:color w:val="000000"/>
          <w:lang w:val="es-MX"/>
        </w:rPr>
        <w:t>Observaciones y comentarios del Estado de 24 de enero de 2022, pág. 10.</w:t>
      </w:r>
    </w:p>
  </w:footnote>
  <w:footnote w:id="81">
    <w:p w14:paraId="0627EC3A" w14:textId="60D15B22" w:rsidR="000235D8" w:rsidRPr="000D1DE6" w:rsidRDefault="000235D8" w:rsidP="00F46807">
      <w:pPr>
        <w:pStyle w:val="FootnoteText"/>
        <w:spacing w:after="120"/>
        <w:ind w:firstLine="720"/>
        <w:rPr>
          <w:rFonts w:asciiTheme="minorHAnsi" w:hAnsiTheme="minorHAnsi"/>
          <w:lang w:val="es-MX"/>
        </w:rPr>
      </w:pPr>
      <w:r w:rsidRPr="000D1DE6">
        <w:rPr>
          <w:rStyle w:val="FootnoteReference"/>
          <w:rFonts w:asciiTheme="minorHAnsi" w:hAnsiTheme="minorHAnsi"/>
          <w:lang w:val="es-MX"/>
        </w:rPr>
        <w:footnoteRef/>
      </w:r>
      <w:r w:rsidRPr="000D1DE6">
        <w:rPr>
          <w:rFonts w:asciiTheme="minorHAnsi" w:hAnsiTheme="minorHAnsi"/>
          <w:lang w:val="es-MX"/>
        </w:rPr>
        <w:t xml:space="preserve"> Secretaría de Gobernación, </w:t>
      </w:r>
      <w:hyperlink r:id="rId60" w:history="1">
        <w:r w:rsidRPr="000D1DE6">
          <w:rPr>
            <w:rStyle w:val="Hyperlink"/>
            <w:rFonts w:asciiTheme="minorHAnsi" w:hAnsiTheme="minorHAnsi"/>
            <w:lang w:val="es-MX"/>
          </w:rPr>
          <w:t>Primera visita del Comité contra la Desaparición Forzada de la ONU</w:t>
        </w:r>
      </w:hyperlink>
      <w:r w:rsidRPr="000D1DE6">
        <w:rPr>
          <w:rFonts w:asciiTheme="minorHAnsi" w:hAnsiTheme="minorHAnsi"/>
          <w:lang w:val="es-MX"/>
        </w:rPr>
        <w:t>, 15 de noviembre de 2021.</w:t>
      </w:r>
    </w:p>
  </w:footnote>
  <w:footnote w:id="82">
    <w:p w14:paraId="05A9A967" w14:textId="41FC546F" w:rsidR="000235D8" w:rsidRPr="000D1DE6" w:rsidRDefault="000235D8" w:rsidP="00F46807">
      <w:pPr>
        <w:pStyle w:val="FootnoteText"/>
        <w:spacing w:after="120"/>
        <w:ind w:firstLine="720"/>
        <w:rPr>
          <w:rFonts w:asciiTheme="minorHAnsi" w:hAnsiTheme="minorHAnsi"/>
          <w:lang w:val="es-MX"/>
        </w:rPr>
      </w:pPr>
      <w:r w:rsidRPr="000D1DE6">
        <w:rPr>
          <w:rStyle w:val="FootnoteReference"/>
          <w:rFonts w:asciiTheme="minorHAnsi" w:hAnsiTheme="minorHAnsi"/>
          <w:lang w:val="es-MX"/>
        </w:rPr>
        <w:footnoteRef/>
      </w:r>
      <w:r w:rsidRPr="000D1DE6">
        <w:rPr>
          <w:rFonts w:asciiTheme="minorHAnsi" w:hAnsiTheme="minorHAnsi"/>
          <w:lang w:val="es-MX"/>
        </w:rPr>
        <w:t xml:space="preserve"> Noveno Informe del Estado mexicano sobre el cumplimiento y seguimiento de las recomendaciones contenidas en el informe “Situación de los Derechos Humanos en México”, pág. 22.</w:t>
      </w:r>
    </w:p>
  </w:footnote>
  <w:footnote w:id="83">
    <w:p w14:paraId="5EBD5552" w14:textId="537C1ED2" w:rsidR="000235D8" w:rsidRPr="000D1DE6" w:rsidRDefault="000235D8" w:rsidP="00F46807">
      <w:pPr>
        <w:pStyle w:val="FootnoteText"/>
        <w:spacing w:after="120"/>
        <w:ind w:firstLine="720"/>
        <w:rPr>
          <w:rFonts w:asciiTheme="minorHAnsi" w:hAnsiTheme="minorHAnsi"/>
          <w:lang w:val="es-MX"/>
        </w:rPr>
      </w:pPr>
      <w:r w:rsidRPr="000D1DE6">
        <w:rPr>
          <w:rStyle w:val="FootnoteReference"/>
          <w:rFonts w:asciiTheme="minorHAnsi" w:hAnsiTheme="minorHAnsi"/>
          <w:lang w:val="es-MX"/>
        </w:rPr>
        <w:footnoteRef/>
      </w:r>
      <w:r w:rsidRPr="000D1DE6">
        <w:rPr>
          <w:rFonts w:asciiTheme="minorHAnsi" w:hAnsiTheme="minorHAnsi"/>
          <w:lang w:val="es-MX"/>
        </w:rPr>
        <w:t xml:space="preserve"> CNB, </w:t>
      </w:r>
      <w:hyperlink r:id="rId61" w:history="1">
        <w:r w:rsidRPr="000D1DE6">
          <w:rPr>
            <w:rStyle w:val="Hyperlink"/>
            <w:rFonts w:asciiTheme="minorHAnsi" w:hAnsiTheme="minorHAnsi"/>
            <w:lang w:val="es-MX"/>
          </w:rPr>
          <w:t>Segunda sesión del Sistema Nacional de Búsqueda 2021</w:t>
        </w:r>
      </w:hyperlink>
      <w:r w:rsidRPr="000D1DE6">
        <w:rPr>
          <w:rFonts w:asciiTheme="minorHAnsi" w:hAnsiTheme="minorHAnsi"/>
          <w:lang w:val="es-MX"/>
        </w:rPr>
        <w:t xml:space="preserve">, 9 de noviembre de 2021; Consejo Nacional Ciudadano, </w:t>
      </w:r>
      <w:hyperlink r:id="rId62" w:history="1">
        <w:r w:rsidRPr="000D1DE6">
          <w:rPr>
            <w:rStyle w:val="Hyperlink"/>
            <w:rFonts w:asciiTheme="minorHAnsi" w:hAnsiTheme="minorHAnsi"/>
            <w:lang w:val="es-MX"/>
          </w:rPr>
          <w:t>https://twitter.com/CCiudadanoSNB/status/1464264317600251919?s=20</w:t>
        </w:r>
      </w:hyperlink>
      <w:r w:rsidRPr="000D1DE6">
        <w:rPr>
          <w:rFonts w:asciiTheme="minorHAnsi" w:hAnsiTheme="minorHAnsi"/>
          <w:lang w:val="es-MX"/>
        </w:rPr>
        <w:t xml:space="preserve">, 26 de noviembre de 2021. </w:t>
      </w:r>
    </w:p>
  </w:footnote>
  <w:footnote w:id="84">
    <w:p w14:paraId="45E59242" w14:textId="4F34B75C" w:rsidR="000235D8" w:rsidRPr="000D1DE6" w:rsidRDefault="000235D8" w:rsidP="00F46807">
      <w:pPr>
        <w:pStyle w:val="FootnoteText"/>
        <w:spacing w:after="120"/>
        <w:ind w:firstLine="720"/>
        <w:rPr>
          <w:rFonts w:asciiTheme="minorHAnsi" w:hAnsiTheme="minorHAnsi"/>
          <w:lang w:val="es-MX"/>
        </w:rPr>
      </w:pPr>
      <w:r w:rsidRPr="000D1DE6">
        <w:rPr>
          <w:rStyle w:val="FootnoteReference"/>
          <w:rFonts w:asciiTheme="minorHAnsi" w:hAnsiTheme="minorHAnsi"/>
          <w:lang w:val="es-MX"/>
        </w:rPr>
        <w:footnoteRef/>
      </w:r>
      <w:r w:rsidRPr="000D1DE6">
        <w:rPr>
          <w:rFonts w:asciiTheme="minorHAnsi" w:hAnsiTheme="minorHAnsi"/>
          <w:lang w:val="es-MX"/>
        </w:rPr>
        <w:t xml:space="preserve"> CNB, </w:t>
      </w:r>
      <w:hyperlink r:id="rId63" w:history="1">
        <w:r w:rsidRPr="000D1DE6">
          <w:rPr>
            <w:rStyle w:val="Hyperlink"/>
            <w:rFonts w:asciiTheme="minorHAnsi" w:hAnsiTheme="minorHAnsi"/>
            <w:lang w:val="es-MX"/>
          </w:rPr>
          <w:t>Segunda sesión ordinaria del Sistema Nacional de Búsqueda 2021</w:t>
        </w:r>
      </w:hyperlink>
      <w:r w:rsidRPr="000D1DE6">
        <w:rPr>
          <w:rFonts w:asciiTheme="minorHAnsi" w:hAnsiTheme="minorHAnsi"/>
          <w:lang w:val="es-MX"/>
        </w:rPr>
        <w:t xml:space="preserve">, 9 de noviembre de 2021. </w:t>
      </w:r>
    </w:p>
  </w:footnote>
  <w:footnote w:id="85">
    <w:p w14:paraId="366C73DA" w14:textId="21B16689" w:rsidR="000235D8" w:rsidRPr="000D1DE6" w:rsidRDefault="000235D8" w:rsidP="00F46807">
      <w:pPr>
        <w:pStyle w:val="FootnoteText"/>
        <w:spacing w:after="120"/>
        <w:ind w:firstLine="720"/>
        <w:rPr>
          <w:rFonts w:asciiTheme="minorHAnsi" w:hAnsiTheme="minorHAnsi"/>
          <w:lang w:val="es-MX"/>
        </w:rPr>
      </w:pPr>
      <w:r w:rsidRPr="000D1DE6">
        <w:rPr>
          <w:rStyle w:val="FootnoteReference"/>
          <w:rFonts w:asciiTheme="minorHAnsi" w:hAnsiTheme="minorHAnsi"/>
          <w:lang w:val="es-MX"/>
        </w:rPr>
        <w:footnoteRef/>
      </w:r>
      <w:r w:rsidRPr="000D1DE6">
        <w:rPr>
          <w:rFonts w:asciiTheme="minorHAnsi" w:hAnsiTheme="minorHAnsi"/>
          <w:lang w:val="es-MX"/>
        </w:rPr>
        <w:t xml:space="preserve"> El Plan Regional de Búsqueda del Noreste será aplicable en los estados de Coahuila, Durango, Nuevo León y Tamaulipas. </w:t>
      </w:r>
    </w:p>
  </w:footnote>
  <w:footnote w:id="86">
    <w:p w14:paraId="33A655CB" w14:textId="73E24051" w:rsidR="000235D8" w:rsidRPr="000D1DE6" w:rsidRDefault="000235D8" w:rsidP="00F46807">
      <w:pPr>
        <w:pStyle w:val="FootnoteText"/>
        <w:spacing w:after="120"/>
        <w:ind w:firstLine="720"/>
        <w:rPr>
          <w:rFonts w:asciiTheme="minorHAnsi" w:hAnsiTheme="minorHAnsi"/>
          <w:lang w:val="es-MX"/>
        </w:rPr>
      </w:pPr>
      <w:r w:rsidRPr="000D1DE6">
        <w:rPr>
          <w:rStyle w:val="FootnoteReference"/>
          <w:rFonts w:asciiTheme="minorHAnsi" w:hAnsiTheme="minorHAnsi"/>
          <w:lang w:val="es-MX"/>
        </w:rPr>
        <w:footnoteRef/>
      </w:r>
      <w:r w:rsidRPr="000D1DE6">
        <w:rPr>
          <w:rFonts w:asciiTheme="minorHAnsi" w:hAnsiTheme="minorHAnsi"/>
          <w:lang w:val="es-MX"/>
        </w:rPr>
        <w:t xml:space="preserve"> El Plan Regional de Búsqueda del Noreste tendrá vigencia en las entidades federativas de Baja California, Baja California Sur, Chihuahua, Sinaloa y Sonora.</w:t>
      </w:r>
    </w:p>
  </w:footnote>
  <w:footnote w:id="87">
    <w:p w14:paraId="79BEDCC2" w14:textId="77777777" w:rsidR="000235D8" w:rsidRPr="000D1DE6" w:rsidRDefault="000235D8" w:rsidP="00F46807">
      <w:pPr>
        <w:pStyle w:val="FootnoteText"/>
        <w:spacing w:after="120"/>
        <w:ind w:firstLine="720"/>
        <w:rPr>
          <w:rFonts w:asciiTheme="minorHAnsi" w:hAnsiTheme="minorHAnsi"/>
          <w:lang w:val="es-MX"/>
        </w:rPr>
      </w:pPr>
      <w:r w:rsidRPr="000D1DE6">
        <w:rPr>
          <w:rStyle w:val="FootnoteReference"/>
          <w:rFonts w:asciiTheme="minorHAnsi" w:hAnsiTheme="minorHAnsi"/>
          <w:lang w:val="es-MX"/>
        </w:rPr>
        <w:footnoteRef/>
      </w:r>
      <w:r w:rsidRPr="000D1DE6">
        <w:rPr>
          <w:rFonts w:asciiTheme="minorHAnsi" w:hAnsiTheme="minorHAnsi"/>
          <w:lang w:val="es-MX"/>
        </w:rPr>
        <w:t xml:space="preserve"> CNB, </w:t>
      </w:r>
      <w:hyperlink r:id="rId64" w:history="1">
        <w:r w:rsidRPr="000D1DE6">
          <w:rPr>
            <w:rStyle w:val="Hyperlink"/>
            <w:rFonts w:asciiTheme="minorHAnsi" w:hAnsiTheme="minorHAnsi"/>
            <w:lang w:val="es-MX"/>
          </w:rPr>
          <w:t>Segunda sesión ordinaria del Sistema Nacional de Búsqueda 2021</w:t>
        </w:r>
      </w:hyperlink>
      <w:r w:rsidRPr="000D1DE6">
        <w:rPr>
          <w:rFonts w:asciiTheme="minorHAnsi" w:hAnsiTheme="minorHAnsi"/>
          <w:lang w:val="es-MX"/>
        </w:rPr>
        <w:t>, 9 de noviembre de 2021</w:t>
      </w:r>
    </w:p>
  </w:footnote>
  <w:footnote w:id="88">
    <w:p w14:paraId="14606C21" w14:textId="51043048" w:rsidR="000235D8" w:rsidRPr="000D1DE6" w:rsidRDefault="000235D8" w:rsidP="00F46807">
      <w:pPr>
        <w:pBdr>
          <w:top w:val="nil"/>
          <w:left w:val="nil"/>
          <w:bottom w:val="nil"/>
          <w:right w:val="nil"/>
          <w:between w:val="nil"/>
        </w:pBdr>
        <w:spacing w:after="120" w:line="240" w:lineRule="auto"/>
        <w:ind w:firstLine="720"/>
        <w:jc w:val="both"/>
        <w:rPr>
          <w:rFonts w:asciiTheme="minorHAnsi" w:eastAsia="Cambria" w:hAnsiTheme="minorHAnsi" w:cs="Cambria"/>
          <w:color w:val="000000"/>
          <w:sz w:val="18"/>
          <w:szCs w:val="18"/>
          <w:lang w:val="es-MX"/>
        </w:rPr>
      </w:pPr>
      <w:r w:rsidRPr="000D1DE6">
        <w:rPr>
          <w:rFonts w:asciiTheme="minorHAnsi" w:hAnsiTheme="minorHAnsi"/>
          <w:sz w:val="18"/>
          <w:szCs w:val="18"/>
          <w:vertAlign w:val="superscript"/>
          <w:lang w:val="es-MX"/>
        </w:rPr>
        <w:footnoteRef/>
      </w:r>
      <w:r w:rsidRPr="000D1DE6">
        <w:rPr>
          <w:rFonts w:asciiTheme="minorHAnsi" w:eastAsia="Cambria" w:hAnsiTheme="minorHAnsi" w:cs="Cambria"/>
          <w:color w:val="000000"/>
          <w:sz w:val="18"/>
          <w:szCs w:val="18"/>
          <w:lang w:val="pt-BR"/>
        </w:rPr>
        <w:t xml:space="preserve"> CIDH, </w:t>
      </w:r>
      <w:hyperlink r:id="rId65" w:history="1">
        <w:r w:rsidRPr="000D1DE6">
          <w:rPr>
            <w:rStyle w:val="Hyperlink"/>
            <w:rFonts w:asciiTheme="minorHAnsi" w:eastAsia="Cambria" w:hAnsiTheme="minorHAnsi" w:cs="Cambria"/>
            <w:sz w:val="18"/>
            <w:szCs w:val="18"/>
            <w:lang w:val="pt-BR"/>
          </w:rPr>
          <w:t>Informe Anual, México</w:t>
        </w:r>
      </w:hyperlink>
      <w:r w:rsidRPr="000D1DE6">
        <w:rPr>
          <w:rFonts w:asciiTheme="minorHAnsi" w:eastAsia="Cambria" w:hAnsiTheme="minorHAnsi" w:cs="Cambria"/>
          <w:color w:val="000000"/>
          <w:sz w:val="18"/>
          <w:szCs w:val="18"/>
          <w:lang w:val="pt-BR"/>
        </w:rPr>
        <w:t xml:space="preserve">, 2020, párr. </w:t>
      </w:r>
      <w:r w:rsidRPr="000D1DE6">
        <w:rPr>
          <w:rFonts w:asciiTheme="minorHAnsi" w:eastAsia="Cambria" w:hAnsiTheme="minorHAnsi" w:cs="Cambria"/>
          <w:color w:val="000000"/>
          <w:sz w:val="18"/>
          <w:szCs w:val="18"/>
          <w:lang w:val="es-MX"/>
        </w:rPr>
        <w:t xml:space="preserve">71; CIDH, </w:t>
      </w:r>
      <w:hyperlink r:id="rId66">
        <w:r w:rsidRPr="000D1DE6">
          <w:rPr>
            <w:rFonts w:asciiTheme="minorHAnsi" w:eastAsia="Cambria" w:hAnsiTheme="minorHAnsi" w:cs="Cambria"/>
            <w:color w:val="0000FF"/>
            <w:sz w:val="18"/>
            <w:szCs w:val="18"/>
            <w:u w:val="single"/>
            <w:lang w:val="es-MX"/>
          </w:rPr>
          <w:t>Informe Anual, México</w:t>
        </w:r>
      </w:hyperlink>
      <w:r w:rsidRPr="000D1DE6">
        <w:rPr>
          <w:rFonts w:asciiTheme="minorHAnsi" w:eastAsia="Cambria" w:hAnsiTheme="minorHAnsi" w:cs="Cambria"/>
          <w:color w:val="000000"/>
          <w:sz w:val="18"/>
          <w:szCs w:val="18"/>
          <w:lang w:val="es-MX"/>
        </w:rPr>
        <w:t>, 2019, párr. 64.</w:t>
      </w:r>
    </w:p>
  </w:footnote>
  <w:footnote w:id="89">
    <w:p w14:paraId="10D640C5" w14:textId="7917B86C" w:rsidR="000235D8" w:rsidRPr="000D1DE6" w:rsidRDefault="000235D8" w:rsidP="00F46807">
      <w:pPr>
        <w:pStyle w:val="FootnoteText"/>
        <w:spacing w:after="120"/>
        <w:ind w:firstLine="720"/>
        <w:rPr>
          <w:rFonts w:asciiTheme="minorHAnsi" w:hAnsiTheme="minorHAnsi"/>
          <w:lang w:val="es-MX"/>
        </w:rPr>
      </w:pPr>
      <w:r w:rsidRPr="000D1DE6">
        <w:rPr>
          <w:rStyle w:val="FootnoteReference"/>
          <w:rFonts w:asciiTheme="minorHAnsi" w:hAnsiTheme="minorHAnsi"/>
          <w:lang w:val="es-MX"/>
        </w:rPr>
        <w:footnoteRef/>
      </w:r>
      <w:r w:rsidRPr="000D1DE6">
        <w:rPr>
          <w:rFonts w:asciiTheme="minorHAnsi" w:hAnsiTheme="minorHAnsi"/>
          <w:lang w:val="es-MX"/>
        </w:rPr>
        <w:t xml:space="preserve"> CNB, </w:t>
      </w:r>
      <w:hyperlink r:id="rId67" w:history="1">
        <w:r w:rsidRPr="000D1DE6">
          <w:rPr>
            <w:rStyle w:val="Hyperlink"/>
            <w:rFonts w:asciiTheme="minorHAnsi" w:hAnsiTheme="minorHAnsi"/>
            <w:lang w:val="es-MX"/>
          </w:rPr>
          <w:t>Segunda sesión del Sistema Nacional de Búsqueda 2021</w:t>
        </w:r>
      </w:hyperlink>
      <w:r w:rsidRPr="000D1DE6">
        <w:rPr>
          <w:rFonts w:asciiTheme="minorHAnsi" w:hAnsiTheme="minorHAnsi"/>
          <w:lang w:val="es-MX"/>
        </w:rPr>
        <w:t>, 9 de noviembre de 2021.</w:t>
      </w:r>
    </w:p>
  </w:footnote>
  <w:footnote w:id="90">
    <w:p w14:paraId="703E9787" w14:textId="6B1407E6" w:rsidR="000235D8" w:rsidRPr="000D1DE6" w:rsidRDefault="000235D8" w:rsidP="00F46807">
      <w:pPr>
        <w:pStyle w:val="FootnoteText"/>
        <w:spacing w:after="120"/>
        <w:ind w:firstLine="720"/>
        <w:rPr>
          <w:rFonts w:asciiTheme="minorHAnsi" w:hAnsiTheme="minorHAnsi"/>
          <w:lang w:val="es-MX"/>
        </w:rPr>
      </w:pPr>
      <w:r w:rsidRPr="000D1DE6">
        <w:rPr>
          <w:rStyle w:val="FootnoteReference"/>
          <w:rFonts w:asciiTheme="minorHAnsi" w:hAnsiTheme="minorHAnsi"/>
          <w:lang w:val="es-MX"/>
        </w:rPr>
        <w:footnoteRef/>
      </w:r>
      <w:r w:rsidRPr="000D1DE6">
        <w:rPr>
          <w:rFonts w:asciiTheme="minorHAnsi" w:hAnsiTheme="minorHAnsi"/>
          <w:lang w:val="es-MX"/>
        </w:rPr>
        <w:t xml:space="preserve"> Noveno Informe del Estado mexicano sobre el cumplimiento y seguimiento de las recomendaciones contenidas en el informe “Situación de los Derechos Humanos en México”, pág. 22.</w:t>
      </w:r>
    </w:p>
  </w:footnote>
  <w:footnote w:id="91">
    <w:p w14:paraId="0536BA7F" w14:textId="37E5D0CA" w:rsidR="000235D8" w:rsidRPr="000D1DE6" w:rsidRDefault="000235D8" w:rsidP="00F46807">
      <w:pPr>
        <w:pStyle w:val="FootnoteText"/>
        <w:spacing w:after="120"/>
        <w:ind w:firstLine="720"/>
        <w:rPr>
          <w:rFonts w:asciiTheme="minorHAnsi" w:hAnsiTheme="minorHAnsi"/>
          <w:lang w:val="es-MX"/>
        </w:rPr>
      </w:pPr>
      <w:r w:rsidRPr="000D1DE6">
        <w:rPr>
          <w:rStyle w:val="FootnoteReference"/>
          <w:rFonts w:asciiTheme="minorHAnsi" w:hAnsiTheme="minorHAnsi"/>
          <w:lang w:val="es-MX"/>
        </w:rPr>
        <w:footnoteRef/>
      </w:r>
      <w:r w:rsidRPr="000D1DE6">
        <w:rPr>
          <w:rFonts w:asciiTheme="minorHAnsi" w:hAnsiTheme="minorHAnsi"/>
          <w:lang w:val="es-MX"/>
        </w:rPr>
        <w:t xml:space="preserve"> Noveno Informe del Estado mexicano sobre el cumplimiento y seguimiento de las recomendaciones contenidas en el informe “Situación de los Derechos Humanos en México”, pág. 22.</w:t>
      </w:r>
    </w:p>
  </w:footnote>
  <w:footnote w:id="92">
    <w:p w14:paraId="7304D2D7" w14:textId="43FBEDF2" w:rsidR="000235D8" w:rsidRPr="000D1DE6" w:rsidRDefault="000235D8" w:rsidP="00F46807">
      <w:pPr>
        <w:pStyle w:val="FootnoteText"/>
        <w:spacing w:after="120"/>
        <w:ind w:firstLine="720"/>
        <w:rPr>
          <w:rFonts w:asciiTheme="minorHAnsi" w:hAnsiTheme="minorHAnsi"/>
          <w:lang w:val="es-MX"/>
        </w:rPr>
      </w:pPr>
      <w:r w:rsidRPr="000D1DE6">
        <w:rPr>
          <w:rStyle w:val="FootnoteReference"/>
          <w:rFonts w:asciiTheme="minorHAnsi" w:hAnsiTheme="minorHAnsi"/>
          <w:lang w:val="es-MX"/>
        </w:rPr>
        <w:footnoteRef/>
      </w:r>
      <w:r w:rsidRPr="000D1DE6">
        <w:rPr>
          <w:rFonts w:asciiTheme="minorHAnsi" w:hAnsiTheme="minorHAnsi"/>
          <w:lang w:val="es-MX"/>
        </w:rPr>
        <w:t xml:space="preserve"> Noveno Informe del Estado mexicano sobre el cumplimiento y seguimiento de las recomendaciones contenidas en el informe “Situación de los Derechos Humanos en México”, pág. 22.</w:t>
      </w:r>
    </w:p>
  </w:footnote>
  <w:footnote w:id="93">
    <w:p w14:paraId="1644E850" w14:textId="37A06A3E" w:rsidR="000235D8" w:rsidRPr="000D1DE6" w:rsidRDefault="000235D8" w:rsidP="00F46807">
      <w:pPr>
        <w:pStyle w:val="FootnoteText"/>
        <w:spacing w:after="120"/>
        <w:ind w:firstLine="720"/>
        <w:rPr>
          <w:rFonts w:asciiTheme="minorHAnsi" w:hAnsiTheme="minorHAnsi"/>
          <w:lang w:val="es-MX"/>
        </w:rPr>
      </w:pPr>
      <w:r w:rsidRPr="000D1DE6">
        <w:rPr>
          <w:rStyle w:val="FootnoteReference"/>
          <w:rFonts w:asciiTheme="minorHAnsi" w:hAnsiTheme="minorHAnsi"/>
          <w:lang w:val="es-MX"/>
        </w:rPr>
        <w:footnoteRef/>
      </w:r>
      <w:r w:rsidRPr="000D1DE6">
        <w:rPr>
          <w:rFonts w:asciiTheme="minorHAnsi" w:hAnsiTheme="minorHAnsi"/>
          <w:lang w:val="es-MX"/>
        </w:rPr>
        <w:t xml:space="preserve"> Noveno Informe del Estado mexicano sobre el cumplimiento y seguimiento de las recomendaciones contenidas en el informe “Situación de los Derechos Humanos en México”, pág. 22.</w:t>
      </w:r>
    </w:p>
  </w:footnote>
  <w:footnote w:id="94">
    <w:p w14:paraId="4D2CED44" w14:textId="73D71E4B" w:rsidR="000235D8" w:rsidRPr="000D1DE6" w:rsidRDefault="000235D8" w:rsidP="00F46807">
      <w:pPr>
        <w:pStyle w:val="FootnoteText"/>
        <w:spacing w:after="120"/>
        <w:ind w:firstLine="720"/>
        <w:rPr>
          <w:rFonts w:asciiTheme="minorHAnsi" w:hAnsiTheme="minorHAnsi"/>
          <w:lang w:val="es-MX"/>
        </w:rPr>
      </w:pPr>
      <w:r w:rsidRPr="000D1DE6">
        <w:rPr>
          <w:rStyle w:val="FootnoteReference"/>
          <w:rFonts w:asciiTheme="minorHAnsi" w:hAnsiTheme="minorHAnsi"/>
          <w:lang w:val="es-MX"/>
        </w:rPr>
        <w:footnoteRef/>
      </w:r>
      <w:r w:rsidRPr="000D1DE6">
        <w:rPr>
          <w:rFonts w:asciiTheme="minorHAnsi" w:hAnsiTheme="minorHAnsi"/>
          <w:lang w:val="es-MX"/>
        </w:rPr>
        <w:t xml:space="preserve"> Noveno Informe del Estado mexicano sobre el cumplimiento y seguimiento de las recomendaciones contenidas en el informe “Situación de los Derechos Humanos en México”, págs. 40 – 41.</w:t>
      </w:r>
    </w:p>
  </w:footnote>
  <w:footnote w:id="95">
    <w:p w14:paraId="49EC5215" w14:textId="77777777" w:rsidR="000235D8" w:rsidRPr="000D1DE6" w:rsidRDefault="000235D8" w:rsidP="00F46807">
      <w:pPr>
        <w:pStyle w:val="FootnoteText"/>
        <w:spacing w:after="120"/>
        <w:ind w:firstLine="720"/>
        <w:rPr>
          <w:rFonts w:asciiTheme="minorHAnsi" w:hAnsiTheme="minorHAnsi"/>
          <w:lang w:val="es-MX"/>
        </w:rPr>
      </w:pPr>
      <w:r w:rsidRPr="000D1DE6">
        <w:rPr>
          <w:rStyle w:val="FootnoteReference"/>
          <w:rFonts w:asciiTheme="minorHAnsi" w:hAnsiTheme="minorHAnsi"/>
          <w:lang w:val="es-MX"/>
        </w:rPr>
        <w:footnoteRef/>
      </w:r>
      <w:r w:rsidRPr="000D1DE6">
        <w:rPr>
          <w:rFonts w:asciiTheme="minorHAnsi" w:hAnsiTheme="minorHAnsi"/>
          <w:lang w:val="es-MX"/>
        </w:rPr>
        <w:t xml:space="preserve"> Secretaría de Gobernación, </w:t>
      </w:r>
      <w:hyperlink r:id="rId68" w:history="1">
        <w:r w:rsidRPr="000D1DE6">
          <w:rPr>
            <w:rStyle w:val="Hyperlink"/>
            <w:rFonts w:asciiTheme="minorHAnsi" w:hAnsiTheme="minorHAnsi"/>
            <w:lang w:val="es-MX"/>
          </w:rPr>
          <w:t>El primero de abril inicia Registro Nacional de Detenciones por faltas administrativas</w:t>
        </w:r>
      </w:hyperlink>
      <w:r w:rsidRPr="000D1DE6">
        <w:rPr>
          <w:rFonts w:asciiTheme="minorHAnsi" w:hAnsiTheme="minorHAnsi"/>
          <w:lang w:val="es-MX"/>
        </w:rPr>
        <w:t>, 31 de marzo de 2021.</w:t>
      </w:r>
    </w:p>
  </w:footnote>
  <w:footnote w:id="96">
    <w:p w14:paraId="79223E78" w14:textId="60A90613" w:rsidR="000235D8" w:rsidRPr="000D1DE6" w:rsidRDefault="000235D8" w:rsidP="00F46807">
      <w:pPr>
        <w:pStyle w:val="FootnoteText"/>
        <w:spacing w:after="120"/>
        <w:ind w:firstLine="720"/>
        <w:rPr>
          <w:rFonts w:asciiTheme="minorHAnsi" w:hAnsiTheme="minorHAnsi"/>
          <w:lang w:val="es-MX"/>
        </w:rPr>
      </w:pPr>
      <w:r w:rsidRPr="000D1DE6">
        <w:rPr>
          <w:rStyle w:val="FootnoteReference"/>
          <w:rFonts w:asciiTheme="minorHAnsi" w:hAnsiTheme="minorHAnsi"/>
          <w:lang w:val="es-MX"/>
        </w:rPr>
        <w:footnoteRef/>
      </w:r>
      <w:r w:rsidRPr="000D1DE6">
        <w:rPr>
          <w:rFonts w:asciiTheme="minorHAnsi" w:hAnsiTheme="minorHAnsi"/>
          <w:lang w:val="es-MX"/>
        </w:rPr>
        <w:t xml:space="preserve"> Noveno Informe del Estado mexicano sobre el cumplimiento y seguimiento de las recomendaciones contenidas en el informe “Situación de los Derechos Humanos en México”, pág. 18. </w:t>
      </w:r>
    </w:p>
  </w:footnote>
  <w:footnote w:id="97">
    <w:p w14:paraId="4BA8BDB3" w14:textId="244A6158" w:rsidR="007B69C1" w:rsidRPr="000D1DE6" w:rsidRDefault="007B69C1" w:rsidP="00F46807">
      <w:pPr>
        <w:pStyle w:val="FootnoteText"/>
        <w:spacing w:after="120"/>
        <w:ind w:firstLine="720"/>
        <w:rPr>
          <w:lang w:val="es-MX"/>
        </w:rPr>
      </w:pPr>
      <w:r w:rsidRPr="000D1DE6">
        <w:rPr>
          <w:rStyle w:val="FootnoteReference"/>
        </w:rPr>
        <w:footnoteRef/>
      </w:r>
      <w:r w:rsidRPr="000D1DE6">
        <w:t xml:space="preserve"> </w:t>
      </w:r>
      <w:r w:rsidRPr="000D1DE6">
        <w:rPr>
          <w:rFonts w:asciiTheme="minorHAnsi" w:eastAsia="Cambria" w:hAnsiTheme="minorHAnsi" w:cs="Cambria"/>
          <w:color w:val="000000"/>
          <w:lang w:val="es-MX"/>
        </w:rPr>
        <w:t>Observaciones y comentarios del Estado de 24 de enero de 2022, pág. 10.</w:t>
      </w:r>
    </w:p>
  </w:footnote>
  <w:footnote w:id="98">
    <w:p w14:paraId="719D6689" w14:textId="29F97FA6" w:rsidR="000235D8" w:rsidRPr="000D1DE6" w:rsidRDefault="000235D8" w:rsidP="00F46807">
      <w:pPr>
        <w:pStyle w:val="FootnoteText"/>
        <w:spacing w:after="120"/>
        <w:ind w:firstLine="720"/>
        <w:rPr>
          <w:rFonts w:asciiTheme="minorHAnsi" w:hAnsiTheme="minorHAnsi"/>
          <w:lang w:val="es-MX"/>
        </w:rPr>
      </w:pPr>
      <w:r w:rsidRPr="000D1DE6">
        <w:rPr>
          <w:rStyle w:val="FootnoteReference"/>
          <w:rFonts w:asciiTheme="minorHAnsi" w:hAnsiTheme="minorHAnsi"/>
          <w:lang w:val="es-MX"/>
        </w:rPr>
        <w:footnoteRef/>
      </w:r>
      <w:r w:rsidRPr="000D1DE6">
        <w:rPr>
          <w:rFonts w:asciiTheme="minorHAnsi" w:hAnsiTheme="minorHAnsi"/>
          <w:lang w:val="pt-BR"/>
        </w:rPr>
        <w:t xml:space="preserve"> CIDH, </w:t>
      </w:r>
      <w:hyperlink r:id="rId69" w:history="1">
        <w:r w:rsidRPr="000D1DE6">
          <w:rPr>
            <w:rStyle w:val="Hyperlink"/>
            <w:rFonts w:asciiTheme="minorHAnsi" w:eastAsia="Cambria" w:hAnsiTheme="minorHAnsi" w:cs="Cambria"/>
            <w:lang w:val="pt-BR"/>
          </w:rPr>
          <w:t>Informe Anual, México</w:t>
        </w:r>
      </w:hyperlink>
      <w:r w:rsidRPr="000D1DE6">
        <w:rPr>
          <w:rFonts w:asciiTheme="minorHAnsi" w:hAnsiTheme="minorHAnsi"/>
          <w:lang w:val="pt-BR"/>
        </w:rPr>
        <w:t xml:space="preserve">, 2020, párr. </w:t>
      </w:r>
      <w:r w:rsidRPr="000D1DE6">
        <w:rPr>
          <w:rFonts w:asciiTheme="minorHAnsi" w:hAnsiTheme="minorHAnsi"/>
          <w:lang w:val="es-MX"/>
        </w:rPr>
        <w:t>71</w:t>
      </w:r>
      <w:r w:rsidR="00DD4A85">
        <w:rPr>
          <w:rFonts w:asciiTheme="minorHAnsi" w:hAnsiTheme="minorHAnsi"/>
          <w:lang w:val="es-MX"/>
        </w:rPr>
        <w:t>.</w:t>
      </w:r>
    </w:p>
  </w:footnote>
  <w:footnote w:id="99">
    <w:p w14:paraId="274A4B67" w14:textId="6BC0108E" w:rsidR="000235D8" w:rsidRPr="000D1DE6" w:rsidRDefault="000235D8" w:rsidP="00F46807">
      <w:pPr>
        <w:pStyle w:val="FootnoteText"/>
        <w:spacing w:after="120"/>
        <w:ind w:firstLine="720"/>
        <w:rPr>
          <w:rFonts w:asciiTheme="minorHAnsi" w:hAnsiTheme="minorHAnsi"/>
          <w:lang w:val="es-MX"/>
        </w:rPr>
      </w:pPr>
      <w:r w:rsidRPr="000D1DE6">
        <w:rPr>
          <w:rStyle w:val="FootnoteReference"/>
          <w:rFonts w:asciiTheme="minorHAnsi" w:hAnsiTheme="minorHAnsi"/>
          <w:lang w:val="es-MX"/>
        </w:rPr>
        <w:footnoteRef/>
      </w:r>
      <w:r w:rsidRPr="000D1DE6">
        <w:rPr>
          <w:rFonts w:asciiTheme="minorHAnsi" w:hAnsiTheme="minorHAnsi"/>
          <w:lang w:val="es-MX"/>
        </w:rPr>
        <w:t xml:space="preserve"> Noveno Informe del Estado mexicano sobre el cumplimiento y seguimiento de las recomendaciones contenidas en el informe “Situación de los Derechos Humanos en México”, pág. 19 – 20. </w:t>
      </w:r>
    </w:p>
  </w:footnote>
  <w:footnote w:id="100">
    <w:p w14:paraId="3B04A205" w14:textId="294ADE8B" w:rsidR="000235D8" w:rsidRPr="000D1DE6" w:rsidRDefault="000235D8" w:rsidP="00F46807">
      <w:pPr>
        <w:pStyle w:val="FootnoteText"/>
        <w:spacing w:after="120"/>
        <w:ind w:firstLine="720"/>
        <w:rPr>
          <w:rFonts w:asciiTheme="minorHAnsi" w:hAnsiTheme="minorHAnsi"/>
          <w:lang w:val="es-PE"/>
        </w:rPr>
      </w:pPr>
      <w:r w:rsidRPr="000D1DE6">
        <w:rPr>
          <w:rStyle w:val="FootnoteReference"/>
          <w:rFonts w:asciiTheme="minorHAnsi" w:hAnsiTheme="minorHAnsi"/>
          <w:lang w:val="es-MX"/>
        </w:rPr>
        <w:footnoteRef/>
      </w:r>
      <w:r w:rsidRPr="000D1DE6">
        <w:rPr>
          <w:rFonts w:asciiTheme="minorHAnsi" w:hAnsiTheme="minorHAnsi"/>
          <w:lang w:val="pt-BR"/>
        </w:rPr>
        <w:t xml:space="preserve"> CIDH, </w:t>
      </w:r>
      <w:hyperlink r:id="rId70" w:history="1">
        <w:r w:rsidRPr="000D1DE6">
          <w:rPr>
            <w:rStyle w:val="Hyperlink"/>
            <w:rFonts w:asciiTheme="minorHAnsi" w:eastAsia="Cambria" w:hAnsiTheme="minorHAnsi" w:cs="Cambria"/>
            <w:lang w:val="pt-BR"/>
          </w:rPr>
          <w:t>Informe Anual, México</w:t>
        </w:r>
      </w:hyperlink>
      <w:r w:rsidRPr="000D1DE6">
        <w:rPr>
          <w:rFonts w:asciiTheme="minorHAnsi" w:hAnsiTheme="minorHAnsi"/>
          <w:lang w:val="pt-BR"/>
        </w:rPr>
        <w:t xml:space="preserve">, 2020, párr. </w:t>
      </w:r>
      <w:r w:rsidRPr="000D1DE6">
        <w:rPr>
          <w:rFonts w:asciiTheme="minorHAnsi" w:hAnsiTheme="minorHAnsi"/>
          <w:lang w:val="es-PE"/>
        </w:rPr>
        <w:t xml:space="preserve">71; CIDH, </w:t>
      </w:r>
      <w:hyperlink r:id="rId71" w:history="1">
        <w:r w:rsidRPr="000D1DE6">
          <w:rPr>
            <w:rStyle w:val="Hyperlink"/>
            <w:rFonts w:asciiTheme="minorHAnsi" w:eastAsia="Cambria" w:hAnsiTheme="minorHAnsi" w:cs="Cambria"/>
            <w:lang w:val="es-PE"/>
          </w:rPr>
          <w:t>Informe Anual, México</w:t>
        </w:r>
      </w:hyperlink>
      <w:r w:rsidRPr="000D1DE6">
        <w:rPr>
          <w:rFonts w:asciiTheme="minorHAnsi" w:hAnsiTheme="minorHAnsi"/>
          <w:lang w:val="es-PE"/>
        </w:rPr>
        <w:t>, 2019, párr. 67.</w:t>
      </w:r>
    </w:p>
  </w:footnote>
  <w:footnote w:id="101">
    <w:p w14:paraId="344F3FDC" w14:textId="63A2C444" w:rsidR="007B69C1" w:rsidRPr="000D1DE6" w:rsidRDefault="007B69C1" w:rsidP="00F46807">
      <w:pPr>
        <w:pStyle w:val="FootnoteText"/>
        <w:spacing w:after="120"/>
        <w:ind w:firstLine="720"/>
      </w:pPr>
      <w:r w:rsidRPr="000D1DE6">
        <w:rPr>
          <w:rStyle w:val="FootnoteReference"/>
        </w:rPr>
        <w:footnoteRef/>
      </w:r>
      <w:r w:rsidRPr="000D1DE6">
        <w:t xml:space="preserve"> </w:t>
      </w:r>
      <w:r w:rsidRPr="000D1DE6">
        <w:rPr>
          <w:rFonts w:asciiTheme="minorHAnsi" w:eastAsia="Cambria" w:hAnsiTheme="minorHAnsi" w:cs="Cambria"/>
          <w:color w:val="000000"/>
          <w:lang w:val="es-MX"/>
        </w:rPr>
        <w:t>Observaciones y comentarios del Estado de 24 de enero de 2022, págs. 10</w:t>
      </w:r>
      <w:r w:rsidR="00DD4A85">
        <w:rPr>
          <w:rFonts w:asciiTheme="minorHAnsi" w:eastAsia="Cambria" w:hAnsiTheme="minorHAnsi" w:cs="Cambria"/>
          <w:color w:val="000000"/>
          <w:lang w:val="es-MX"/>
        </w:rPr>
        <w:t>.</w:t>
      </w:r>
    </w:p>
  </w:footnote>
  <w:footnote w:id="102">
    <w:p w14:paraId="67B48569" w14:textId="77777777" w:rsidR="000235D8" w:rsidRPr="000D1DE6" w:rsidRDefault="000235D8" w:rsidP="00F46807">
      <w:pPr>
        <w:pStyle w:val="FootnoteText"/>
        <w:spacing w:after="120"/>
        <w:ind w:firstLine="720"/>
        <w:rPr>
          <w:rFonts w:asciiTheme="minorHAnsi" w:hAnsiTheme="minorHAnsi"/>
          <w:lang w:val="es-PE"/>
        </w:rPr>
      </w:pPr>
      <w:r w:rsidRPr="000D1DE6">
        <w:rPr>
          <w:rStyle w:val="FootnoteReference"/>
          <w:rFonts w:asciiTheme="minorHAnsi" w:hAnsiTheme="minorHAnsi"/>
          <w:lang w:val="es-MX"/>
        </w:rPr>
        <w:footnoteRef/>
      </w:r>
      <w:r w:rsidRPr="000D1DE6">
        <w:rPr>
          <w:rFonts w:asciiTheme="minorHAnsi" w:hAnsiTheme="minorHAnsi"/>
          <w:lang w:val="es-PE"/>
        </w:rPr>
        <w:t xml:space="preserve"> CNB, </w:t>
      </w:r>
      <w:hyperlink r:id="rId72" w:history="1">
        <w:r w:rsidRPr="000D1DE6">
          <w:rPr>
            <w:rStyle w:val="Hyperlink"/>
            <w:rFonts w:asciiTheme="minorHAnsi" w:hAnsiTheme="minorHAnsi"/>
            <w:lang w:val="es-PE"/>
          </w:rPr>
          <w:t>https://versionpublicarnpdno.segob.gob.mx/Dashboard/Index</w:t>
        </w:r>
      </w:hyperlink>
      <w:r w:rsidRPr="000D1DE6">
        <w:rPr>
          <w:rFonts w:asciiTheme="minorHAnsi" w:hAnsiTheme="minorHAnsi"/>
          <w:lang w:val="es-PE"/>
        </w:rPr>
        <w:t>, fecha de consulta 9 de diciembre de 2021.</w:t>
      </w:r>
    </w:p>
  </w:footnote>
  <w:footnote w:id="103">
    <w:p w14:paraId="136EFC57" w14:textId="77777777" w:rsidR="000235D8" w:rsidRPr="000D1DE6" w:rsidRDefault="000235D8" w:rsidP="00F46807">
      <w:pPr>
        <w:pStyle w:val="FootnoteText"/>
        <w:spacing w:after="120"/>
        <w:ind w:firstLine="720"/>
        <w:rPr>
          <w:rFonts w:asciiTheme="minorHAnsi" w:hAnsiTheme="minorHAnsi"/>
          <w:lang w:val="es-MX"/>
        </w:rPr>
      </w:pPr>
      <w:r w:rsidRPr="000D1DE6">
        <w:rPr>
          <w:rStyle w:val="FootnoteReference"/>
          <w:rFonts w:asciiTheme="minorHAnsi" w:hAnsiTheme="minorHAnsi"/>
          <w:lang w:val="es-MX"/>
        </w:rPr>
        <w:footnoteRef/>
      </w:r>
      <w:r w:rsidRPr="000D1DE6">
        <w:rPr>
          <w:rFonts w:asciiTheme="minorHAnsi" w:hAnsiTheme="minorHAnsi"/>
          <w:lang w:val="pt-BR"/>
        </w:rPr>
        <w:t xml:space="preserve"> CIDH, </w:t>
      </w:r>
      <w:hyperlink r:id="rId73" w:history="1">
        <w:r w:rsidRPr="000D1DE6">
          <w:rPr>
            <w:rStyle w:val="Hyperlink"/>
            <w:rFonts w:asciiTheme="minorHAnsi" w:hAnsiTheme="minorHAnsi"/>
            <w:lang w:val="pt-BR"/>
          </w:rPr>
          <w:t>Informe Anual, Capítulo IV.A</w:t>
        </w:r>
      </w:hyperlink>
      <w:r w:rsidRPr="000D1DE6">
        <w:rPr>
          <w:rFonts w:asciiTheme="minorHAnsi" w:hAnsiTheme="minorHAnsi"/>
          <w:lang w:val="pt-BR"/>
        </w:rPr>
        <w:t xml:space="preserve">, 2020, párr. </w:t>
      </w:r>
      <w:r w:rsidRPr="000D1DE6">
        <w:rPr>
          <w:rFonts w:asciiTheme="minorHAnsi" w:hAnsiTheme="minorHAnsi"/>
          <w:lang w:val="es-MX"/>
        </w:rPr>
        <w:t xml:space="preserve">544. </w:t>
      </w:r>
    </w:p>
  </w:footnote>
  <w:footnote w:id="104">
    <w:p w14:paraId="3277F673" w14:textId="40D57B65" w:rsidR="000235D8" w:rsidRPr="000D1DE6" w:rsidRDefault="000235D8" w:rsidP="00F46807">
      <w:pPr>
        <w:spacing w:after="120" w:line="240" w:lineRule="auto"/>
        <w:ind w:firstLine="720"/>
        <w:jc w:val="both"/>
        <w:rPr>
          <w:rFonts w:asciiTheme="minorHAnsi" w:eastAsia="Cambria" w:hAnsiTheme="minorHAnsi" w:cs="Cambria"/>
          <w:sz w:val="18"/>
          <w:szCs w:val="18"/>
          <w:lang w:val="es-MX"/>
        </w:rPr>
      </w:pPr>
      <w:r w:rsidRPr="000D1DE6">
        <w:rPr>
          <w:rFonts w:asciiTheme="minorHAnsi" w:hAnsiTheme="minorHAnsi"/>
          <w:sz w:val="18"/>
          <w:szCs w:val="18"/>
          <w:vertAlign w:val="superscript"/>
          <w:lang w:val="es-MX"/>
        </w:rPr>
        <w:footnoteRef/>
      </w:r>
      <w:r w:rsidRPr="000D1DE6">
        <w:rPr>
          <w:rFonts w:asciiTheme="minorHAnsi" w:eastAsia="Cambria" w:hAnsiTheme="minorHAnsi" w:cs="Cambria"/>
          <w:sz w:val="18"/>
          <w:szCs w:val="18"/>
          <w:lang w:val="es-MX"/>
        </w:rPr>
        <w:t xml:space="preserve"> Diario Oficial de la Federación,</w:t>
      </w:r>
      <w:r w:rsidRPr="000D1DE6">
        <w:rPr>
          <w:rFonts w:asciiTheme="minorHAnsi" w:eastAsia="Cambria" w:hAnsiTheme="minorHAnsi" w:cs="Cambria"/>
          <w:color w:val="1155CC"/>
          <w:sz w:val="18"/>
          <w:szCs w:val="18"/>
          <w:u w:val="single"/>
          <w:lang w:val="es-MX"/>
        </w:rPr>
        <w:t xml:space="preserve"> </w:t>
      </w:r>
      <w:hyperlink r:id="rId74" w:history="1">
        <w:r w:rsidRPr="000D1DE6">
          <w:rPr>
            <w:rStyle w:val="Hyperlink"/>
            <w:rFonts w:asciiTheme="minorHAnsi" w:eastAsia="Cambria" w:hAnsiTheme="minorHAnsi" w:cs="Cambria"/>
            <w:sz w:val="18"/>
            <w:szCs w:val="18"/>
            <w:lang w:val="es-MX"/>
          </w:rPr>
          <w:t>Acuerdo SNBP/002/2020 por el que se aprueba el Protocolo Homologado para la Búsqueda de Personas Desaparecidas y No Localizadas, el cual se anexa al presente Acuerdo y forma parte integrante del mismo</w:t>
        </w:r>
      </w:hyperlink>
      <w:r w:rsidRPr="000D1DE6">
        <w:rPr>
          <w:rFonts w:asciiTheme="minorHAnsi" w:eastAsia="Cambria" w:hAnsiTheme="minorHAnsi" w:cs="Cambria"/>
          <w:sz w:val="18"/>
          <w:szCs w:val="18"/>
          <w:lang w:val="es-MX"/>
        </w:rPr>
        <w:t>, 6 de octubre de 2020.</w:t>
      </w:r>
    </w:p>
  </w:footnote>
  <w:footnote w:id="105">
    <w:p w14:paraId="78891FB4" w14:textId="373B630D" w:rsidR="000235D8" w:rsidRPr="000D1DE6" w:rsidRDefault="000235D8" w:rsidP="00F46807">
      <w:pPr>
        <w:pStyle w:val="FootnoteText"/>
        <w:spacing w:after="120"/>
        <w:ind w:firstLine="720"/>
        <w:rPr>
          <w:rFonts w:asciiTheme="minorHAnsi" w:hAnsiTheme="minorHAnsi"/>
          <w:lang w:val="es-MX"/>
        </w:rPr>
      </w:pPr>
      <w:r w:rsidRPr="000D1DE6">
        <w:rPr>
          <w:rStyle w:val="FootnoteReference"/>
          <w:rFonts w:asciiTheme="minorHAnsi" w:hAnsiTheme="minorHAnsi"/>
          <w:lang w:val="es-MX"/>
        </w:rPr>
        <w:footnoteRef/>
      </w:r>
      <w:r w:rsidRPr="000D1DE6">
        <w:rPr>
          <w:rFonts w:asciiTheme="minorHAnsi" w:hAnsiTheme="minorHAnsi"/>
          <w:lang w:val="es-MX"/>
        </w:rPr>
        <w:t xml:space="preserve"> CNB, </w:t>
      </w:r>
      <w:hyperlink r:id="rId75" w:history="1">
        <w:r w:rsidRPr="000D1DE6">
          <w:rPr>
            <w:rStyle w:val="Hyperlink"/>
            <w:rFonts w:asciiTheme="minorHAnsi" w:hAnsiTheme="minorHAnsi"/>
            <w:lang w:val="es-MX"/>
          </w:rPr>
          <w:t>Segunda sesión del Sistema Nacional de Búsqueda 2021</w:t>
        </w:r>
      </w:hyperlink>
      <w:r w:rsidRPr="000D1DE6">
        <w:rPr>
          <w:rFonts w:asciiTheme="minorHAnsi" w:hAnsiTheme="minorHAnsi"/>
          <w:lang w:val="es-MX"/>
        </w:rPr>
        <w:t>, 9 de noviembre de 2021.</w:t>
      </w:r>
    </w:p>
  </w:footnote>
  <w:footnote w:id="106">
    <w:p w14:paraId="529B0532" w14:textId="58A06525" w:rsidR="000235D8" w:rsidRPr="000D1DE6" w:rsidRDefault="000235D8" w:rsidP="00F46807">
      <w:pPr>
        <w:pStyle w:val="FootnoteText"/>
        <w:spacing w:after="120"/>
        <w:ind w:firstLine="720"/>
        <w:rPr>
          <w:rFonts w:asciiTheme="minorHAnsi" w:hAnsiTheme="minorHAnsi"/>
          <w:lang w:val="es-MX"/>
        </w:rPr>
      </w:pPr>
      <w:r w:rsidRPr="000D1DE6">
        <w:rPr>
          <w:rStyle w:val="FootnoteReference"/>
          <w:rFonts w:asciiTheme="minorHAnsi" w:hAnsiTheme="minorHAnsi"/>
          <w:lang w:val="es-MX"/>
        </w:rPr>
        <w:footnoteRef/>
      </w:r>
      <w:r w:rsidRPr="000D1DE6">
        <w:rPr>
          <w:rFonts w:asciiTheme="minorHAnsi" w:hAnsiTheme="minorHAnsi"/>
          <w:lang w:val="es-MX"/>
        </w:rPr>
        <w:t xml:space="preserve"> Noveno Informe del Estado mexicano sobre el cumplimiento y seguimiento de las recomendaciones contenidas en el informe “Situación de los Derechos Humanos en México”, págs. 24 – 25. </w:t>
      </w:r>
    </w:p>
  </w:footnote>
  <w:footnote w:id="107">
    <w:p w14:paraId="35664FF1" w14:textId="3F45E88A" w:rsidR="000235D8" w:rsidRPr="000D1DE6" w:rsidRDefault="000235D8" w:rsidP="00F46807">
      <w:pPr>
        <w:pStyle w:val="FootnoteText"/>
        <w:spacing w:after="120"/>
        <w:ind w:firstLine="720"/>
        <w:rPr>
          <w:rFonts w:asciiTheme="minorHAnsi" w:hAnsiTheme="minorHAnsi"/>
          <w:lang w:val="es-MX"/>
        </w:rPr>
      </w:pPr>
      <w:r w:rsidRPr="000D1DE6">
        <w:rPr>
          <w:rStyle w:val="FootnoteReference"/>
          <w:rFonts w:asciiTheme="minorHAnsi" w:hAnsiTheme="minorHAnsi"/>
          <w:lang w:val="es-MX"/>
        </w:rPr>
        <w:footnoteRef/>
      </w:r>
      <w:r w:rsidRPr="000D1DE6">
        <w:rPr>
          <w:rFonts w:asciiTheme="minorHAnsi" w:hAnsiTheme="minorHAnsi"/>
          <w:lang w:val="es-MX"/>
        </w:rPr>
        <w:t xml:space="preserve"> Noveno Informe del Estado mexicano sobre el cumplimiento y seguimiento de las recomendaciones contenidas en el informe “Situación de los Derechos Humanos en México”, págs. 24 – 25</w:t>
      </w:r>
    </w:p>
  </w:footnote>
  <w:footnote w:id="108">
    <w:p w14:paraId="005AE30A" w14:textId="77777777" w:rsidR="000235D8" w:rsidRPr="000D1DE6" w:rsidRDefault="000235D8" w:rsidP="00F46807">
      <w:pPr>
        <w:pStyle w:val="FootnoteText"/>
        <w:spacing w:after="120"/>
        <w:ind w:firstLine="720"/>
        <w:rPr>
          <w:rFonts w:asciiTheme="minorHAnsi" w:hAnsiTheme="minorHAnsi"/>
          <w:lang w:val="es-MX"/>
        </w:rPr>
      </w:pPr>
      <w:r w:rsidRPr="000D1DE6">
        <w:rPr>
          <w:rStyle w:val="FootnoteReference"/>
          <w:rFonts w:asciiTheme="minorHAnsi" w:hAnsiTheme="minorHAnsi"/>
          <w:lang w:val="es-MX"/>
        </w:rPr>
        <w:footnoteRef/>
      </w:r>
      <w:r w:rsidRPr="000D1DE6">
        <w:rPr>
          <w:rFonts w:asciiTheme="minorHAnsi" w:hAnsiTheme="minorHAnsi"/>
          <w:lang w:val="es-MX"/>
        </w:rPr>
        <w:t xml:space="preserve"> CNB, </w:t>
      </w:r>
      <w:hyperlink r:id="rId76" w:history="1">
        <w:r w:rsidRPr="000D1DE6">
          <w:rPr>
            <w:rStyle w:val="Hyperlink"/>
            <w:rFonts w:asciiTheme="minorHAnsi" w:hAnsiTheme="minorHAnsi"/>
            <w:lang w:val="es-MX"/>
          </w:rPr>
          <w:t>Segunda sesión del Sistema Nacional de Búsqueda 2021</w:t>
        </w:r>
      </w:hyperlink>
      <w:r w:rsidRPr="000D1DE6">
        <w:rPr>
          <w:rFonts w:asciiTheme="minorHAnsi" w:hAnsiTheme="minorHAnsi"/>
          <w:lang w:val="es-MX"/>
        </w:rPr>
        <w:t>, 9 de noviembre de 2021.</w:t>
      </w:r>
    </w:p>
  </w:footnote>
  <w:footnote w:id="109">
    <w:p w14:paraId="151C49CE" w14:textId="77777777" w:rsidR="000235D8" w:rsidRPr="000D1DE6" w:rsidRDefault="000235D8" w:rsidP="00F46807">
      <w:pPr>
        <w:pStyle w:val="FootnoteText"/>
        <w:spacing w:after="120"/>
        <w:ind w:firstLine="720"/>
        <w:rPr>
          <w:rFonts w:asciiTheme="minorHAnsi" w:hAnsiTheme="minorHAnsi"/>
          <w:lang w:val="es-MX"/>
        </w:rPr>
      </w:pPr>
      <w:r w:rsidRPr="000D1DE6">
        <w:rPr>
          <w:rStyle w:val="FootnoteReference"/>
          <w:rFonts w:asciiTheme="minorHAnsi" w:hAnsiTheme="minorHAnsi"/>
          <w:lang w:val="es-MX"/>
        </w:rPr>
        <w:footnoteRef/>
      </w:r>
      <w:r w:rsidRPr="000D1DE6">
        <w:rPr>
          <w:rFonts w:asciiTheme="minorHAnsi" w:hAnsiTheme="minorHAnsi"/>
          <w:lang w:val="es-MX"/>
        </w:rPr>
        <w:t xml:space="preserve"> Noveno Informe del Estado mexicano sobre el cumplimiento y seguimiento de las recomendaciones contenidas en el informe “Situación de los Derechos Humanos en México”, págs. 25 – 27.</w:t>
      </w:r>
    </w:p>
  </w:footnote>
  <w:footnote w:id="110">
    <w:p w14:paraId="5C34B22B" w14:textId="58658764" w:rsidR="00814A61" w:rsidRPr="000D1DE6" w:rsidRDefault="00814A61" w:rsidP="00F46807">
      <w:pPr>
        <w:pStyle w:val="FootnoteText"/>
        <w:spacing w:after="120"/>
        <w:ind w:firstLine="720"/>
        <w:rPr>
          <w:rFonts w:asciiTheme="minorHAnsi" w:hAnsiTheme="minorHAnsi"/>
        </w:rPr>
      </w:pPr>
      <w:r w:rsidRPr="000D1DE6">
        <w:rPr>
          <w:rStyle w:val="FootnoteReference"/>
          <w:rFonts w:asciiTheme="minorHAnsi" w:hAnsiTheme="minorHAnsi"/>
        </w:rPr>
        <w:footnoteRef/>
      </w:r>
      <w:r w:rsidRPr="000D1DE6">
        <w:rPr>
          <w:rFonts w:asciiTheme="minorHAnsi" w:hAnsiTheme="minorHAnsi"/>
        </w:rPr>
        <w:t xml:space="preserve"> CIDH, </w:t>
      </w:r>
      <w:hyperlink r:id="rId77" w:history="1">
        <w:r w:rsidRPr="000D1DE6">
          <w:rPr>
            <w:rStyle w:val="Hyperlink"/>
            <w:rFonts w:asciiTheme="minorHAnsi" w:hAnsiTheme="minorHAnsi"/>
          </w:rPr>
          <w:t xml:space="preserve">Informe de la </w:t>
        </w:r>
        <w:r w:rsidR="0037574D" w:rsidRPr="000D1DE6">
          <w:rPr>
            <w:rStyle w:val="Hyperlink"/>
            <w:rFonts w:asciiTheme="minorHAnsi" w:hAnsiTheme="minorHAnsi"/>
          </w:rPr>
          <w:t>CNDH</w:t>
        </w:r>
        <w:r w:rsidRPr="000D1DE6">
          <w:rPr>
            <w:rStyle w:val="Hyperlink"/>
            <w:rFonts w:asciiTheme="minorHAnsi" w:hAnsiTheme="minorHAnsi"/>
          </w:rPr>
          <w:t xml:space="preserve"> en el SIMORE,</w:t>
        </w:r>
      </w:hyperlink>
      <w:r w:rsidRPr="000D1DE6">
        <w:rPr>
          <w:rFonts w:asciiTheme="minorHAnsi" w:hAnsiTheme="minorHAnsi"/>
        </w:rPr>
        <w:t xml:space="preserve"> 15 de julio de 2021.</w:t>
      </w:r>
    </w:p>
  </w:footnote>
  <w:footnote w:id="111">
    <w:p w14:paraId="143CED78" w14:textId="1459BD50" w:rsidR="000235D8" w:rsidRPr="000D1DE6" w:rsidRDefault="000235D8" w:rsidP="00F46807">
      <w:pPr>
        <w:pStyle w:val="FootnoteText"/>
        <w:spacing w:after="120"/>
        <w:ind w:firstLine="720"/>
        <w:rPr>
          <w:rFonts w:asciiTheme="minorHAnsi" w:hAnsiTheme="minorHAnsi"/>
          <w:lang w:val="es-MX"/>
        </w:rPr>
      </w:pPr>
      <w:r w:rsidRPr="000D1DE6">
        <w:rPr>
          <w:rStyle w:val="FootnoteReference"/>
          <w:rFonts w:asciiTheme="minorHAnsi" w:hAnsiTheme="minorHAnsi"/>
          <w:lang w:val="es-MX"/>
        </w:rPr>
        <w:footnoteRef/>
      </w:r>
      <w:r w:rsidRPr="000D1DE6">
        <w:rPr>
          <w:rFonts w:asciiTheme="minorHAnsi" w:hAnsiTheme="minorHAnsi"/>
          <w:lang w:val="es-MX"/>
        </w:rPr>
        <w:t xml:space="preserve"> Noveno Informe del Estado mexicano sobre el cumplimiento y seguimiento de las recomendaciones contenidas en el informe “Situación de los Derechos Humanos en México”, págs. 25 – 27.</w:t>
      </w:r>
    </w:p>
  </w:footnote>
  <w:footnote w:id="112">
    <w:p w14:paraId="5D267907" w14:textId="30487E51" w:rsidR="000235D8" w:rsidRPr="000D1DE6" w:rsidRDefault="000235D8" w:rsidP="00F46807">
      <w:pPr>
        <w:pStyle w:val="FootnoteText"/>
        <w:spacing w:after="120"/>
        <w:ind w:firstLine="720"/>
        <w:rPr>
          <w:rFonts w:asciiTheme="minorHAnsi" w:hAnsiTheme="minorHAnsi"/>
          <w:lang w:val="es-ES_tradnl"/>
        </w:rPr>
      </w:pPr>
      <w:r w:rsidRPr="000D1DE6">
        <w:rPr>
          <w:rStyle w:val="FootnoteReference"/>
          <w:rFonts w:asciiTheme="minorHAnsi" w:hAnsiTheme="minorHAnsi"/>
          <w:lang w:val="es-MX"/>
        </w:rPr>
        <w:footnoteRef/>
      </w:r>
      <w:r w:rsidRPr="000D1DE6">
        <w:rPr>
          <w:rFonts w:asciiTheme="minorHAnsi" w:hAnsiTheme="minorHAnsi"/>
          <w:lang w:val="es-ES_tradnl"/>
        </w:rPr>
        <w:t xml:space="preserve"> CIDH, </w:t>
      </w:r>
      <w:hyperlink r:id="rId78" w:history="1">
        <w:r w:rsidRPr="000D1DE6">
          <w:rPr>
            <w:rStyle w:val="Hyperlink"/>
            <w:rFonts w:asciiTheme="minorHAnsi" w:eastAsia="Cambria" w:hAnsiTheme="minorHAnsi" w:cs="Cambria"/>
            <w:lang w:val="es-ES_tradnl"/>
          </w:rPr>
          <w:t>Informe Anual, México</w:t>
        </w:r>
      </w:hyperlink>
      <w:r w:rsidRPr="000D1DE6">
        <w:rPr>
          <w:rFonts w:asciiTheme="minorHAnsi" w:hAnsiTheme="minorHAnsi"/>
          <w:lang w:val="es-ES_tradnl"/>
        </w:rPr>
        <w:t xml:space="preserve">, 2020, párr. 81. </w:t>
      </w:r>
    </w:p>
  </w:footnote>
  <w:footnote w:id="113">
    <w:p w14:paraId="1678F782" w14:textId="42C7E2A4" w:rsidR="007B69C1" w:rsidRPr="000D1DE6" w:rsidRDefault="007B69C1" w:rsidP="00F46807">
      <w:pPr>
        <w:shd w:val="clear" w:color="auto" w:fill="FFFFFF" w:themeFill="background1"/>
        <w:spacing w:after="120" w:line="240" w:lineRule="auto"/>
        <w:ind w:firstLine="720"/>
        <w:jc w:val="both"/>
        <w:rPr>
          <w:rFonts w:ascii="Cambria" w:eastAsia="Cambria" w:hAnsi="Cambria" w:cs="Cambria"/>
          <w:sz w:val="18"/>
          <w:szCs w:val="18"/>
        </w:rPr>
      </w:pPr>
      <w:r w:rsidRPr="000D1DE6">
        <w:rPr>
          <w:rStyle w:val="FootnoteReference"/>
        </w:rPr>
        <w:footnoteRef/>
      </w:r>
      <w:r w:rsidRPr="000D1DE6">
        <w:t xml:space="preserve"> </w:t>
      </w:r>
      <w:r w:rsidRPr="000D1DE6">
        <w:rPr>
          <w:rFonts w:ascii="Cambria" w:eastAsia="Cambria" w:hAnsi="Cambria" w:cs="Cambria"/>
          <w:sz w:val="18"/>
          <w:szCs w:val="18"/>
          <w:lang w:val="es-MX"/>
        </w:rPr>
        <w:t xml:space="preserve">El Estado asimismo afirmó que el Instituto Nacional de las Mujeres  (INMUJERES)  conformó un Grupo de Trabajo Interinstitucional integrado por seis  instituciones locales y federales, para diseñar e implementar un programa de capacitación dirigido al personal que realiza acciones de búsqueda e impartición de justicia en casos de desaparición y violencia contra las mujeres. </w:t>
      </w:r>
      <w:r w:rsidRPr="000D1DE6">
        <w:rPr>
          <w:rFonts w:asciiTheme="minorHAnsi" w:eastAsia="Cambria" w:hAnsiTheme="minorHAnsi" w:cs="Cambria"/>
          <w:color w:val="000000"/>
          <w:sz w:val="18"/>
          <w:szCs w:val="18"/>
          <w:lang w:val="es-MX"/>
        </w:rPr>
        <w:t>Observaciones y comentarios del Estado de 24 de enero de 2022, pág. 11.</w:t>
      </w:r>
    </w:p>
  </w:footnote>
  <w:footnote w:id="114">
    <w:p w14:paraId="6C463937" w14:textId="2B72BF00" w:rsidR="000235D8" w:rsidRPr="000D1DE6" w:rsidRDefault="000235D8" w:rsidP="00F46807">
      <w:pPr>
        <w:pBdr>
          <w:top w:val="nil"/>
          <w:left w:val="nil"/>
          <w:bottom w:val="nil"/>
          <w:right w:val="nil"/>
          <w:between w:val="nil"/>
        </w:pBdr>
        <w:spacing w:after="120" w:line="240" w:lineRule="auto"/>
        <w:ind w:firstLine="720"/>
        <w:jc w:val="both"/>
        <w:rPr>
          <w:rFonts w:asciiTheme="minorHAnsi" w:eastAsia="Cambria" w:hAnsiTheme="minorHAnsi" w:cs="Cambria"/>
          <w:color w:val="000000"/>
          <w:sz w:val="18"/>
          <w:szCs w:val="18"/>
          <w:lang w:val="es-MX"/>
        </w:rPr>
      </w:pPr>
      <w:r w:rsidRPr="000D1DE6">
        <w:rPr>
          <w:rFonts w:asciiTheme="minorHAnsi" w:hAnsiTheme="minorHAnsi"/>
          <w:sz w:val="18"/>
          <w:szCs w:val="18"/>
          <w:vertAlign w:val="superscript"/>
          <w:lang w:val="es-MX"/>
        </w:rPr>
        <w:footnoteRef/>
      </w:r>
      <w:r w:rsidRPr="000D1DE6">
        <w:rPr>
          <w:rFonts w:asciiTheme="minorHAnsi" w:eastAsia="Cambria" w:hAnsiTheme="minorHAnsi" w:cs="Cambria"/>
          <w:color w:val="000000"/>
          <w:sz w:val="18"/>
          <w:szCs w:val="18"/>
          <w:lang w:val="es-MX"/>
        </w:rPr>
        <w:t xml:space="preserve"> CNB, </w:t>
      </w:r>
      <w:hyperlink r:id="rId79" w:history="1">
        <w:r w:rsidRPr="000D1DE6">
          <w:rPr>
            <w:rStyle w:val="Hyperlink"/>
            <w:rFonts w:asciiTheme="minorHAnsi" w:eastAsia="Cambria" w:hAnsiTheme="minorHAnsi" w:cs="Cambria"/>
            <w:sz w:val="18"/>
            <w:szCs w:val="18"/>
            <w:lang w:val="es-MX"/>
          </w:rPr>
          <w:t>Versión Pública del RNPDNO</w:t>
        </w:r>
      </w:hyperlink>
      <w:r w:rsidRPr="000D1DE6">
        <w:rPr>
          <w:rFonts w:asciiTheme="minorHAnsi" w:eastAsia="Cambria" w:hAnsiTheme="minorHAnsi" w:cs="Cambria"/>
          <w:color w:val="000000"/>
          <w:sz w:val="18"/>
          <w:szCs w:val="18"/>
          <w:lang w:val="es-MX"/>
        </w:rPr>
        <w:t xml:space="preserve">, fecha de consulta 7 de diciembre de 2021; Karla Quintana Osuna, </w:t>
      </w:r>
      <w:hyperlink r:id="rId80" w:history="1">
        <w:r w:rsidRPr="000D1DE6">
          <w:rPr>
            <w:rStyle w:val="Hyperlink"/>
            <w:rFonts w:asciiTheme="minorHAnsi" w:hAnsiTheme="minorHAnsi"/>
            <w:sz w:val="18"/>
            <w:szCs w:val="18"/>
            <w:shd w:val="clear" w:color="auto" w:fill="FFFFFF"/>
            <w:lang w:val="es-MX"/>
          </w:rPr>
          <w:t>https://twitter.com/kiquinta/status/1463944328791875589?s=20</w:t>
        </w:r>
      </w:hyperlink>
      <w:r w:rsidRPr="000D1DE6">
        <w:rPr>
          <w:rFonts w:asciiTheme="minorHAnsi" w:hAnsiTheme="minorHAnsi"/>
          <w:color w:val="000000"/>
          <w:sz w:val="18"/>
          <w:szCs w:val="18"/>
          <w:shd w:val="clear" w:color="auto" w:fill="FFFFFF"/>
          <w:lang w:val="es-MX"/>
        </w:rPr>
        <w:t>, 25 de noviembre de 2021.</w:t>
      </w:r>
    </w:p>
  </w:footnote>
  <w:footnote w:id="115">
    <w:p w14:paraId="27B9192E" w14:textId="77777777" w:rsidR="000235D8" w:rsidRPr="000D1DE6" w:rsidRDefault="000235D8" w:rsidP="00F46807">
      <w:pPr>
        <w:pStyle w:val="FootnoteText"/>
        <w:spacing w:after="120"/>
        <w:ind w:firstLine="720"/>
        <w:rPr>
          <w:rFonts w:asciiTheme="minorHAnsi" w:hAnsiTheme="minorHAnsi"/>
          <w:lang w:val="es-MX"/>
        </w:rPr>
      </w:pPr>
      <w:r w:rsidRPr="000D1DE6">
        <w:rPr>
          <w:rStyle w:val="FootnoteReference"/>
          <w:rFonts w:asciiTheme="minorHAnsi" w:hAnsiTheme="minorHAnsi"/>
          <w:lang w:val="es-MX"/>
        </w:rPr>
        <w:footnoteRef/>
      </w:r>
      <w:r w:rsidRPr="000D1DE6">
        <w:rPr>
          <w:rFonts w:asciiTheme="minorHAnsi" w:hAnsiTheme="minorHAnsi"/>
          <w:lang w:val="es-MX"/>
        </w:rPr>
        <w:t xml:space="preserve"> CIDH, Comunicado de prensa 241/21, </w:t>
      </w:r>
      <w:hyperlink r:id="rId81" w:history="1">
        <w:r w:rsidRPr="000D1DE6">
          <w:rPr>
            <w:rStyle w:val="Hyperlink"/>
            <w:rFonts w:asciiTheme="minorHAnsi" w:hAnsiTheme="minorHAnsi"/>
            <w:lang w:val="es-MX"/>
          </w:rPr>
          <w:t>CIDH concluye visita de trabajo a México sobre el Mecanismo Especial de Seguimiento al asunto Ayotzinapa</w:t>
        </w:r>
      </w:hyperlink>
      <w:r w:rsidRPr="000D1DE6">
        <w:rPr>
          <w:rFonts w:asciiTheme="minorHAnsi" w:hAnsiTheme="minorHAnsi"/>
          <w:lang w:val="es-MX"/>
        </w:rPr>
        <w:t xml:space="preserve">, Washington, D.C., 16 de septiembre de 2021. </w:t>
      </w:r>
    </w:p>
  </w:footnote>
  <w:footnote w:id="116">
    <w:p w14:paraId="5E349AED" w14:textId="6955DA0E" w:rsidR="000235D8" w:rsidRPr="000D1DE6" w:rsidRDefault="000235D8" w:rsidP="00F46807">
      <w:pPr>
        <w:pStyle w:val="FootnoteText"/>
        <w:spacing w:after="120"/>
        <w:ind w:firstLine="720"/>
        <w:rPr>
          <w:rFonts w:asciiTheme="minorHAnsi" w:hAnsiTheme="minorHAnsi"/>
          <w:lang w:val="es-MX"/>
        </w:rPr>
      </w:pPr>
      <w:r w:rsidRPr="000D1DE6">
        <w:rPr>
          <w:rStyle w:val="FootnoteReference"/>
          <w:rFonts w:asciiTheme="minorHAnsi" w:hAnsiTheme="minorHAnsi"/>
          <w:lang w:val="es-MX"/>
        </w:rPr>
        <w:footnoteRef/>
      </w:r>
      <w:r w:rsidRPr="000D1DE6">
        <w:rPr>
          <w:rFonts w:asciiTheme="minorHAnsi" w:hAnsiTheme="minorHAnsi"/>
          <w:lang w:val="es-MX"/>
        </w:rPr>
        <w:t xml:space="preserve"> </w:t>
      </w:r>
      <w:r w:rsidRPr="000D1DE6">
        <w:rPr>
          <w:rStyle w:val="normaltextrun"/>
          <w:rFonts w:asciiTheme="minorHAnsi" w:hAnsiTheme="minorHAnsi"/>
          <w:color w:val="000000"/>
          <w:lang w:val="es-MX"/>
        </w:rPr>
        <w:t xml:space="preserve">Centro de Derechos Humanos de la Montaña Tlachinollan, Centro Regional de Defensa de los Derechos Humanos José María Morelos y Pavón, A.C., Red Guerrerense de Organismos Civiles de Derechos Humanos, Centro de Derechos Humanos Miguel Agustín Pro Juárez, A.C. (Centro Prodh), Respuesta de la representación legal al sexto cuestionario formulado por el Mecanismo Especial de Seguimiento al asunto Ayotzinapa 12 de agosto de 2021, págs. 1 – 2. </w:t>
      </w:r>
    </w:p>
  </w:footnote>
  <w:footnote w:id="117">
    <w:p w14:paraId="79AF5E3B" w14:textId="2FA2F7F9" w:rsidR="000235D8" w:rsidRPr="000D1DE6" w:rsidRDefault="000235D8" w:rsidP="00F46807">
      <w:pPr>
        <w:pStyle w:val="FootnoteText"/>
        <w:spacing w:after="120"/>
        <w:ind w:firstLine="720"/>
        <w:rPr>
          <w:rFonts w:asciiTheme="minorHAnsi" w:hAnsiTheme="minorHAnsi"/>
          <w:lang w:val="es-MX"/>
        </w:rPr>
      </w:pPr>
      <w:r w:rsidRPr="000D1DE6">
        <w:rPr>
          <w:rStyle w:val="FootnoteReference"/>
          <w:rFonts w:asciiTheme="minorHAnsi" w:hAnsiTheme="minorHAnsi"/>
          <w:lang w:val="es-MX"/>
        </w:rPr>
        <w:footnoteRef/>
      </w:r>
      <w:r w:rsidRPr="000D1DE6">
        <w:rPr>
          <w:rFonts w:asciiTheme="minorHAnsi" w:hAnsiTheme="minorHAnsi"/>
          <w:lang w:val="es-MX"/>
        </w:rPr>
        <w:t xml:space="preserve"> Noveno Informe del Estado mexicano sobre el cumplimiento y seguimiento de las recomendaciones contenidas en el informe “Situación de los Derechos Humanos en México”, págs. 28 – 31.</w:t>
      </w:r>
    </w:p>
  </w:footnote>
  <w:footnote w:id="118">
    <w:p w14:paraId="3FA066AD" w14:textId="4A24592C" w:rsidR="000235D8" w:rsidRPr="000D1DE6" w:rsidRDefault="000235D8" w:rsidP="00F46807">
      <w:pPr>
        <w:pStyle w:val="FootnoteText"/>
        <w:spacing w:after="120"/>
        <w:ind w:firstLine="720"/>
        <w:rPr>
          <w:rFonts w:asciiTheme="minorHAnsi" w:hAnsiTheme="minorHAnsi"/>
          <w:lang w:val="es-MX"/>
        </w:rPr>
      </w:pPr>
      <w:r w:rsidRPr="000D1DE6">
        <w:rPr>
          <w:rStyle w:val="FootnoteReference"/>
          <w:rFonts w:asciiTheme="minorHAnsi" w:hAnsiTheme="minorHAnsi"/>
          <w:lang w:val="es-MX"/>
        </w:rPr>
        <w:footnoteRef/>
      </w:r>
      <w:r w:rsidRPr="000D1DE6">
        <w:rPr>
          <w:rFonts w:asciiTheme="minorHAnsi" w:hAnsiTheme="minorHAnsi"/>
          <w:lang w:val="es-MX"/>
        </w:rPr>
        <w:t xml:space="preserve">En cuanto al estado de las órdenes de aprehensión libradas, México informó lo siguiente: (i) 34 órdenes de aprehensión en contra de policías municipales de Iguala, de las cuales 27 cuentan con autos de formal prisión; (ii) 25 órdenes de aprehensión en contra de diversas personas, entre ellas un militar y tres policías federales, de las cuales se han obtenido 18 autos de formal prisión; (iii) nueve órdenes de aprehensión en contra de seis policías municipales de Cocula y tres policías municipales de Iguala, de las cuales tres cuentan con autos de prisión formal; (iv) ocho órdenes de aprehensión en contra elementos de Policía Federal Ministerial por el delito de tortura, de las cuales se han obtenido seis autos de formal prisión; (v) una orden de aprehensión en contra de un elemento de la Secretaría de Marina por el delito de tortura, así como auto de formal prisión; (vi) tres órdenes de aprehensión contra personas exfuncionarios de la SEIDO por el delito de tortura, pendientes de ejecutar; (vii) tres órdenes de aprehensión contra de exfuncionarios de la Policía Federal por el delito de tortura, pendientes de ejecutar; (viii) una orden de aprehensión contra un agente de la SEIDO por delitos contra la administración de justicia, desaparición forzada y tortura; y (ix) una orden de aprehensión en contra del extitular de la Agencia de Investigación Criminal de la entonces PGR, por delitos contra la administración de justicia, desaparición forzada y tortura. </w:t>
      </w:r>
    </w:p>
  </w:footnote>
  <w:footnote w:id="119">
    <w:p w14:paraId="45D0D0C8" w14:textId="2F7FDE2E" w:rsidR="000235D8" w:rsidRPr="000D1DE6" w:rsidRDefault="000235D8" w:rsidP="00F46807">
      <w:pPr>
        <w:pStyle w:val="FootnoteText"/>
        <w:spacing w:after="120"/>
        <w:ind w:firstLine="720"/>
        <w:rPr>
          <w:rFonts w:asciiTheme="minorHAnsi" w:hAnsiTheme="minorHAnsi"/>
          <w:lang w:val="es-MX"/>
        </w:rPr>
      </w:pPr>
      <w:r w:rsidRPr="000D1DE6">
        <w:rPr>
          <w:rStyle w:val="FootnoteReference"/>
          <w:rFonts w:asciiTheme="minorHAnsi" w:hAnsiTheme="minorHAnsi"/>
          <w:lang w:val="es-MX"/>
        </w:rPr>
        <w:footnoteRef/>
      </w:r>
      <w:r w:rsidRPr="000D1DE6">
        <w:rPr>
          <w:rFonts w:asciiTheme="minorHAnsi" w:hAnsiTheme="minorHAnsi"/>
          <w:lang w:val="es-MX"/>
        </w:rPr>
        <w:t xml:space="preserve"> </w:t>
      </w:r>
      <w:r w:rsidRPr="000D1DE6">
        <w:rPr>
          <w:rFonts w:asciiTheme="minorHAnsi" w:eastAsia="Cambria" w:hAnsiTheme="minorHAnsi" w:cs="Cambria"/>
          <w:lang w:val="es-MX"/>
        </w:rPr>
        <w:t xml:space="preserve">Diario Oficial de la Federación, </w:t>
      </w:r>
      <w:hyperlink r:id="rId82" w:history="1">
        <w:r w:rsidRPr="000D1DE6">
          <w:rPr>
            <w:rStyle w:val="Hyperlink"/>
            <w:rFonts w:asciiTheme="minorHAnsi" w:hAnsiTheme="minorHAnsi"/>
            <w:lang w:val="es-MX"/>
          </w:rPr>
          <w:t>Acuerdo A/010/19 por el que se crea la Unidad Especial de Investigación y Litigación para el caso Ayotzinapa</w:t>
        </w:r>
      </w:hyperlink>
      <w:r w:rsidRPr="000D1DE6">
        <w:rPr>
          <w:rFonts w:asciiTheme="minorHAnsi" w:hAnsiTheme="minorHAnsi"/>
          <w:lang w:val="es-MX"/>
        </w:rPr>
        <w:t xml:space="preserve">, 26 de junio de 2019; Noveno Informe del Estado mexicano sobre el cumplimiento y seguimiento de las recomendaciones contenidas en el informe “Situación de los Derechos Humanos en México”, </w:t>
      </w:r>
      <w:r w:rsidR="00064A28">
        <w:rPr>
          <w:rFonts w:asciiTheme="minorHAnsi" w:hAnsiTheme="minorHAnsi"/>
          <w:lang w:val="es-MX"/>
        </w:rPr>
        <w:br/>
      </w:r>
      <w:r w:rsidRPr="000D1DE6">
        <w:rPr>
          <w:rFonts w:asciiTheme="minorHAnsi" w:hAnsiTheme="minorHAnsi"/>
          <w:lang w:val="es-MX"/>
        </w:rPr>
        <w:t>págs. 28 – 31.</w:t>
      </w:r>
    </w:p>
  </w:footnote>
  <w:footnote w:id="120">
    <w:p w14:paraId="4E61BE36" w14:textId="01D64A09" w:rsidR="000235D8" w:rsidRPr="000D1DE6" w:rsidRDefault="000235D8" w:rsidP="00F46807">
      <w:pPr>
        <w:pStyle w:val="FootnoteText"/>
        <w:spacing w:after="120"/>
        <w:ind w:firstLine="720"/>
        <w:rPr>
          <w:rFonts w:asciiTheme="minorHAnsi" w:hAnsiTheme="minorHAnsi"/>
          <w:lang w:val="es-MX"/>
        </w:rPr>
      </w:pPr>
      <w:r w:rsidRPr="000D1DE6">
        <w:rPr>
          <w:rStyle w:val="FootnoteReference"/>
          <w:rFonts w:asciiTheme="minorHAnsi" w:hAnsiTheme="minorHAnsi"/>
          <w:lang w:val="es-MX"/>
        </w:rPr>
        <w:footnoteRef/>
      </w:r>
      <w:r w:rsidRPr="000D1DE6">
        <w:rPr>
          <w:rFonts w:asciiTheme="minorHAnsi" w:hAnsiTheme="minorHAnsi"/>
          <w:lang w:val="es-MX"/>
        </w:rPr>
        <w:t xml:space="preserve"> Aristegui Noticias, </w:t>
      </w:r>
      <w:hyperlink r:id="rId83" w:history="1">
        <w:r w:rsidRPr="000D1DE6">
          <w:rPr>
            <w:rStyle w:val="Hyperlink"/>
            <w:rFonts w:asciiTheme="minorHAnsi" w:hAnsiTheme="minorHAnsi"/>
            <w:bCs/>
            <w:lang w:val="es-MX"/>
          </w:rPr>
          <w:t>Dos peritos del caso Ayotzinapa son vinculados a proceso</w:t>
        </w:r>
      </w:hyperlink>
      <w:r w:rsidRPr="000D1DE6">
        <w:rPr>
          <w:rFonts w:asciiTheme="minorHAnsi" w:hAnsiTheme="minorHAnsi"/>
          <w:bCs/>
          <w:lang w:val="es-MX"/>
        </w:rPr>
        <w:t>, 13 de octubre de 2021.</w:t>
      </w:r>
    </w:p>
  </w:footnote>
  <w:footnote w:id="121">
    <w:p w14:paraId="2E53AB0C" w14:textId="3A6DF564" w:rsidR="000235D8" w:rsidRPr="000D1DE6" w:rsidRDefault="000235D8" w:rsidP="00F46807">
      <w:pPr>
        <w:pStyle w:val="FootnoteText"/>
        <w:spacing w:after="120"/>
        <w:ind w:firstLine="720"/>
        <w:rPr>
          <w:rFonts w:asciiTheme="minorHAnsi" w:hAnsiTheme="minorHAnsi"/>
          <w:lang w:val="es-MX"/>
        </w:rPr>
      </w:pPr>
      <w:r w:rsidRPr="000D1DE6">
        <w:rPr>
          <w:rStyle w:val="FootnoteReference"/>
          <w:rFonts w:asciiTheme="minorHAnsi" w:hAnsiTheme="minorHAnsi"/>
          <w:lang w:val="es-MX"/>
        </w:rPr>
        <w:footnoteRef/>
      </w:r>
      <w:r w:rsidRPr="000D1DE6">
        <w:rPr>
          <w:rFonts w:asciiTheme="minorHAnsi" w:hAnsiTheme="minorHAnsi"/>
          <w:lang w:val="es-MX"/>
        </w:rPr>
        <w:t xml:space="preserve"> Causa Penal 1/2020 del Noveno Juzgado de Distrito, con residencia en Iguala; y Causa Penal 8/2020. </w:t>
      </w:r>
    </w:p>
  </w:footnote>
  <w:footnote w:id="122">
    <w:p w14:paraId="79F1BAA0" w14:textId="69305B36" w:rsidR="000235D8" w:rsidRPr="000D1DE6" w:rsidRDefault="000235D8" w:rsidP="00F46807">
      <w:pPr>
        <w:pStyle w:val="FootnoteText"/>
        <w:spacing w:after="120"/>
        <w:ind w:firstLine="720"/>
        <w:rPr>
          <w:rFonts w:asciiTheme="minorHAnsi" w:hAnsiTheme="minorHAnsi"/>
          <w:lang w:val="es-MX"/>
        </w:rPr>
      </w:pPr>
      <w:r w:rsidRPr="000D1DE6">
        <w:rPr>
          <w:rStyle w:val="FootnoteReference"/>
          <w:rFonts w:asciiTheme="minorHAnsi" w:hAnsiTheme="minorHAnsi"/>
          <w:lang w:val="es-MX"/>
        </w:rPr>
        <w:footnoteRef/>
      </w:r>
      <w:r w:rsidRPr="000D1DE6">
        <w:rPr>
          <w:rFonts w:asciiTheme="minorHAnsi" w:hAnsiTheme="minorHAnsi"/>
          <w:lang w:val="es-MX"/>
        </w:rPr>
        <w:t xml:space="preserve"> Noveno Informe del Estado mexicano sobre el cumplimiento y seguimiento de las recomendaciones contenidas en el informe “Situación de los Derechos Humanos en México”, págs. 28 – 31.</w:t>
      </w:r>
    </w:p>
  </w:footnote>
  <w:footnote w:id="123">
    <w:p w14:paraId="47DA3B62" w14:textId="064A0BDC" w:rsidR="000235D8" w:rsidRPr="000D1DE6" w:rsidRDefault="000235D8" w:rsidP="00F46807">
      <w:pPr>
        <w:pStyle w:val="FootnoteText"/>
        <w:spacing w:after="120"/>
        <w:ind w:firstLine="720"/>
        <w:rPr>
          <w:rFonts w:asciiTheme="minorHAnsi" w:hAnsiTheme="minorHAnsi"/>
          <w:lang w:val="es-MX"/>
        </w:rPr>
      </w:pPr>
      <w:r w:rsidRPr="000D1DE6">
        <w:rPr>
          <w:rStyle w:val="FootnoteReference"/>
          <w:rFonts w:asciiTheme="minorHAnsi" w:hAnsiTheme="minorHAnsi"/>
          <w:lang w:val="es-MX"/>
        </w:rPr>
        <w:footnoteRef/>
      </w:r>
      <w:r w:rsidRPr="000D1DE6">
        <w:rPr>
          <w:rFonts w:asciiTheme="minorHAnsi" w:hAnsiTheme="minorHAnsi"/>
          <w:lang w:val="es-MX"/>
        </w:rPr>
        <w:t xml:space="preserve"> Proceso, </w:t>
      </w:r>
      <w:hyperlink r:id="rId84" w:history="1">
        <w:r w:rsidRPr="000D1DE6">
          <w:rPr>
            <w:rStyle w:val="Hyperlink"/>
            <w:rFonts w:asciiTheme="minorHAnsi" w:hAnsiTheme="minorHAnsi"/>
            <w:lang w:val="es-MX"/>
          </w:rPr>
          <w:t>Tras críticas por opacidad, Encinas publica “información relevante” sobre caso Ayotzinapa</w:t>
        </w:r>
      </w:hyperlink>
      <w:r w:rsidRPr="000D1DE6">
        <w:rPr>
          <w:rFonts w:asciiTheme="minorHAnsi" w:hAnsiTheme="minorHAnsi"/>
          <w:lang w:val="es-MX"/>
        </w:rPr>
        <w:t>, 1 de octubre de 2021.</w:t>
      </w:r>
    </w:p>
  </w:footnote>
  <w:footnote w:id="124">
    <w:p w14:paraId="5F0E7921" w14:textId="77777777" w:rsidR="000235D8" w:rsidRPr="000D1DE6" w:rsidRDefault="000235D8" w:rsidP="00F46807">
      <w:pPr>
        <w:pStyle w:val="FootnoteText"/>
        <w:spacing w:after="120"/>
        <w:ind w:firstLine="720"/>
        <w:rPr>
          <w:rFonts w:asciiTheme="minorHAnsi" w:hAnsiTheme="minorHAnsi"/>
          <w:lang w:val="es-MX"/>
        </w:rPr>
      </w:pPr>
      <w:r w:rsidRPr="000D1DE6">
        <w:rPr>
          <w:rStyle w:val="FootnoteReference"/>
          <w:rFonts w:asciiTheme="minorHAnsi" w:hAnsiTheme="minorHAnsi"/>
          <w:lang w:val="es-MX"/>
        </w:rPr>
        <w:footnoteRef/>
      </w:r>
      <w:r w:rsidRPr="000D1DE6">
        <w:rPr>
          <w:rFonts w:asciiTheme="minorHAnsi" w:hAnsiTheme="minorHAnsi"/>
          <w:lang w:val="es-MX"/>
        </w:rPr>
        <w:t xml:space="preserve"> Noveno Informe del Estado mexicano sobre el cumplimiento y seguimiento de las recomendaciones contenidas en el informe “Situación de los Derechos Humanos en México”, págs. 31 – 32. </w:t>
      </w:r>
    </w:p>
  </w:footnote>
  <w:footnote w:id="125">
    <w:p w14:paraId="596FE225" w14:textId="5B427DE1" w:rsidR="000235D8" w:rsidRPr="000D1DE6" w:rsidRDefault="000235D8" w:rsidP="00F46807">
      <w:pPr>
        <w:pStyle w:val="FootnoteText"/>
        <w:spacing w:after="120"/>
        <w:ind w:firstLine="720"/>
        <w:rPr>
          <w:rFonts w:asciiTheme="minorHAnsi" w:hAnsiTheme="minorHAnsi"/>
          <w:lang w:val="es-MX"/>
        </w:rPr>
      </w:pPr>
      <w:r w:rsidRPr="000D1DE6">
        <w:rPr>
          <w:rStyle w:val="FootnoteReference"/>
          <w:rFonts w:asciiTheme="minorHAnsi" w:hAnsiTheme="minorHAnsi"/>
          <w:lang w:val="es-MX"/>
        </w:rPr>
        <w:footnoteRef/>
      </w:r>
      <w:r w:rsidRPr="000D1DE6">
        <w:rPr>
          <w:rFonts w:asciiTheme="minorHAnsi" w:hAnsiTheme="minorHAnsi"/>
          <w:lang w:val="es-MX"/>
        </w:rPr>
        <w:t xml:space="preserve"> Animal Político, </w:t>
      </w:r>
      <w:hyperlink r:id="rId85" w:history="1">
        <w:r w:rsidRPr="000D1DE6">
          <w:rPr>
            <w:rStyle w:val="Hyperlink"/>
            <w:rFonts w:asciiTheme="minorHAnsi" w:hAnsiTheme="minorHAnsi"/>
            <w:lang w:val="es-MX"/>
          </w:rPr>
          <w:t>México envía a Innsbruck 16 restos más relacionados al caso Ayotzinapa</w:t>
        </w:r>
      </w:hyperlink>
      <w:r w:rsidRPr="000D1DE6">
        <w:rPr>
          <w:rFonts w:asciiTheme="minorHAnsi" w:hAnsiTheme="minorHAnsi"/>
          <w:lang w:val="es-MX"/>
        </w:rPr>
        <w:t xml:space="preserve">, 18 de febrero de 2021; Reporte Índigo, </w:t>
      </w:r>
      <w:hyperlink r:id="rId86" w:anchor=":~:text=Tras%20una%20reuni%C3%B3n%20de%20dos,caso%20Iguala%20para%20su%20identificaci%C3%B3n." w:history="1">
        <w:r w:rsidRPr="000D1DE6">
          <w:rPr>
            <w:rStyle w:val="Hyperlink"/>
            <w:rFonts w:asciiTheme="minorHAnsi" w:hAnsiTheme="minorHAnsi"/>
            <w:lang w:val="es-MX"/>
          </w:rPr>
          <w:t>Caso Ayotzinapa: envían 16 restos humanos a Universidad de Innsbruck para análisis</w:t>
        </w:r>
      </w:hyperlink>
      <w:r w:rsidRPr="000D1DE6">
        <w:rPr>
          <w:rFonts w:asciiTheme="minorHAnsi" w:hAnsiTheme="minorHAnsi"/>
          <w:lang w:val="es-MX"/>
        </w:rPr>
        <w:t>, 18 de febrero de 2021.</w:t>
      </w:r>
    </w:p>
  </w:footnote>
  <w:footnote w:id="126">
    <w:p w14:paraId="4D24FFE7" w14:textId="214C96DE" w:rsidR="000235D8" w:rsidRPr="000D1DE6" w:rsidRDefault="000235D8" w:rsidP="00F46807">
      <w:pPr>
        <w:pStyle w:val="FootnoteText"/>
        <w:spacing w:after="120"/>
        <w:ind w:firstLine="720"/>
        <w:rPr>
          <w:rFonts w:asciiTheme="minorHAnsi" w:hAnsiTheme="minorHAnsi"/>
          <w:lang w:val="es-MX"/>
        </w:rPr>
      </w:pPr>
      <w:r w:rsidRPr="000D1DE6">
        <w:rPr>
          <w:rStyle w:val="FootnoteReference"/>
          <w:rFonts w:asciiTheme="minorHAnsi" w:hAnsiTheme="minorHAnsi"/>
          <w:lang w:val="es-MX"/>
        </w:rPr>
        <w:footnoteRef/>
      </w:r>
      <w:r w:rsidRPr="000D1DE6">
        <w:rPr>
          <w:rFonts w:asciiTheme="minorHAnsi" w:hAnsiTheme="minorHAnsi"/>
          <w:lang w:val="es-MX"/>
        </w:rPr>
        <w:t xml:space="preserve"> Noveno Informe del Estado mexicano sobre el cumplimiento y seguimiento de las recomendaciones contenidas en el informe “Situación de los Derechos Humanos en México”, pág. 32; Secretaría de Gobernación, </w:t>
      </w:r>
      <w:hyperlink r:id="rId87" w:history="1">
        <w:r w:rsidRPr="000D1DE6">
          <w:rPr>
            <w:rStyle w:val="Hyperlink"/>
            <w:rFonts w:asciiTheme="minorHAnsi" w:hAnsiTheme="minorHAnsi"/>
            <w:lang w:val="es-MX"/>
          </w:rPr>
          <w:t>Comisión Presidencial para el caso Ayotzinapa confirma hallazgos de restos de normalistas obtenidos en Barranca de la Carnicería</w:t>
        </w:r>
      </w:hyperlink>
      <w:r w:rsidRPr="000D1DE6">
        <w:rPr>
          <w:rFonts w:asciiTheme="minorHAnsi" w:hAnsiTheme="minorHAnsi"/>
          <w:lang w:val="es-MX"/>
        </w:rPr>
        <w:t xml:space="preserve">, 15 de junio de 2021; CIDH, </w:t>
      </w:r>
      <w:hyperlink r:id="rId88" w:history="1">
        <w:r w:rsidRPr="000D1DE6">
          <w:rPr>
            <w:rStyle w:val="Hyperlink"/>
            <w:rFonts w:asciiTheme="minorHAnsi" w:hAnsiTheme="minorHAnsi"/>
            <w:lang w:val="es-MX"/>
          </w:rPr>
          <w:t>https://twitter.com/CIDH/status/1404972382930997248?s=20</w:t>
        </w:r>
      </w:hyperlink>
      <w:r w:rsidRPr="000D1DE6">
        <w:rPr>
          <w:rFonts w:asciiTheme="minorHAnsi" w:hAnsiTheme="minorHAnsi"/>
          <w:lang w:val="es-MX"/>
        </w:rPr>
        <w:t>, 15 de junio de 2021.</w:t>
      </w:r>
    </w:p>
  </w:footnote>
  <w:footnote w:id="127">
    <w:p w14:paraId="1355AE86" w14:textId="1901DDE1" w:rsidR="000235D8" w:rsidRPr="000D1DE6" w:rsidRDefault="000235D8" w:rsidP="00F46807">
      <w:pPr>
        <w:pStyle w:val="FootnoteText"/>
        <w:spacing w:after="120"/>
        <w:ind w:firstLine="720"/>
        <w:rPr>
          <w:rFonts w:asciiTheme="minorHAnsi" w:hAnsiTheme="minorHAnsi"/>
          <w:lang w:val="es-MX"/>
        </w:rPr>
      </w:pPr>
      <w:r w:rsidRPr="000D1DE6">
        <w:rPr>
          <w:rStyle w:val="FootnoteReference"/>
          <w:rFonts w:asciiTheme="minorHAnsi" w:hAnsiTheme="minorHAnsi"/>
          <w:lang w:val="es-MX"/>
        </w:rPr>
        <w:footnoteRef/>
      </w:r>
      <w:r w:rsidRPr="000D1DE6">
        <w:rPr>
          <w:rFonts w:asciiTheme="minorHAnsi" w:hAnsiTheme="minorHAnsi"/>
          <w:lang w:val="es-MX"/>
        </w:rPr>
        <w:t xml:space="preserve"> </w:t>
      </w:r>
      <w:r w:rsidRPr="000D1DE6">
        <w:rPr>
          <w:rStyle w:val="normaltextrun"/>
          <w:rFonts w:asciiTheme="minorHAnsi" w:hAnsiTheme="minorHAnsi"/>
          <w:color w:val="000000"/>
          <w:shd w:val="clear" w:color="auto" w:fill="FFFFFF"/>
          <w:lang w:val="es-MX"/>
        </w:rPr>
        <w:t>Centro de Derechos Humanos de la Montaña Tlachinollan, Centro Regional de Defensa de los Derechos Humanos José María Morelos y Pavón, A.C., Red Guerrerense de Organismos Civiles de Derechos Humanos, Centro de Derechos Humanos Miguel Agustín Pro Juárez, A.C. (Centro Prodh), Respuesta de la </w:t>
      </w:r>
      <w:r w:rsidRPr="000D1DE6">
        <w:rPr>
          <w:rStyle w:val="findhit"/>
          <w:rFonts w:asciiTheme="minorHAnsi" w:hAnsiTheme="minorHAnsi"/>
          <w:color w:val="000000"/>
          <w:shd w:val="clear" w:color="auto" w:fill="FFFFFF"/>
          <w:lang w:val="es-MX"/>
        </w:rPr>
        <w:t>representa</w:t>
      </w:r>
      <w:r w:rsidRPr="000D1DE6">
        <w:rPr>
          <w:rStyle w:val="normaltextrun"/>
          <w:rFonts w:asciiTheme="minorHAnsi" w:hAnsiTheme="minorHAnsi"/>
          <w:color w:val="000000"/>
          <w:shd w:val="clear" w:color="auto" w:fill="FFFFFF"/>
          <w:lang w:val="es-MX"/>
        </w:rPr>
        <w:t xml:space="preserve">ción legal al sexto cuestionario formulado por el Mecanismo Especial de Seguimiento al asunto Ayotzinapa 12 de agosto de 2021, pág. 38. </w:t>
      </w:r>
    </w:p>
  </w:footnote>
  <w:footnote w:id="128">
    <w:p w14:paraId="7FF4BAF3" w14:textId="72415789" w:rsidR="000235D8" w:rsidRPr="000D1DE6" w:rsidRDefault="000235D8" w:rsidP="00F46807">
      <w:pPr>
        <w:pStyle w:val="FootnoteText"/>
        <w:spacing w:after="120"/>
        <w:ind w:firstLine="720"/>
        <w:rPr>
          <w:rFonts w:asciiTheme="minorHAnsi" w:hAnsiTheme="minorHAnsi"/>
          <w:lang w:val="es-MX"/>
        </w:rPr>
      </w:pPr>
      <w:r w:rsidRPr="000D1DE6">
        <w:rPr>
          <w:rStyle w:val="FootnoteReference"/>
          <w:rFonts w:asciiTheme="minorHAnsi" w:hAnsiTheme="minorHAnsi"/>
          <w:lang w:val="es-MX"/>
        </w:rPr>
        <w:footnoteRef/>
      </w:r>
      <w:r w:rsidRPr="000D1DE6">
        <w:rPr>
          <w:rFonts w:asciiTheme="minorHAnsi" w:hAnsiTheme="minorHAnsi"/>
          <w:lang w:val="es-MX"/>
        </w:rPr>
        <w:t xml:space="preserve"> Reunión de Trabajo respecto de la medida cautelar 409/14, 179 periodo de sesiones, 26 de marzo de 2021.</w:t>
      </w:r>
    </w:p>
  </w:footnote>
  <w:footnote w:id="129">
    <w:p w14:paraId="598144CF" w14:textId="577B56C3" w:rsidR="000235D8" w:rsidRPr="000D1DE6" w:rsidRDefault="000235D8" w:rsidP="00F46807">
      <w:pPr>
        <w:pStyle w:val="FootnoteText"/>
        <w:spacing w:after="120"/>
        <w:ind w:firstLine="720"/>
        <w:rPr>
          <w:rFonts w:asciiTheme="minorHAnsi" w:hAnsiTheme="minorHAnsi"/>
          <w:lang w:val="es-MX"/>
        </w:rPr>
      </w:pPr>
      <w:r w:rsidRPr="000D1DE6">
        <w:rPr>
          <w:rStyle w:val="FootnoteReference"/>
          <w:rFonts w:asciiTheme="minorHAnsi" w:hAnsiTheme="minorHAnsi"/>
          <w:lang w:val="es-MX"/>
        </w:rPr>
        <w:footnoteRef/>
      </w:r>
      <w:r w:rsidRPr="000D1DE6">
        <w:rPr>
          <w:rFonts w:asciiTheme="minorHAnsi" w:hAnsiTheme="minorHAnsi"/>
          <w:lang w:val="es-MX"/>
        </w:rPr>
        <w:t xml:space="preserve"> </w:t>
      </w:r>
      <w:r w:rsidRPr="000D1DE6">
        <w:rPr>
          <w:rStyle w:val="normaltextrun"/>
          <w:rFonts w:asciiTheme="minorHAnsi" w:hAnsiTheme="minorHAnsi"/>
          <w:color w:val="000000"/>
          <w:shd w:val="clear" w:color="auto" w:fill="FFFFFF"/>
          <w:lang w:val="es-MX"/>
        </w:rPr>
        <w:t>Centro de Derechos Humanos de la Montaña Tlachinollan, Centro Regional de Defensa de los Derechos Humanos José María Morelos y Pavón, A.C., Red Guerrerense de Organismos Civiles de Derechos Humanos, Centro de Derechos Humanos Miguel Agustín Pro Juárez, A.C. (Centro Prodh), Respuesta de la </w:t>
      </w:r>
      <w:r w:rsidRPr="000D1DE6">
        <w:rPr>
          <w:rStyle w:val="findhit"/>
          <w:rFonts w:asciiTheme="minorHAnsi" w:hAnsiTheme="minorHAnsi"/>
          <w:color w:val="000000"/>
          <w:shd w:val="clear" w:color="auto" w:fill="FFFFFF"/>
          <w:lang w:val="es-MX"/>
        </w:rPr>
        <w:t>representa</w:t>
      </w:r>
      <w:r w:rsidRPr="000D1DE6">
        <w:rPr>
          <w:rStyle w:val="normaltextrun"/>
          <w:rFonts w:asciiTheme="minorHAnsi" w:hAnsiTheme="minorHAnsi"/>
          <w:color w:val="000000"/>
          <w:shd w:val="clear" w:color="auto" w:fill="FFFFFF"/>
          <w:lang w:val="es-MX"/>
        </w:rPr>
        <w:t xml:space="preserve">ción legal al sexto cuestionario formulado por el Mecanismo Especial de Seguimiento al asunto Ayotzinapa 12 de agosto de 2021, </w:t>
      </w:r>
      <w:r w:rsidR="00064A28">
        <w:rPr>
          <w:rStyle w:val="normaltextrun"/>
          <w:rFonts w:asciiTheme="minorHAnsi" w:hAnsiTheme="minorHAnsi"/>
          <w:color w:val="000000"/>
          <w:shd w:val="clear" w:color="auto" w:fill="FFFFFF"/>
          <w:lang w:val="es-MX"/>
        </w:rPr>
        <w:br/>
      </w:r>
      <w:r w:rsidRPr="000D1DE6">
        <w:rPr>
          <w:rStyle w:val="normaltextrun"/>
          <w:rFonts w:asciiTheme="minorHAnsi" w:hAnsiTheme="minorHAnsi"/>
          <w:color w:val="000000"/>
          <w:shd w:val="clear" w:color="auto" w:fill="FFFFFF"/>
          <w:lang w:val="es-MX"/>
        </w:rPr>
        <w:t xml:space="preserve">págs. 38 – 39. </w:t>
      </w:r>
    </w:p>
  </w:footnote>
  <w:footnote w:id="130">
    <w:p w14:paraId="2C18BF08" w14:textId="19BC3977" w:rsidR="000235D8" w:rsidRPr="000D1DE6" w:rsidRDefault="000235D8" w:rsidP="00F46807">
      <w:pPr>
        <w:pStyle w:val="FootnoteText"/>
        <w:spacing w:after="120"/>
        <w:ind w:firstLine="720"/>
        <w:rPr>
          <w:rFonts w:asciiTheme="minorHAnsi" w:hAnsiTheme="minorHAnsi"/>
          <w:lang w:val="es-MX"/>
        </w:rPr>
      </w:pPr>
      <w:r w:rsidRPr="000D1DE6">
        <w:rPr>
          <w:rStyle w:val="FootnoteReference"/>
          <w:rFonts w:asciiTheme="minorHAnsi" w:hAnsiTheme="minorHAnsi"/>
          <w:lang w:val="es-MX"/>
        </w:rPr>
        <w:footnoteRef/>
      </w:r>
      <w:r w:rsidRPr="000D1DE6">
        <w:rPr>
          <w:rFonts w:asciiTheme="minorHAnsi" w:hAnsiTheme="minorHAnsi"/>
          <w:lang w:val="es-MX"/>
        </w:rPr>
        <w:t xml:space="preserve"> </w:t>
      </w:r>
      <w:r w:rsidRPr="000D1DE6">
        <w:rPr>
          <w:rStyle w:val="normaltextrun"/>
          <w:rFonts w:asciiTheme="minorHAnsi" w:hAnsiTheme="minorHAnsi"/>
          <w:color w:val="000000"/>
          <w:shd w:val="clear" w:color="auto" w:fill="FFFFFF"/>
          <w:lang w:val="es-MX"/>
        </w:rPr>
        <w:t>Centro de Derechos Humanos de la Montaña Tlachinollan, Centro Regional de Defensa de los Derechos Humanos José María Morelos y Pavón, A.C., Red Guerrerense de Organismos Civiles de Derechos Humanos, Centro de Derechos Humanos Miguel Agustín Pro Juárez, A.C. (Centro Prodh), Respuesta de la </w:t>
      </w:r>
      <w:r w:rsidRPr="000D1DE6">
        <w:rPr>
          <w:rStyle w:val="findhit"/>
          <w:rFonts w:asciiTheme="minorHAnsi" w:hAnsiTheme="minorHAnsi"/>
          <w:color w:val="000000"/>
          <w:shd w:val="clear" w:color="auto" w:fill="FFFFFF"/>
          <w:lang w:val="es-MX"/>
        </w:rPr>
        <w:t>representa</w:t>
      </w:r>
      <w:r w:rsidRPr="000D1DE6">
        <w:rPr>
          <w:rStyle w:val="normaltextrun"/>
          <w:rFonts w:asciiTheme="minorHAnsi" w:hAnsiTheme="minorHAnsi"/>
          <w:color w:val="000000"/>
          <w:shd w:val="clear" w:color="auto" w:fill="FFFFFF"/>
          <w:lang w:val="es-MX"/>
        </w:rPr>
        <w:t>ción legal al sexto cuestionario formulado por el Mecanismo Especial de Seguimiento al asunto Ayotzinapa 12 de agosto de 2021, pág. 38.</w:t>
      </w:r>
    </w:p>
  </w:footnote>
  <w:footnote w:id="131">
    <w:p w14:paraId="2C7B8E78" w14:textId="56BAF810" w:rsidR="000235D8" w:rsidRPr="000D1DE6" w:rsidRDefault="000235D8" w:rsidP="00F46807">
      <w:pPr>
        <w:pStyle w:val="FootnoteText"/>
        <w:spacing w:after="120"/>
        <w:ind w:firstLine="720"/>
        <w:rPr>
          <w:rFonts w:asciiTheme="minorHAnsi" w:hAnsiTheme="minorHAnsi"/>
          <w:lang w:val="es-MX"/>
        </w:rPr>
      </w:pPr>
      <w:r w:rsidRPr="000D1DE6">
        <w:rPr>
          <w:rStyle w:val="FootnoteReference"/>
          <w:rFonts w:asciiTheme="minorHAnsi" w:hAnsiTheme="minorHAnsi"/>
          <w:lang w:val="es-MX"/>
        </w:rPr>
        <w:footnoteRef/>
      </w:r>
      <w:r w:rsidRPr="000D1DE6">
        <w:rPr>
          <w:rFonts w:asciiTheme="minorHAnsi" w:hAnsiTheme="minorHAnsi"/>
          <w:lang w:val="es-MX"/>
        </w:rPr>
        <w:t xml:space="preserve"> CIDH, Observaciones al Proyecto del Protocolo Adicional para la Búsqueda de Niñas, Niños y Adolescentes Desaparecidos, Comunicación 127-21/CIDH/SE/MPCT-MISC, 22 de marzo de 2021. </w:t>
      </w:r>
    </w:p>
  </w:footnote>
  <w:footnote w:id="132">
    <w:p w14:paraId="11D0E191" w14:textId="0DB35CA6" w:rsidR="000235D8" w:rsidRPr="000D1DE6" w:rsidRDefault="000235D8" w:rsidP="00F46807">
      <w:pPr>
        <w:pStyle w:val="FootnoteText"/>
        <w:spacing w:after="120"/>
        <w:ind w:firstLine="720"/>
        <w:rPr>
          <w:rFonts w:asciiTheme="minorHAnsi" w:hAnsiTheme="minorHAnsi"/>
          <w:lang w:val="es-MX"/>
        </w:rPr>
      </w:pPr>
      <w:r w:rsidRPr="000D1DE6">
        <w:rPr>
          <w:rStyle w:val="FootnoteReference"/>
          <w:rFonts w:asciiTheme="minorHAnsi" w:hAnsiTheme="minorHAnsi"/>
          <w:lang w:val="es-MX"/>
        </w:rPr>
        <w:footnoteRef/>
      </w:r>
      <w:r w:rsidRPr="000D1DE6">
        <w:rPr>
          <w:rFonts w:asciiTheme="minorHAnsi" w:hAnsiTheme="minorHAnsi"/>
          <w:lang w:val="es-MX"/>
        </w:rPr>
        <w:t xml:space="preserve"> CIDH, Observaciones a los lineamientos del Mecanismo de Apoyo Exterior de Búsqueda e Investigación y la Mesa de Búsqueda de Personas Migrantes Desaparecidas, Comunicación 478-21/CIDH/SE/MPCT-MISC, 15 de septiembre de 2021.</w:t>
      </w:r>
    </w:p>
  </w:footnote>
  <w:footnote w:id="133">
    <w:p w14:paraId="14606C48" w14:textId="77777777" w:rsidR="000235D8" w:rsidRPr="000D1DE6" w:rsidRDefault="000235D8" w:rsidP="00F46807">
      <w:pPr>
        <w:pBdr>
          <w:top w:val="nil"/>
          <w:left w:val="nil"/>
          <w:bottom w:val="nil"/>
          <w:right w:val="nil"/>
          <w:between w:val="nil"/>
        </w:pBdr>
        <w:spacing w:after="120" w:line="240" w:lineRule="auto"/>
        <w:ind w:firstLine="720"/>
        <w:jc w:val="both"/>
        <w:rPr>
          <w:rFonts w:asciiTheme="minorHAnsi" w:eastAsia="Cambria" w:hAnsiTheme="minorHAnsi" w:cs="Cambria"/>
          <w:color w:val="000000"/>
          <w:sz w:val="18"/>
          <w:szCs w:val="18"/>
          <w:lang w:val="es-MX"/>
        </w:rPr>
      </w:pPr>
      <w:r w:rsidRPr="000D1DE6">
        <w:rPr>
          <w:rFonts w:asciiTheme="minorHAnsi" w:hAnsiTheme="minorHAnsi"/>
          <w:sz w:val="18"/>
          <w:szCs w:val="18"/>
          <w:vertAlign w:val="superscript"/>
          <w:lang w:val="es-MX"/>
        </w:rPr>
        <w:footnoteRef/>
      </w:r>
      <w:r w:rsidRPr="000D1DE6">
        <w:rPr>
          <w:rFonts w:asciiTheme="minorHAnsi" w:eastAsia="Cambria" w:hAnsiTheme="minorHAnsi" w:cs="Cambria"/>
          <w:color w:val="000000"/>
          <w:sz w:val="18"/>
          <w:szCs w:val="18"/>
          <w:lang w:val="pt-BR"/>
        </w:rPr>
        <w:t xml:space="preserve"> CIDH, </w:t>
      </w:r>
      <w:hyperlink r:id="rId89">
        <w:r w:rsidRPr="000D1DE6">
          <w:rPr>
            <w:rFonts w:asciiTheme="minorHAnsi" w:eastAsia="Cambria" w:hAnsiTheme="minorHAnsi" w:cs="Cambria"/>
            <w:color w:val="0000FF"/>
            <w:sz w:val="18"/>
            <w:szCs w:val="18"/>
            <w:u w:val="single"/>
            <w:lang w:val="pt-BR"/>
          </w:rPr>
          <w:t>Informe Anual, México</w:t>
        </w:r>
      </w:hyperlink>
      <w:r w:rsidRPr="000D1DE6">
        <w:rPr>
          <w:rFonts w:asciiTheme="minorHAnsi" w:eastAsia="Cambria" w:hAnsiTheme="minorHAnsi" w:cs="Cambria"/>
          <w:color w:val="000000"/>
          <w:sz w:val="18"/>
          <w:szCs w:val="18"/>
          <w:lang w:val="pt-BR"/>
        </w:rPr>
        <w:t xml:space="preserve">, 2019, párr. </w:t>
      </w:r>
      <w:r w:rsidRPr="000D1DE6">
        <w:rPr>
          <w:rFonts w:asciiTheme="minorHAnsi" w:eastAsia="Cambria" w:hAnsiTheme="minorHAnsi" w:cs="Cambria"/>
          <w:color w:val="000000"/>
          <w:sz w:val="18"/>
          <w:szCs w:val="18"/>
          <w:lang w:val="es-MX"/>
        </w:rPr>
        <w:t xml:space="preserve">95; CIDH, </w:t>
      </w:r>
      <w:hyperlink r:id="rId90">
        <w:r w:rsidRPr="000D1DE6">
          <w:rPr>
            <w:rFonts w:asciiTheme="minorHAnsi" w:eastAsia="Cambria" w:hAnsiTheme="minorHAnsi" w:cs="Cambria"/>
            <w:color w:val="0000FF"/>
            <w:sz w:val="18"/>
            <w:szCs w:val="18"/>
            <w:u w:val="single"/>
            <w:lang w:val="es-MX"/>
          </w:rPr>
          <w:t>Informe Anual, México,</w:t>
        </w:r>
      </w:hyperlink>
      <w:r w:rsidRPr="000D1DE6">
        <w:rPr>
          <w:rFonts w:asciiTheme="minorHAnsi" w:eastAsia="Cambria" w:hAnsiTheme="minorHAnsi" w:cs="Cambria"/>
          <w:color w:val="000000"/>
          <w:sz w:val="18"/>
          <w:szCs w:val="18"/>
          <w:lang w:val="es-MX"/>
        </w:rPr>
        <w:t xml:space="preserve"> 2018, párr. 71.</w:t>
      </w:r>
    </w:p>
  </w:footnote>
  <w:footnote w:id="134">
    <w:p w14:paraId="6BBC78A0" w14:textId="77777777" w:rsidR="000235D8" w:rsidRPr="000D1DE6" w:rsidRDefault="000235D8" w:rsidP="00F46807">
      <w:pPr>
        <w:pBdr>
          <w:top w:val="nil"/>
          <w:left w:val="nil"/>
          <w:bottom w:val="nil"/>
          <w:right w:val="nil"/>
          <w:between w:val="nil"/>
        </w:pBdr>
        <w:spacing w:after="120" w:line="240" w:lineRule="auto"/>
        <w:ind w:firstLine="720"/>
        <w:jc w:val="both"/>
        <w:rPr>
          <w:rFonts w:asciiTheme="minorHAnsi" w:eastAsia="Cambria" w:hAnsiTheme="minorHAnsi" w:cs="Cambria"/>
          <w:color w:val="000000"/>
          <w:sz w:val="18"/>
          <w:szCs w:val="18"/>
          <w:lang w:val="es-MX"/>
        </w:rPr>
      </w:pPr>
      <w:r w:rsidRPr="000D1DE6">
        <w:rPr>
          <w:rFonts w:asciiTheme="minorHAnsi" w:hAnsiTheme="minorHAnsi"/>
          <w:sz w:val="18"/>
          <w:szCs w:val="18"/>
          <w:vertAlign w:val="superscript"/>
          <w:lang w:val="es-MX"/>
        </w:rPr>
        <w:footnoteRef/>
      </w:r>
      <w:r w:rsidRPr="000D1DE6">
        <w:rPr>
          <w:rFonts w:asciiTheme="minorHAnsi" w:eastAsia="Cambria" w:hAnsiTheme="minorHAnsi" w:cs="Cambria"/>
          <w:color w:val="000000"/>
          <w:sz w:val="18"/>
          <w:szCs w:val="18"/>
          <w:lang w:val="es-MX"/>
        </w:rPr>
        <w:t xml:space="preserve"> Octavo Informe del Estado mexicano sobre el cumplimiento y seguimiento de las recomendaciones contenidas en el informe “Situación de los Derechos Humanos en México”, pág. 16.</w:t>
      </w:r>
    </w:p>
  </w:footnote>
  <w:footnote w:id="135">
    <w:p w14:paraId="3DCB7F72" w14:textId="5065BD47" w:rsidR="001274D1" w:rsidRPr="000D1DE6" w:rsidRDefault="001274D1" w:rsidP="00F46807">
      <w:pPr>
        <w:pStyle w:val="FootnoteText"/>
        <w:spacing w:after="120"/>
        <w:ind w:firstLine="720"/>
        <w:rPr>
          <w:rFonts w:asciiTheme="minorHAnsi" w:hAnsiTheme="minorHAnsi"/>
        </w:rPr>
      </w:pPr>
      <w:r w:rsidRPr="000D1DE6">
        <w:rPr>
          <w:rStyle w:val="FootnoteReference"/>
          <w:rFonts w:asciiTheme="minorHAnsi" w:hAnsiTheme="minorHAnsi"/>
        </w:rPr>
        <w:footnoteRef/>
      </w:r>
      <w:r w:rsidRPr="000D1DE6">
        <w:rPr>
          <w:rFonts w:asciiTheme="minorHAnsi" w:hAnsiTheme="minorHAnsi"/>
        </w:rPr>
        <w:t xml:space="preserve"> CIDH,</w:t>
      </w:r>
      <w:hyperlink r:id="rId91" w:history="1">
        <w:r w:rsidRPr="000D1DE6">
          <w:rPr>
            <w:rStyle w:val="Hyperlink"/>
            <w:rFonts w:asciiTheme="minorHAnsi" w:hAnsiTheme="minorHAnsi"/>
          </w:rPr>
          <w:t xml:space="preserve"> Informe de la CNDH en el SIMORE</w:t>
        </w:r>
      </w:hyperlink>
      <w:r w:rsidRPr="000D1DE6">
        <w:rPr>
          <w:rFonts w:asciiTheme="minorHAnsi" w:hAnsiTheme="minorHAnsi"/>
        </w:rPr>
        <w:t xml:space="preserve">, 15 de diciembre de 2021. </w:t>
      </w:r>
    </w:p>
  </w:footnote>
  <w:footnote w:id="136">
    <w:p w14:paraId="3B9265BA" w14:textId="77777777" w:rsidR="000235D8" w:rsidRPr="000D1DE6" w:rsidRDefault="000235D8" w:rsidP="00F46807">
      <w:pPr>
        <w:spacing w:after="120" w:line="240" w:lineRule="auto"/>
        <w:ind w:firstLine="720"/>
        <w:jc w:val="both"/>
        <w:textAlignment w:val="baseline"/>
        <w:rPr>
          <w:rFonts w:asciiTheme="minorHAnsi" w:eastAsia="Times New Roman" w:hAnsiTheme="minorHAnsi"/>
          <w:color w:val="000000"/>
          <w:sz w:val="18"/>
          <w:szCs w:val="18"/>
          <w:lang w:val="es-MX" w:eastAsia="pt-BR"/>
        </w:rPr>
      </w:pPr>
      <w:r w:rsidRPr="000D1DE6">
        <w:rPr>
          <w:rStyle w:val="FootnoteReference"/>
          <w:rFonts w:asciiTheme="minorHAnsi" w:hAnsiTheme="minorHAnsi"/>
          <w:sz w:val="18"/>
          <w:szCs w:val="18"/>
          <w:lang w:val="es-MX"/>
        </w:rPr>
        <w:footnoteRef/>
      </w:r>
      <w:r w:rsidRPr="000D1DE6">
        <w:rPr>
          <w:rFonts w:asciiTheme="minorHAnsi" w:hAnsiTheme="minorHAnsi"/>
          <w:sz w:val="18"/>
          <w:szCs w:val="18"/>
          <w:lang w:val="es-MX"/>
        </w:rPr>
        <w:t xml:space="preserve"> </w:t>
      </w:r>
      <w:r w:rsidRPr="000D1DE6">
        <w:rPr>
          <w:rFonts w:asciiTheme="minorHAnsi" w:eastAsia="Times New Roman" w:hAnsiTheme="minorHAnsi"/>
          <w:color w:val="000000"/>
          <w:sz w:val="18"/>
          <w:szCs w:val="18"/>
          <w:lang w:val="es-MX" w:eastAsia="pt-BR"/>
        </w:rPr>
        <w:t xml:space="preserve">Naciones Unidas – México, </w:t>
      </w:r>
      <w:hyperlink r:id="rId92" w:history="1">
        <w:r w:rsidRPr="000D1DE6">
          <w:rPr>
            <w:rStyle w:val="Hyperlink"/>
            <w:rFonts w:asciiTheme="minorHAnsi" w:eastAsia="Times New Roman" w:hAnsiTheme="minorHAnsi"/>
            <w:sz w:val="18"/>
            <w:szCs w:val="18"/>
            <w:lang w:val="es-MX" w:eastAsia="pt-BR"/>
          </w:rPr>
          <w:t>El Estado debe garantizar el derecho a la verdad sobre la incidencia de la tortura: ONU-DH</w:t>
        </w:r>
      </w:hyperlink>
      <w:r w:rsidRPr="000D1DE6">
        <w:rPr>
          <w:rFonts w:asciiTheme="minorHAnsi" w:eastAsia="Times New Roman" w:hAnsiTheme="minorHAnsi"/>
          <w:color w:val="000000"/>
          <w:sz w:val="18"/>
          <w:szCs w:val="18"/>
          <w:lang w:val="es-MX" w:eastAsia="pt-BR"/>
        </w:rPr>
        <w:t xml:space="preserve">, 26 de julio de 2021. </w:t>
      </w:r>
    </w:p>
  </w:footnote>
  <w:footnote w:id="137">
    <w:p w14:paraId="7A556AEE" w14:textId="77777777" w:rsidR="000235D8" w:rsidRPr="000D1DE6" w:rsidRDefault="000235D8" w:rsidP="00F46807">
      <w:pPr>
        <w:spacing w:after="120" w:line="240" w:lineRule="auto"/>
        <w:ind w:firstLine="720"/>
        <w:jc w:val="both"/>
        <w:textAlignment w:val="baseline"/>
        <w:rPr>
          <w:rFonts w:asciiTheme="minorHAnsi" w:eastAsia="Times New Roman" w:hAnsiTheme="minorHAnsi"/>
          <w:color w:val="000000"/>
          <w:sz w:val="18"/>
          <w:szCs w:val="18"/>
          <w:lang w:val="es-MX" w:eastAsia="pt-BR"/>
        </w:rPr>
      </w:pPr>
      <w:r w:rsidRPr="000D1DE6">
        <w:rPr>
          <w:rStyle w:val="FootnoteReference"/>
          <w:rFonts w:asciiTheme="minorHAnsi" w:hAnsiTheme="minorHAnsi"/>
          <w:sz w:val="18"/>
          <w:szCs w:val="18"/>
          <w:lang w:val="es-MX"/>
        </w:rPr>
        <w:footnoteRef/>
      </w:r>
      <w:r w:rsidRPr="000D1DE6">
        <w:rPr>
          <w:rFonts w:asciiTheme="minorHAnsi" w:hAnsiTheme="minorHAnsi"/>
          <w:sz w:val="18"/>
          <w:szCs w:val="18"/>
          <w:lang w:val="es-MX"/>
        </w:rPr>
        <w:t xml:space="preserve"> CDHCM, México, Boletín No. 118/2021 - </w:t>
      </w:r>
      <w:hyperlink r:id="rId93" w:history="1">
        <w:r w:rsidRPr="000D1DE6">
          <w:rPr>
            <w:rStyle w:val="Hyperlink"/>
            <w:rFonts w:asciiTheme="minorHAnsi" w:hAnsiTheme="minorHAnsi"/>
            <w:sz w:val="18"/>
            <w:szCs w:val="18"/>
            <w:lang w:val="es-MX"/>
          </w:rPr>
          <w:t>En el marco del Día Internacional de Apoyo a las Víctimas de la Tortura, la CDHCM insta a que se publique e implemente el Programa Nacional</w:t>
        </w:r>
      </w:hyperlink>
      <w:r w:rsidRPr="000D1DE6">
        <w:rPr>
          <w:rFonts w:asciiTheme="minorHAnsi" w:hAnsiTheme="minorHAnsi"/>
          <w:sz w:val="18"/>
          <w:szCs w:val="18"/>
          <w:lang w:val="es-MX"/>
        </w:rPr>
        <w:t xml:space="preserve">, 26 de junio de 2021. Ver además: </w:t>
      </w:r>
      <w:r w:rsidRPr="000D1DE6">
        <w:rPr>
          <w:rFonts w:asciiTheme="minorHAnsi" w:eastAsia="Times New Roman" w:hAnsiTheme="minorHAnsi"/>
          <w:color w:val="000000"/>
          <w:sz w:val="18"/>
          <w:szCs w:val="18"/>
          <w:lang w:val="es-MX" w:eastAsia="pt-BR"/>
        </w:rPr>
        <w:t xml:space="preserve">OMCT Red SOS-Tortura y Red Nacional de Organismos Civiles de Derechos Humanos, </w:t>
      </w:r>
      <w:hyperlink r:id="rId94" w:history="1">
        <w:r w:rsidRPr="000D1DE6">
          <w:rPr>
            <w:rStyle w:val="Hyperlink"/>
            <w:rFonts w:asciiTheme="minorHAnsi" w:eastAsia="Times New Roman" w:hAnsiTheme="minorHAnsi"/>
            <w:sz w:val="18"/>
            <w:szCs w:val="18"/>
            <w:lang w:val="es-MX" w:eastAsia="pt-BR"/>
          </w:rPr>
          <w:t>México: La Tortura Y La Impunidad Se Agudizan En Tiempos De Pandemia</w:t>
        </w:r>
      </w:hyperlink>
      <w:r w:rsidRPr="000D1DE6">
        <w:rPr>
          <w:rFonts w:asciiTheme="minorHAnsi" w:eastAsia="Times New Roman" w:hAnsiTheme="minorHAnsi"/>
          <w:color w:val="000000"/>
          <w:sz w:val="18"/>
          <w:szCs w:val="18"/>
          <w:lang w:val="es-MX" w:eastAsia="pt-BR"/>
        </w:rPr>
        <w:t xml:space="preserve">, Julio de 2021; y Animal Político. </w:t>
      </w:r>
      <w:hyperlink r:id="rId95" w:history="1">
        <w:r w:rsidRPr="000D1DE6">
          <w:rPr>
            <w:rStyle w:val="Hyperlink"/>
            <w:rFonts w:asciiTheme="minorHAnsi" w:eastAsia="Times New Roman" w:hAnsiTheme="minorHAnsi"/>
            <w:sz w:val="18"/>
            <w:szCs w:val="18"/>
            <w:lang w:val="es-MX" w:eastAsia="pt-BR"/>
          </w:rPr>
          <w:t>¿Es suficiente un decreto para erradicar la tortura en México?</w:t>
        </w:r>
      </w:hyperlink>
      <w:r w:rsidRPr="000D1DE6">
        <w:rPr>
          <w:rFonts w:asciiTheme="minorHAnsi" w:eastAsia="Times New Roman" w:hAnsiTheme="minorHAnsi"/>
          <w:color w:val="000000"/>
          <w:sz w:val="18"/>
          <w:szCs w:val="18"/>
          <w:lang w:val="es-MX" w:eastAsia="pt-BR"/>
        </w:rPr>
        <w:t xml:space="preserve"> 23 de septiembre de 2021.</w:t>
      </w:r>
    </w:p>
  </w:footnote>
  <w:footnote w:id="138">
    <w:p w14:paraId="39F42EE9" w14:textId="77777777" w:rsidR="000235D8" w:rsidRPr="000D1DE6" w:rsidRDefault="000235D8" w:rsidP="00F46807">
      <w:pPr>
        <w:spacing w:after="120" w:line="240" w:lineRule="auto"/>
        <w:ind w:firstLine="720"/>
        <w:jc w:val="both"/>
        <w:textAlignment w:val="baseline"/>
        <w:rPr>
          <w:rFonts w:asciiTheme="minorHAnsi" w:eastAsia="Times New Roman" w:hAnsiTheme="minorHAnsi"/>
          <w:color w:val="000000"/>
          <w:sz w:val="18"/>
          <w:szCs w:val="18"/>
          <w:lang w:val="es-MX" w:eastAsia="pt-BR"/>
        </w:rPr>
      </w:pPr>
      <w:r w:rsidRPr="000D1DE6">
        <w:rPr>
          <w:rStyle w:val="FootnoteReference"/>
          <w:rFonts w:asciiTheme="minorHAnsi" w:hAnsiTheme="minorHAnsi"/>
          <w:sz w:val="18"/>
          <w:szCs w:val="18"/>
          <w:lang w:val="es-MX"/>
        </w:rPr>
        <w:footnoteRef/>
      </w:r>
      <w:r w:rsidRPr="000D1DE6">
        <w:rPr>
          <w:rFonts w:asciiTheme="minorHAnsi" w:hAnsiTheme="minorHAnsi"/>
          <w:sz w:val="18"/>
          <w:szCs w:val="18"/>
          <w:lang w:val="es-MX"/>
        </w:rPr>
        <w:t xml:space="preserve"> </w:t>
      </w:r>
      <w:r w:rsidRPr="000D1DE6">
        <w:rPr>
          <w:rFonts w:asciiTheme="minorHAnsi" w:eastAsia="Times New Roman" w:hAnsiTheme="minorHAnsi"/>
          <w:color w:val="000000"/>
          <w:sz w:val="18"/>
          <w:szCs w:val="18"/>
          <w:lang w:val="es-MX" w:eastAsia="pt-BR"/>
        </w:rPr>
        <w:t xml:space="preserve">Naciones Unidas – México, </w:t>
      </w:r>
      <w:hyperlink r:id="rId96" w:history="1">
        <w:r w:rsidRPr="000D1DE6">
          <w:rPr>
            <w:rStyle w:val="Hyperlink"/>
            <w:rFonts w:asciiTheme="minorHAnsi" w:eastAsia="Times New Roman" w:hAnsiTheme="minorHAnsi"/>
            <w:sz w:val="18"/>
            <w:szCs w:val="18"/>
            <w:lang w:val="es-MX" w:eastAsia="pt-BR"/>
          </w:rPr>
          <w:t>El Estado debe garantizar el derecho a la verdad sobre la incidencia de la tortura: ONU-DH</w:t>
        </w:r>
      </w:hyperlink>
      <w:r w:rsidRPr="000D1DE6">
        <w:rPr>
          <w:rFonts w:asciiTheme="minorHAnsi" w:eastAsia="Times New Roman" w:hAnsiTheme="minorHAnsi"/>
          <w:color w:val="000000"/>
          <w:sz w:val="18"/>
          <w:szCs w:val="18"/>
          <w:lang w:val="es-MX" w:eastAsia="pt-BR"/>
        </w:rPr>
        <w:t xml:space="preserve">, 26 de julio de 2021. </w:t>
      </w:r>
    </w:p>
  </w:footnote>
  <w:footnote w:id="139">
    <w:p w14:paraId="67B8839F" w14:textId="77777777" w:rsidR="000235D8" w:rsidRPr="000D1DE6" w:rsidRDefault="000235D8" w:rsidP="00F46807">
      <w:pPr>
        <w:spacing w:after="120" w:line="240" w:lineRule="auto"/>
        <w:ind w:firstLine="720"/>
        <w:jc w:val="both"/>
        <w:textAlignment w:val="baseline"/>
        <w:rPr>
          <w:rFonts w:asciiTheme="minorHAnsi" w:eastAsia="Times New Roman" w:hAnsiTheme="minorHAnsi"/>
          <w:color w:val="000000"/>
          <w:sz w:val="18"/>
          <w:szCs w:val="18"/>
          <w:lang w:val="es-MX" w:eastAsia="pt-BR"/>
        </w:rPr>
      </w:pPr>
      <w:r w:rsidRPr="000D1DE6">
        <w:rPr>
          <w:rStyle w:val="FootnoteReference"/>
          <w:rFonts w:asciiTheme="minorHAnsi" w:hAnsiTheme="minorHAnsi"/>
          <w:sz w:val="18"/>
          <w:szCs w:val="18"/>
          <w:lang w:val="es-MX"/>
        </w:rPr>
        <w:footnoteRef/>
      </w:r>
      <w:r w:rsidRPr="000D1DE6">
        <w:rPr>
          <w:rFonts w:asciiTheme="minorHAnsi" w:hAnsiTheme="minorHAnsi"/>
          <w:sz w:val="18"/>
          <w:szCs w:val="18"/>
          <w:lang w:val="es-MX"/>
        </w:rPr>
        <w:t xml:space="preserve"> Suprema Corte de Justicia de la Nación, México, Comunicado de Prensa No. 322/2021 - </w:t>
      </w:r>
      <w:hyperlink r:id="rId97" w:history="1">
        <w:r w:rsidRPr="000D1DE6">
          <w:rPr>
            <w:rStyle w:val="Hyperlink"/>
            <w:rFonts w:asciiTheme="minorHAnsi" w:hAnsiTheme="minorHAnsi"/>
            <w:sz w:val="18"/>
            <w:szCs w:val="18"/>
            <w:lang w:val="es-MX"/>
          </w:rPr>
          <w:t>La omisión de crear el registro nacional del delito de tortura representa una omisión de la obligación del ministerio público de investigar diligentemente este delito: Primera Sala</w:t>
        </w:r>
      </w:hyperlink>
      <w:r w:rsidRPr="000D1DE6">
        <w:rPr>
          <w:rFonts w:asciiTheme="minorHAnsi" w:hAnsiTheme="minorHAnsi"/>
          <w:sz w:val="18"/>
          <w:szCs w:val="18"/>
          <w:lang w:val="es-MX"/>
        </w:rPr>
        <w:t xml:space="preserve">, 21 de octubre de 2021. Ver además: </w:t>
      </w:r>
      <w:r w:rsidRPr="000D1DE6">
        <w:rPr>
          <w:rFonts w:asciiTheme="minorHAnsi" w:eastAsia="Times New Roman" w:hAnsiTheme="minorHAnsi"/>
          <w:color w:val="000000"/>
          <w:sz w:val="18"/>
          <w:szCs w:val="18"/>
          <w:lang w:val="es-MX" w:eastAsia="pt-BR"/>
        </w:rPr>
        <w:t xml:space="preserve">OMCT Red SOS-Tortura y Red Nacional de Organismos Civiles de Derechos Humanos, </w:t>
      </w:r>
      <w:hyperlink r:id="rId98" w:history="1">
        <w:r w:rsidRPr="000D1DE6">
          <w:rPr>
            <w:rStyle w:val="Hyperlink"/>
            <w:rFonts w:asciiTheme="minorHAnsi" w:eastAsia="Times New Roman" w:hAnsiTheme="minorHAnsi"/>
            <w:sz w:val="18"/>
            <w:szCs w:val="18"/>
            <w:lang w:val="es-MX" w:eastAsia="pt-BR"/>
          </w:rPr>
          <w:t>México: La Tortura Y La Impunidad Se Agudizan En Tiempos De Pandemia</w:t>
        </w:r>
      </w:hyperlink>
      <w:r w:rsidRPr="000D1DE6">
        <w:rPr>
          <w:rFonts w:asciiTheme="minorHAnsi" w:eastAsia="Times New Roman" w:hAnsiTheme="minorHAnsi"/>
          <w:color w:val="000000"/>
          <w:sz w:val="18"/>
          <w:szCs w:val="18"/>
          <w:lang w:val="es-MX" w:eastAsia="pt-BR"/>
        </w:rPr>
        <w:t xml:space="preserve">, Julio de 2021; y Animal Político. </w:t>
      </w:r>
      <w:hyperlink r:id="rId99" w:history="1">
        <w:r w:rsidRPr="000D1DE6">
          <w:rPr>
            <w:rStyle w:val="Hyperlink"/>
            <w:rFonts w:asciiTheme="minorHAnsi" w:eastAsia="Times New Roman" w:hAnsiTheme="minorHAnsi"/>
            <w:sz w:val="18"/>
            <w:szCs w:val="18"/>
            <w:lang w:val="es-MX" w:eastAsia="pt-BR"/>
          </w:rPr>
          <w:t>¿Es suficiente un decreto para erradicar la tortura en México?</w:t>
        </w:r>
      </w:hyperlink>
      <w:r w:rsidRPr="000D1DE6">
        <w:rPr>
          <w:rFonts w:asciiTheme="minorHAnsi" w:eastAsia="Times New Roman" w:hAnsiTheme="minorHAnsi"/>
          <w:color w:val="000000"/>
          <w:sz w:val="18"/>
          <w:szCs w:val="18"/>
          <w:lang w:val="es-MX" w:eastAsia="pt-BR"/>
        </w:rPr>
        <w:t xml:space="preserve"> 23 de septiembre de 2021. </w:t>
      </w:r>
    </w:p>
  </w:footnote>
  <w:footnote w:id="140">
    <w:p w14:paraId="74776917" w14:textId="5E6080C7" w:rsidR="007B69C1" w:rsidRPr="000D1DE6" w:rsidRDefault="007B69C1" w:rsidP="00F46807">
      <w:pPr>
        <w:pStyle w:val="FootnoteText"/>
        <w:spacing w:after="120"/>
        <w:ind w:firstLine="720"/>
      </w:pPr>
      <w:r w:rsidRPr="000D1DE6">
        <w:rPr>
          <w:rStyle w:val="FootnoteReference"/>
        </w:rPr>
        <w:footnoteRef/>
      </w:r>
      <w:r w:rsidRPr="000D1DE6">
        <w:t xml:space="preserve"> </w:t>
      </w:r>
      <w:r w:rsidRPr="000D1DE6">
        <w:rPr>
          <w:rFonts w:asciiTheme="minorHAnsi" w:eastAsia="Cambria" w:hAnsiTheme="minorHAnsi" w:cs="Cambria"/>
          <w:color w:val="000000"/>
          <w:lang w:val="es-MX"/>
        </w:rPr>
        <w:t>Observaciones y comentarios del Estado de 24 de enero de 2022, pág. 12.</w:t>
      </w:r>
    </w:p>
  </w:footnote>
  <w:footnote w:id="141">
    <w:p w14:paraId="3C4147EA" w14:textId="6EB8B2FB" w:rsidR="000235D8" w:rsidRPr="000D1DE6" w:rsidRDefault="000235D8" w:rsidP="00F46807">
      <w:pPr>
        <w:pStyle w:val="FootnoteText"/>
        <w:spacing w:after="120"/>
        <w:ind w:firstLine="720"/>
        <w:rPr>
          <w:rFonts w:asciiTheme="minorHAnsi" w:hAnsiTheme="minorHAnsi" w:cs="Arial"/>
          <w:lang w:val="es-MX"/>
        </w:rPr>
      </w:pPr>
      <w:r w:rsidRPr="000D1DE6">
        <w:rPr>
          <w:rStyle w:val="FootnoteReference"/>
          <w:rFonts w:asciiTheme="minorHAnsi" w:hAnsiTheme="minorHAnsi"/>
          <w:lang w:val="es-MX"/>
        </w:rPr>
        <w:footnoteRef/>
      </w:r>
      <w:r w:rsidRPr="000D1DE6">
        <w:rPr>
          <w:rFonts w:asciiTheme="minorHAnsi" w:hAnsiTheme="minorHAnsi"/>
          <w:lang w:val="pt-BR"/>
        </w:rPr>
        <w:t xml:space="preserve"> </w:t>
      </w:r>
      <w:bookmarkStart w:id="1" w:name="_Hlk89444497"/>
      <w:r w:rsidRPr="000D1DE6">
        <w:rPr>
          <w:rFonts w:asciiTheme="minorHAnsi" w:hAnsiTheme="minorHAnsi" w:cs="Arial"/>
          <w:lang w:val="pt-BR"/>
        </w:rPr>
        <w:t xml:space="preserve">CIDH, </w:t>
      </w:r>
      <w:hyperlink r:id="rId100" w:history="1">
        <w:r w:rsidRPr="000D1DE6">
          <w:rPr>
            <w:rStyle w:val="Hyperlink"/>
            <w:rFonts w:asciiTheme="minorHAnsi" w:hAnsiTheme="minorHAnsi"/>
            <w:lang w:val="pt-BR"/>
          </w:rPr>
          <w:t>Informe Anual 2020</w:t>
        </w:r>
      </w:hyperlink>
      <w:r w:rsidRPr="000D1DE6">
        <w:rPr>
          <w:rFonts w:asciiTheme="minorHAnsi" w:hAnsiTheme="minorHAnsi" w:cs="Arial"/>
          <w:lang w:val="pt-BR"/>
        </w:rPr>
        <w:t xml:space="preserve">, Capítulo V “México”, párr. </w:t>
      </w:r>
      <w:r w:rsidRPr="000D1DE6">
        <w:rPr>
          <w:rFonts w:asciiTheme="minorHAnsi" w:hAnsiTheme="minorHAnsi" w:cs="Arial"/>
          <w:lang w:val="es-MX"/>
        </w:rPr>
        <w:t>105.</w:t>
      </w:r>
    </w:p>
    <w:bookmarkEnd w:id="1"/>
  </w:footnote>
  <w:footnote w:id="142">
    <w:p w14:paraId="45960822" w14:textId="4A077F7C" w:rsidR="000235D8" w:rsidRPr="000D1DE6" w:rsidRDefault="000235D8" w:rsidP="00F46807">
      <w:pPr>
        <w:pStyle w:val="FootnoteText"/>
        <w:spacing w:after="120"/>
        <w:ind w:firstLine="720"/>
        <w:rPr>
          <w:rFonts w:asciiTheme="minorHAnsi" w:hAnsiTheme="minorHAnsi"/>
          <w:lang w:val="es-MX"/>
        </w:rPr>
      </w:pPr>
      <w:r w:rsidRPr="000D1DE6">
        <w:rPr>
          <w:rStyle w:val="FootnoteReference"/>
          <w:rFonts w:asciiTheme="minorHAnsi" w:hAnsiTheme="minorHAnsi"/>
          <w:lang w:val="es-MX"/>
        </w:rPr>
        <w:footnoteRef/>
      </w:r>
      <w:r w:rsidRPr="000D1DE6">
        <w:rPr>
          <w:rFonts w:asciiTheme="minorHAnsi" w:hAnsiTheme="minorHAnsi"/>
          <w:lang w:val="es-MX"/>
        </w:rPr>
        <w:t xml:space="preserve"> INEGI, </w:t>
      </w:r>
      <w:hyperlink r:id="rId101" w:history="1">
        <w:r w:rsidRPr="000D1DE6">
          <w:rPr>
            <w:rStyle w:val="Hyperlink"/>
            <w:rFonts w:asciiTheme="minorHAnsi" w:hAnsiTheme="minorHAnsi"/>
            <w:lang w:val="es-MX"/>
          </w:rPr>
          <w:t>ENPOL 2021</w:t>
        </w:r>
      </w:hyperlink>
      <w:r w:rsidRPr="000D1DE6">
        <w:rPr>
          <w:rFonts w:asciiTheme="minorHAnsi" w:hAnsiTheme="minorHAnsi"/>
          <w:lang w:val="es-MX"/>
        </w:rPr>
        <w:t>, diciembre de 2021.</w:t>
      </w:r>
    </w:p>
  </w:footnote>
  <w:footnote w:id="143">
    <w:p w14:paraId="2F70A31E" w14:textId="638F0DCE" w:rsidR="000235D8" w:rsidRPr="000D1DE6" w:rsidRDefault="000235D8" w:rsidP="00F46807">
      <w:pPr>
        <w:spacing w:after="120" w:line="240" w:lineRule="auto"/>
        <w:ind w:firstLine="720"/>
        <w:jc w:val="both"/>
        <w:textAlignment w:val="baseline"/>
        <w:rPr>
          <w:rFonts w:asciiTheme="minorHAnsi" w:eastAsia="Times New Roman" w:hAnsiTheme="minorHAnsi"/>
          <w:color w:val="000000"/>
          <w:sz w:val="18"/>
          <w:szCs w:val="18"/>
          <w:lang w:val="es-MX" w:eastAsia="pt-BR"/>
        </w:rPr>
      </w:pPr>
      <w:r w:rsidRPr="000D1DE6">
        <w:rPr>
          <w:rStyle w:val="FootnoteReference"/>
          <w:rFonts w:asciiTheme="minorHAnsi" w:hAnsiTheme="minorHAnsi"/>
          <w:sz w:val="18"/>
          <w:szCs w:val="18"/>
          <w:lang w:val="es-MX"/>
        </w:rPr>
        <w:footnoteRef/>
      </w:r>
      <w:r w:rsidRPr="000D1DE6">
        <w:rPr>
          <w:rFonts w:asciiTheme="minorHAnsi" w:hAnsiTheme="minorHAnsi"/>
          <w:sz w:val="18"/>
          <w:szCs w:val="18"/>
          <w:lang w:val="es-MX"/>
        </w:rPr>
        <w:t xml:space="preserve"> </w:t>
      </w:r>
      <w:r w:rsidRPr="000D1DE6">
        <w:rPr>
          <w:rFonts w:asciiTheme="minorHAnsi" w:eastAsia="Times New Roman" w:hAnsiTheme="minorHAnsi"/>
          <w:color w:val="000000"/>
          <w:sz w:val="18"/>
          <w:szCs w:val="18"/>
          <w:lang w:val="es-MX" w:eastAsia="pt-BR"/>
        </w:rPr>
        <w:t xml:space="preserve">OMCT Red SOS-Tortura y Red Nacional de Organismos Civiles de Derechos Humanos, </w:t>
      </w:r>
      <w:hyperlink r:id="rId102" w:history="1">
        <w:r w:rsidRPr="000D1DE6">
          <w:rPr>
            <w:rStyle w:val="Hyperlink"/>
            <w:rFonts w:asciiTheme="minorHAnsi" w:eastAsia="Times New Roman" w:hAnsiTheme="minorHAnsi"/>
            <w:sz w:val="18"/>
            <w:szCs w:val="18"/>
            <w:lang w:val="es-MX" w:eastAsia="pt-BR"/>
          </w:rPr>
          <w:t>México: La Tortura Y La Impunidad Se Agudizan En Tiempos De Pandemia</w:t>
        </w:r>
      </w:hyperlink>
      <w:r w:rsidRPr="000D1DE6">
        <w:rPr>
          <w:rFonts w:asciiTheme="minorHAnsi" w:eastAsia="Times New Roman" w:hAnsiTheme="minorHAnsi"/>
          <w:color w:val="000000"/>
          <w:sz w:val="18"/>
          <w:szCs w:val="18"/>
          <w:lang w:val="es-MX" w:eastAsia="pt-BR"/>
        </w:rPr>
        <w:t xml:space="preserve">, Julio de 2021, pág. 5. </w:t>
      </w:r>
    </w:p>
  </w:footnote>
  <w:footnote w:id="144">
    <w:p w14:paraId="0F2E77D7" w14:textId="1978BD4A" w:rsidR="000235D8" w:rsidRPr="000D1DE6" w:rsidRDefault="000235D8" w:rsidP="00F46807">
      <w:pPr>
        <w:pStyle w:val="FootnoteText"/>
        <w:spacing w:after="120"/>
        <w:ind w:firstLine="720"/>
        <w:rPr>
          <w:rFonts w:asciiTheme="minorHAnsi" w:hAnsiTheme="minorHAnsi" w:cs="Arial"/>
          <w:lang w:val="es-MX"/>
        </w:rPr>
      </w:pPr>
      <w:r w:rsidRPr="000D1DE6">
        <w:rPr>
          <w:rStyle w:val="FootnoteReference"/>
          <w:rFonts w:asciiTheme="minorHAnsi" w:hAnsiTheme="minorHAnsi"/>
          <w:lang w:val="es-MX"/>
        </w:rPr>
        <w:footnoteRef/>
      </w:r>
      <w:r w:rsidRPr="000D1DE6">
        <w:rPr>
          <w:rFonts w:asciiTheme="minorHAnsi" w:hAnsiTheme="minorHAnsi"/>
          <w:lang w:val="es-MX"/>
        </w:rPr>
        <w:t xml:space="preserve"> En este sentido, ver </w:t>
      </w:r>
      <w:r w:rsidRPr="000D1DE6">
        <w:rPr>
          <w:rFonts w:asciiTheme="minorHAnsi" w:hAnsiTheme="minorHAnsi" w:cs="Arial"/>
          <w:lang w:val="es-MX"/>
        </w:rPr>
        <w:t xml:space="preserve">CIDH, </w:t>
      </w:r>
      <w:hyperlink r:id="rId103" w:history="1">
        <w:r w:rsidRPr="000D1DE6">
          <w:rPr>
            <w:rStyle w:val="Hyperlink"/>
            <w:rFonts w:asciiTheme="minorHAnsi" w:hAnsiTheme="minorHAnsi"/>
            <w:lang w:val="es-MX"/>
          </w:rPr>
          <w:t>Informe Anual 2020</w:t>
        </w:r>
      </w:hyperlink>
      <w:r w:rsidRPr="000D1DE6">
        <w:rPr>
          <w:rFonts w:asciiTheme="minorHAnsi" w:hAnsiTheme="minorHAnsi" w:cs="Arial"/>
          <w:lang w:val="es-MX"/>
        </w:rPr>
        <w:t xml:space="preserve">, Capítulo V “México”, párr. 105. </w:t>
      </w:r>
    </w:p>
  </w:footnote>
  <w:footnote w:id="145">
    <w:p w14:paraId="6893B6A5" w14:textId="21C08F11" w:rsidR="007B69C1" w:rsidRPr="000D1DE6" w:rsidRDefault="007B69C1" w:rsidP="00F46807">
      <w:pPr>
        <w:pStyle w:val="FootnoteText"/>
        <w:spacing w:after="120"/>
        <w:ind w:firstLine="720"/>
      </w:pPr>
      <w:r w:rsidRPr="000D1DE6">
        <w:rPr>
          <w:rStyle w:val="FootnoteReference"/>
        </w:rPr>
        <w:footnoteRef/>
      </w:r>
      <w:r w:rsidRPr="000D1DE6">
        <w:t xml:space="preserve"> </w:t>
      </w:r>
      <w:r w:rsidRPr="000D1DE6">
        <w:rPr>
          <w:rFonts w:asciiTheme="minorHAnsi" w:eastAsia="Cambria" w:hAnsiTheme="minorHAnsi" w:cs="Cambria"/>
          <w:color w:val="000000"/>
          <w:lang w:val="es-MX"/>
        </w:rPr>
        <w:t>Observaciones y comentarios del Estado de 24 de enero de 2022, pág. 12.</w:t>
      </w:r>
    </w:p>
  </w:footnote>
  <w:footnote w:id="146">
    <w:p w14:paraId="092F71D2" w14:textId="58E6ED35" w:rsidR="000235D8" w:rsidRPr="000D1DE6" w:rsidRDefault="000235D8" w:rsidP="00F46807">
      <w:pPr>
        <w:pBdr>
          <w:top w:val="nil"/>
          <w:left w:val="nil"/>
          <w:bottom w:val="nil"/>
          <w:right w:val="nil"/>
          <w:between w:val="nil"/>
        </w:pBdr>
        <w:spacing w:after="120" w:line="240" w:lineRule="auto"/>
        <w:ind w:firstLine="720"/>
        <w:jc w:val="both"/>
        <w:rPr>
          <w:rFonts w:asciiTheme="minorHAnsi" w:eastAsia="Cambria" w:hAnsiTheme="minorHAnsi" w:cs="Cambria"/>
          <w:color w:val="000000"/>
          <w:sz w:val="18"/>
          <w:szCs w:val="18"/>
          <w:lang w:val="es-MX"/>
        </w:rPr>
      </w:pPr>
      <w:r w:rsidRPr="000D1DE6">
        <w:rPr>
          <w:rStyle w:val="FootnoteReference"/>
          <w:rFonts w:asciiTheme="minorHAnsi" w:hAnsiTheme="minorHAnsi"/>
          <w:sz w:val="18"/>
          <w:szCs w:val="18"/>
          <w:lang w:val="es-MX"/>
        </w:rPr>
        <w:footnoteRef/>
      </w:r>
      <w:r w:rsidRPr="000D1DE6">
        <w:rPr>
          <w:rFonts w:asciiTheme="minorHAnsi" w:hAnsiTheme="minorHAnsi"/>
          <w:sz w:val="18"/>
          <w:szCs w:val="18"/>
          <w:lang w:val="es-MX"/>
        </w:rPr>
        <w:t xml:space="preserve"> </w:t>
      </w:r>
      <w:r w:rsidRPr="000D1DE6">
        <w:rPr>
          <w:rFonts w:asciiTheme="minorHAnsi" w:eastAsia="Cambria" w:hAnsiTheme="minorHAnsi" w:cs="Cambria"/>
          <w:color w:val="000000"/>
          <w:sz w:val="18"/>
          <w:szCs w:val="18"/>
          <w:lang w:val="es-MX"/>
        </w:rPr>
        <w:t xml:space="preserve">Noveno Informe del Estado mexicano sobre el cumplimiento de las recomendaciones de la Comisión Interamericana de Derechos Humanos emitidas en su informe sobre la “Situación de los Derechos Humanos en México”, octubre de 2021, pág. 34. Ver además: </w:t>
      </w:r>
      <w:r w:rsidRPr="000D1DE6">
        <w:rPr>
          <w:rFonts w:asciiTheme="minorHAnsi" w:hAnsiTheme="minorHAnsi" w:cs="Arial"/>
          <w:sz w:val="18"/>
          <w:szCs w:val="18"/>
          <w:lang w:val="es-MX"/>
        </w:rPr>
        <w:t xml:space="preserve">CIDH, </w:t>
      </w:r>
      <w:hyperlink r:id="rId104" w:history="1">
        <w:r w:rsidRPr="000D1DE6">
          <w:rPr>
            <w:rStyle w:val="Hyperlink"/>
            <w:rFonts w:asciiTheme="minorHAnsi" w:hAnsiTheme="minorHAnsi"/>
            <w:sz w:val="18"/>
            <w:szCs w:val="18"/>
            <w:lang w:val="es-MX"/>
          </w:rPr>
          <w:t>Informe Anual 2020</w:t>
        </w:r>
      </w:hyperlink>
      <w:r w:rsidRPr="000D1DE6">
        <w:rPr>
          <w:rFonts w:asciiTheme="minorHAnsi" w:hAnsiTheme="minorHAnsi" w:cs="Arial"/>
          <w:sz w:val="18"/>
          <w:szCs w:val="18"/>
          <w:lang w:val="es-MX"/>
        </w:rPr>
        <w:t xml:space="preserve">, Capítulo V “México”, párr. 110. </w:t>
      </w:r>
    </w:p>
  </w:footnote>
  <w:footnote w:id="147">
    <w:p w14:paraId="7C2E3B29" w14:textId="7933CB0A" w:rsidR="000235D8" w:rsidRPr="000D1DE6" w:rsidRDefault="000235D8" w:rsidP="00F46807">
      <w:pPr>
        <w:spacing w:after="120" w:line="240" w:lineRule="auto"/>
        <w:ind w:firstLine="720"/>
        <w:jc w:val="both"/>
        <w:textAlignment w:val="baseline"/>
        <w:rPr>
          <w:rFonts w:asciiTheme="minorHAnsi" w:eastAsia="Times New Roman" w:hAnsiTheme="minorHAnsi"/>
          <w:color w:val="000000"/>
          <w:sz w:val="18"/>
          <w:szCs w:val="18"/>
          <w:lang w:val="es-MX" w:eastAsia="pt-BR"/>
        </w:rPr>
      </w:pPr>
      <w:r w:rsidRPr="000D1DE6">
        <w:rPr>
          <w:rStyle w:val="FootnoteReference"/>
          <w:rFonts w:asciiTheme="minorHAnsi" w:hAnsiTheme="minorHAnsi"/>
          <w:sz w:val="18"/>
          <w:szCs w:val="18"/>
          <w:lang w:val="es-MX"/>
        </w:rPr>
        <w:footnoteRef/>
      </w:r>
      <w:r w:rsidRPr="000D1DE6">
        <w:rPr>
          <w:rFonts w:asciiTheme="minorHAnsi" w:hAnsiTheme="minorHAnsi"/>
          <w:sz w:val="18"/>
          <w:szCs w:val="18"/>
          <w:lang w:val="es-MX"/>
        </w:rPr>
        <w:t xml:space="preserve"> </w:t>
      </w:r>
      <w:r w:rsidRPr="000D1DE6">
        <w:rPr>
          <w:rFonts w:asciiTheme="minorHAnsi" w:eastAsia="Times New Roman" w:hAnsiTheme="minorHAnsi"/>
          <w:color w:val="000000"/>
          <w:sz w:val="18"/>
          <w:szCs w:val="18"/>
          <w:lang w:val="es-MX" w:eastAsia="pt-BR"/>
        </w:rPr>
        <w:t xml:space="preserve">Secretaría de Seguridad y Protección Ciudadana, México, Boletín No. 048/2021 - </w:t>
      </w:r>
      <w:hyperlink r:id="rId105" w:history="1">
        <w:r w:rsidRPr="000D1DE6">
          <w:rPr>
            <w:rStyle w:val="Hyperlink"/>
            <w:rFonts w:asciiTheme="minorHAnsi" w:eastAsia="Times New Roman" w:hAnsiTheme="minorHAnsi"/>
            <w:sz w:val="18"/>
            <w:szCs w:val="18"/>
            <w:lang w:val="es-MX" w:eastAsia="pt-BR"/>
          </w:rPr>
          <w:t>El primero de abril inicia Registro Nacional de Detenciones por faltas administrativas.</w:t>
        </w:r>
      </w:hyperlink>
      <w:r w:rsidRPr="000D1DE6">
        <w:rPr>
          <w:rFonts w:asciiTheme="minorHAnsi" w:eastAsia="Times New Roman" w:hAnsiTheme="minorHAnsi"/>
          <w:color w:val="000000"/>
          <w:sz w:val="18"/>
          <w:szCs w:val="18"/>
          <w:lang w:val="es-MX" w:eastAsia="pt-BR"/>
        </w:rPr>
        <w:t xml:space="preserve"> 31 de marzo de 2021. </w:t>
      </w:r>
    </w:p>
  </w:footnote>
  <w:footnote w:id="148">
    <w:p w14:paraId="14A084BD" w14:textId="77777777" w:rsidR="000235D8" w:rsidRPr="000D1DE6" w:rsidRDefault="000235D8" w:rsidP="00F46807">
      <w:pPr>
        <w:pStyle w:val="FootnoteText"/>
        <w:spacing w:after="120"/>
        <w:ind w:firstLine="720"/>
        <w:rPr>
          <w:rFonts w:asciiTheme="minorHAnsi" w:hAnsiTheme="minorHAnsi"/>
          <w:lang w:val="es-MX"/>
        </w:rPr>
      </w:pPr>
      <w:r w:rsidRPr="000D1DE6">
        <w:rPr>
          <w:rStyle w:val="FootnoteReference"/>
          <w:rFonts w:asciiTheme="minorHAnsi" w:hAnsiTheme="minorHAnsi"/>
          <w:lang w:val="es-MX"/>
        </w:rPr>
        <w:footnoteRef/>
      </w:r>
      <w:r w:rsidRPr="000D1DE6">
        <w:rPr>
          <w:rFonts w:asciiTheme="minorHAnsi" w:hAnsiTheme="minorHAnsi"/>
          <w:lang w:val="es-MX"/>
        </w:rPr>
        <w:t xml:space="preserve"> En este sentido, </w:t>
      </w:r>
      <w:r w:rsidRPr="000D1DE6">
        <w:rPr>
          <w:rFonts w:asciiTheme="minorHAnsi" w:eastAsia="Times New Roman" w:hAnsiTheme="minorHAnsi"/>
          <w:color w:val="000000"/>
          <w:lang w:val="es-MX" w:eastAsia="pt-BR"/>
        </w:rPr>
        <w:t xml:space="preserve">Secretaría de Seguridad y Protección Ciudadana, México, </w:t>
      </w:r>
      <w:hyperlink r:id="rId106" w:history="1">
        <w:r w:rsidRPr="000D1DE6">
          <w:rPr>
            <w:rStyle w:val="Hyperlink"/>
            <w:rFonts w:asciiTheme="minorHAnsi" w:eastAsia="Times New Roman" w:hAnsiTheme="minorHAnsi"/>
            <w:lang w:val="es-MX" w:eastAsia="pt-BR"/>
          </w:rPr>
          <w:t>Consulta</w:t>
        </w:r>
      </w:hyperlink>
      <w:r w:rsidRPr="000D1DE6">
        <w:rPr>
          <w:rFonts w:asciiTheme="minorHAnsi" w:eastAsia="Times New Roman" w:hAnsiTheme="minorHAnsi"/>
          <w:color w:val="000000"/>
          <w:lang w:val="es-MX" w:eastAsia="pt-BR"/>
        </w:rPr>
        <w:t>, 2021.</w:t>
      </w:r>
    </w:p>
  </w:footnote>
  <w:footnote w:id="149">
    <w:p w14:paraId="6D110F6A" w14:textId="77777777" w:rsidR="000235D8" w:rsidRPr="000D1DE6" w:rsidRDefault="000235D8" w:rsidP="00F46807">
      <w:pPr>
        <w:spacing w:after="120" w:line="240" w:lineRule="auto"/>
        <w:ind w:firstLine="720"/>
        <w:jc w:val="both"/>
        <w:textAlignment w:val="baseline"/>
        <w:rPr>
          <w:rFonts w:asciiTheme="minorHAnsi" w:eastAsia="Times New Roman" w:hAnsiTheme="minorHAnsi"/>
          <w:color w:val="000000"/>
          <w:sz w:val="18"/>
          <w:szCs w:val="18"/>
          <w:lang w:val="es-MX" w:eastAsia="pt-BR"/>
        </w:rPr>
      </w:pPr>
      <w:r w:rsidRPr="000D1DE6">
        <w:rPr>
          <w:rStyle w:val="FootnoteReference"/>
          <w:rFonts w:asciiTheme="minorHAnsi" w:hAnsiTheme="minorHAnsi"/>
          <w:sz w:val="18"/>
          <w:szCs w:val="18"/>
          <w:lang w:val="es-MX"/>
        </w:rPr>
        <w:footnoteRef/>
      </w:r>
      <w:r w:rsidRPr="000D1DE6">
        <w:rPr>
          <w:rFonts w:asciiTheme="minorHAnsi" w:hAnsiTheme="minorHAnsi"/>
          <w:sz w:val="18"/>
          <w:szCs w:val="18"/>
          <w:lang w:val="es-MX"/>
        </w:rPr>
        <w:t xml:space="preserve"> </w:t>
      </w:r>
      <w:r w:rsidRPr="000D1DE6">
        <w:rPr>
          <w:rFonts w:asciiTheme="minorHAnsi" w:eastAsia="Times New Roman" w:hAnsiTheme="minorHAnsi"/>
          <w:color w:val="000000"/>
          <w:sz w:val="18"/>
          <w:szCs w:val="18"/>
          <w:lang w:val="es-MX" w:eastAsia="pt-BR"/>
        </w:rPr>
        <w:t xml:space="preserve">Gobierno del Estado – San Luis Potosí, México, </w:t>
      </w:r>
      <w:hyperlink r:id="rId107" w:history="1">
        <w:r w:rsidRPr="000D1DE6">
          <w:rPr>
            <w:rStyle w:val="Hyperlink"/>
            <w:rFonts w:asciiTheme="minorHAnsi" w:eastAsia="Times New Roman" w:hAnsiTheme="minorHAnsi"/>
            <w:sz w:val="18"/>
            <w:szCs w:val="18"/>
            <w:lang w:val="es-MX" w:eastAsia="pt-BR"/>
          </w:rPr>
          <w:t>SECESP fortalece la capacitación sobre el Registro Nacional de Detenciones en SLP</w:t>
        </w:r>
      </w:hyperlink>
      <w:r w:rsidRPr="000D1DE6">
        <w:rPr>
          <w:rFonts w:asciiTheme="minorHAnsi" w:eastAsia="Times New Roman" w:hAnsiTheme="minorHAnsi"/>
          <w:color w:val="000000"/>
          <w:sz w:val="18"/>
          <w:szCs w:val="18"/>
          <w:lang w:val="es-MX" w:eastAsia="pt-BR"/>
        </w:rPr>
        <w:t xml:space="preserve">, 24 de abril de 2021. </w:t>
      </w:r>
    </w:p>
  </w:footnote>
  <w:footnote w:id="150">
    <w:p w14:paraId="42893DA9" w14:textId="7AA908E7" w:rsidR="000235D8" w:rsidRPr="000D1DE6" w:rsidRDefault="000235D8" w:rsidP="00F46807">
      <w:pPr>
        <w:spacing w:after="120" w:line="240" w:lineRule="auto"/>
        <w:ind w:firstLine="720"/>
        <w:jc w:val="both"/>
        <w:textAlignment w:val="baseline"/>
        <w:rPr>
          <w:rFonts w:asciiTheme="minorHAnsi" w:eastAsia="Times New Roman" w:hAnsiTheme="minorHAnsi"/>
          <w:color w:val="000000"/>
          <w:sz w:val="18"/>
          <w:szCs w:val="18"/>
          <w:lang w:val="es-MX" w:eastAsia="pt-BR"/>
        </w:rPr>
      </w:pPr>
      <w:r w:rsidRPr="000D1DE6">
        <w:rPr>
          <w:rStyle w:val="FootnoteReference"/>
          <w:rFonts w:asciiTheme="minorHAnsi" w:hAnsiTheme="minorHAnsi"/>
          <w:sz w:val="18"/>
          <w:szCs w:val="18"/>
          <w:lang w:val="es-MX"/>
        </w:rPr>
        <w:footnoteRef/>
      </w:r>
      <w:r w:rsidRPr="000D1DE6">
        <w:rPr>
          <w:rFonts w:asciiTheme="minorHAnsi" w:hAnsiTheme="minorHAnsi"/>
          <w:sz w:val="18"/>
          <w:szCs w:val="18"/>
          <w:lang w:val="es-MX"/>
        </w:rPr>
        <w:t xml:space="preserve"> </w:t>
      </w:r>
      <w:r w:rsidRPr="000D1DE6">
        <w:rPr>
          <w:rFonts w:asciiTheme="minorHAnsi" w:eastAsia="Times New Roman" w:hAnsiTheme="minorHAnsi"/>
          <w:color w:val="000000"/>
          <w:sz w:val="18"/>
          <w:szCs w:val="18"/>
          <w:lang w:val="es-MX" w:eastAsia="pt-BR"/>
        </w:rPr>
        <w:t xml:space="preserve">CNDH, México, </w:t>
      </w:r>
      <w:hyperlink r:id="rId108" w:history="1">
        <w:r w:rsidRPr="000D1DE6">
          <w:rPr>
            <w:rStyle w:val="Hyperlink"/>
            <w:rFonts w:asciiTheme="minorHAnsi" w:eastAsia="Times New Roman" w:hAnsiTheme="minorHAnsi"/>
            <w:sz w:val="18"/>
            <w:szCs w:val="18"/>
            <w:lang w:val="es-MX" w:eastAsia="pt-BR"/>
          </w:rPr>
          <w:t>Acción de inconstitucionalidad 63/2019</w:t>
        </w:r>
      </w:hyperlink>
      <w:r w:rsidRPr="000D1DE6">
        <w:rPr>
          <w:rFonts w:asciiTheme="minorHAnsi" w:eastAsia="Times New Roman" w:hAnsiTheme="minorHAnsi"/>
          <w:color w:val="000000"/>
          <w:sz w:val="18"/>
          <w:szCs w:val="18"/>
          <w:lang w:val="es-MX" w:eastAsia="pt-BR"/>
        </w:rPr>
        <w:t xml:space="preserve">, 2021. Ver además: </w:t>
      </w:r>
      <w:r w:rsidRPr="000D1DE6">
        <w:rPr>
          <w:rFonts w:asciiTheme="minorHAnsi" w:hAnsiTheme="minorHAnsi" w:cs="Arial"/>
          <w:sz w:val="18"/>
          <w:szCs w:val="18"/>
          <w:lang w:val="es-MX"/>
        </w:rPr>
        <w:t xml:space="preserve">CIDH, </w:t>
      </w:r>
      <w:hyperlink r:id="rId109" w:history="1">
        <w:r w:rsidRPr="000D1DE6">
          <w:rPr>
            <w:rStyle w:val="Hyperlink"/>
            <w:rFonts w:asciiTheme="minorHAnsi" w:hAnsiTheme="minorHAnsi"/>
            <w:sz w:val="18"/>
            <w:szCs w:val="18"/>
            <w:lang w:val="es-MX"/>
          </w:rPr>
          <w:t>Informe Anual 2020</w:t>
        </w:r>
      </w:hyperlink>
      <w:r w:rsidRPr="000D1DE6">
        <w:rPr>
          <w:rFonts w:asciiTheme="minorHAnsi" w:hAnsiTheme="minorHAnsi" w:cs="Arial"/>
          <w:sz w:val="18"/>
          <w:szCs w:val="18"/>
          <w:lang w:val="es-MX"/>
        </w:rPr>
        <w:t xml:space="preserve">, Capítulo V “México”, párr. 111. </w:t>
      </w:r>
    </w:p>
  </w:footnote>
  <w:footnote w:id="151">
    <w:p w14:paraId="0FA18D43" w14:textId="4A82CF86" w:rsidR="007B69C1" w:rsidRPr="000D1DE6" w:rsidRDefault="007B69C1" w:rsidP="00F46807">
      <w:pPr>
        <w:pStyle w:val="FootnoteText"/>
        <w:spacing w:after="120"/>
        <w:ind w:firstLine="720"/>
      </w:pPr>
      <w:r w:rsidRPr="000D1DE6">
        <w:rPr>
          <w:rStyle w:val="FootnoteReference"/>
        </w:rPr>
        <w:footnoteRef/>
      </w:r>
      <w:r w:rsidRPr="000D1DE6">
        <w:t xml:space="preserve"> </w:t>
      </w:r>
      <w:r w:rsidRPr="000D1DE6">
        <w:rPr>
          <w:rFonts w:asciiTheme="minorHAnsi" w:eastAsia="Cambria" w:hAnsiTheme="minorHAnsi" w:cs="Cambria"/>
          <w:color w:val="000000"/>
          <w:lang w:val="es-MX"/>
        </w:rPr>
        <w:t xml:space="preserve">Observaciones y comentarios del Estado de 24 de enero de 2022, pág. </w:t>
      </w:r>
      <w:r w:rsidRPr="000D1DE6">
        <w:rPr>
          <w:rFonts w:asciiTheme="minorHAnsi" w:eastAsia="Cambria" w:hAnsiTheme="minorHAnsi" w:cs="Cambria"/>
          <w:color w:val="000000"/>
        </w:rPr>
        <w:t>13.</w:t>
      </w:r>
    </w:p>
  </w:footnote>
  <w:footnote w:id="152">
    <w:p w14:paraId="260F4274" w14:textId="792EED75" w:rsidR="000235D8" w:rsidRPr="000D1DE6" w:rsidRDefault="000235D8" w:rsidP="00F46807">
      <w:pPr>
        <w:spacing w:after="120" w:line="240" w:lineRule="auto"/>
        <w:ind w:firstLine="720"/>
        <w:jc w:val="both"/>
        <w:textAlignment w:val="baseline"/>
        <w:rPr>
          <w:rFonts w:asciiTheme="minorHAnsi" w:eastAsia="Times New Roman" w:hAnsiTheme="minorHAnsi"/>
          <w:color w:val="000000"/>
          <w:sz w:val="18"/>
          <w:szCs w:val="18"/>
          <w:lang w:val="es-MX" w:eastAsia="pt-BR"/>
        </w:rPr>
      </w:pPr>
      <w:r w:rsidRPr="000D1DE6">
        <w:rPr>
          <w:rStyle w:val="FootnoteReference"/>
          <w:rFonts w:asciiTheme="minorHAnsi" w:hAnsiTheme="minorHAnsi"/>
          <w:sz w:val="18"/>
          <w:szCs w:val="18"/>
          <w:lang w:val="es-MX"/>
        </w:rPr>
        <w:footnoteRef/>
      </w:r>
      <w:r w:rsidRPr="000D1DE6">
        <w:rPr>
          <w:rFonts w:asciiTheme="minorHAnsi" w:hAnsiTheme="minorHAnsi"/>
          <w:sz w:val="18"/>
          <w:szCs w:val="18"/>
          <w:lang w:val="es-MX"/>
        </w:rPr>
        <w:t xml:space="preserve"> </w:t>
      </w:r>
      <w:r w:rsidRPr="000D1DE6">
        <w:rPr>
          <w:rFonts w:asciiTheme="minorHAnsi" w:eastAsia="Times New Roman" w:hAnsiTheme="minorHAnsi"/>
          <w:color w:val="000000"/>
          <w:sz w:val="18"/>
          <w:szCs w:val="18"/>
          <w:lang w:val="es-MX" w:eastAsia="pt-BR"/>
        </w:rPr>
        <w:t xml:space="preserve">OMCT Red SOS-Tortura y Red Nacional de Organismos Civiles de Derechos Humanos, </w:t>
      </w:r>
      <w:hyperlink r:id="rId110" w:history="1">
        <w:r w:rsidRPr="000D1DE6">
          <w:rPr>
            <w:rStyle w:val="Hyperlink"/>
            <w:rFonts w:asciiTheme="minorHAnsi" w:eastAsia="Times New Roman" w:hAnsiTheme="minorHAnsi"/>
            <w:sz w:val="18"/>
            <w:szCs w:val="18"/>
            <w:lang w:val="es-MX" w:eastAsia="pt-BR"/>
          </w:rPr>
          <w:t>México: La Tortura Y La Impunidad Se Agudizan En Tiempos De Pandemia</w:t>
        </w:r>
      </w:hyperlink>
      <w:r w:rsidRPr="000D1DE6">
        <w:rPr>
          <w:rFonts w:asciiTheme="minorHAnsi" w:eastAsia="Times New Roman" w:hAnsiTheme="minorHAnsi"/>
          <w:color w:val="000000"/>
          <w:sz w:val="18"/>
          <w:szCs w:val="18"/>
          <w:lang w:val="es-MX" w:eastAsia="pt-BR"/>
        </w:rPr>
        <w:t xml:space="preserve">, Julio de 2021, pág. 5. </w:t>
      </w:r>
    </w:p>
  </w:footnote>
  <w:footnote w:id="153">
    <w:p w14:paraId="13681B8A" w14:textId="25517195" w:rsidR="000235D8" w:rsidRPr="000D1DE6" w:rsidRDefault="000235D8" w:rsidP="00F46807">
      <w:pPr>
        <w:pStyle w:val="FootnoteText"/>
        <w:spacing w:after="120"/>
        <w:ind w:firstLine="720"/>
        <w:rPr>
          <w:rFonts w:asciiTheme="minorHAnsi" w:hAnsiTheme="minorHAnsi"/>
          <w:lang w:val="es-MX"/>
        </w:rPr>
      </w:pPr>
      <w:r w:rsidRPr="000D1DE6">
        <w:rPr>
          <w:rStyle w:val="FootnoteReference"/>
          <w:rFonts w:asciiTheme="minorHAnsi" w:hAnsiTheme="minorHAnsi"/>
          <w:lang w:val="es-MX"/>
        </w:rPr>
        <w:footnoteRef/>
      </w:r>
      <w:r w:rsidRPr="000D1DE6">
        <w:rPr>
          <w:rFonts w:asciiTheme="minorHAnsi" w:hAnsiTheme="minorHAnsi"/>
          <w:lang w:val="es-MX"/>
        </w:rPr>
        <w:t xml:space="preserve"> INEGI, </w:t>
      </w:r>
      <w:hyperlink r:id="rId111" w:history="1">
        <w:r w:rsidRPr="000D1DE6">
          <w:rPr>
            <w:rStyle w:val="Hyperlink"/>
            <w:rFonts w:asciiTheme="minorHAnsi" w:hAnsiTheme="minorHAnsi"/>
            <w:lang w:val="es-MX"/>
          </w:rPr>
          <w:t>ENPOL 2021</w:t>
        </w:r>
      </w:hyperlink>
      <w:r w:rsidRPr="000D1DE6">
        <w:rPr>
          <w:rFonts w:asciiTheme="minorHAnsi" w:hAnsiTheme="minorHAnsi"/>
          <w:lang w:val="es-MX"/>
        </w:rPr>
        <w:t>, diciembre de 2021.</w:t>
      </w:r>
    </w:p>
  </w:footnote>
  <w:footnote w:id="154">
    <w:p w14:paraId="6BDB63A7" w14:textId="16D0A31D" w:rsidR="000235D8" w:rsidRPr="000D1DE6" w:rsidRDefault="000235D8" w:rsidP="00F46807">
      <w:pPr>
        <w:pStyle w:val="FootnoteText"/>
        <w:spacing w:after="120"/>
        <w:ind w:firstLine="720"/>
        <w:rPr>
          <w:rFonts w:asciiTheme="minorHAnsi" w:hAnsiTheme="minorHAnsi"/>
          <w:lang w:val="es-MX"/>
        </w:rPr>
      </w:pPr>
      <w:r w:rsidRPr="000D1DE6">
        <w:rPr>
          <w:rStyle w:val="FootnoteReference"/>
          <w:rFonts w:asciiTheme="minorHAnsi" w:hAnsiTheme="minorHAnsi"/>
          <w:lang w:val="es-MX"/>
        </w:rPr>
        <w:footnoteRef/>
      </w:r>
      <w:r w:rsidRPr="000D1DE6">
        <w:rPr>
          <w:rFonts w:asciiTheme="minorHAnsi" w:hAnsiTheme="minorHAnsi"/>
          <w:lang w:val="es-MX"/>
        </w:rPr>
        <w:t xml:space="preserve"> Noveno Informe del Estado mexicano sobre el cumplimiento de las recomendaciones de la Comisión Interamericana de Derechos Humanos emitidas en su informe sobre la “Situación de los Derechos Humanos en México”, octubre de 2021, pág. 34. </w:t>
      </w:r>
    </w:p>
  </w:footnote>
  <w:footnote w:id="155">
    <w:p w14:paraId="38DF24F9" w14:textId="02422C3B" w:rsidR="000235D8" w:rsidRPr="000D1DE6" w:rsidRDefault="000235D8" w:rsidP="00F46807">
      <w:pPr>
        <w:pStyle w:val="FootnoteText"/>
        <w:spacing w:after="120"/>
        <w:ind w:firstLine="720"/>
        <w:rPr>
          <w:rFonts w:asciiTheme="minorHAnsi" w:hAnsiTheme="minorHAnsi"/>
          <w:lang w:val="es-MX"/>
        </w:rPr>
      </w:pPr>
      <w:r w:rsidRPr="000D1DE6">
        <w:rPr>
          <w:rStyle w:val="FootnoteReference"/>
          <w:rFonts w:asciiTheme="minorHAnsi" w:hAnsiTheme="minorHAnsi"/>
          <w:lang w:val="es-MX"/>
        </w:rPr>
        <w:footnoteRef/>
      </w:r>
      <w:r w:rsidRPr="000D1DE6">
        <w:rPr>
          <w:rFonts w:asciiTheme="minorHAnsi" w:hAnsiTheme="minorHAnsi"/>
          <w:lang w:val="es-MX"/>
        </w:rPr>
        <w:t xml:space="preserve"> CIDH, </w:t>
      </w:r>
      <w:hyperlink r:id="rId112" w:history="1">
        <w:r w:rsidRPr="000D1DE6">
          <w:rPr>
            <w:rStyle w:val="Hyperlink"/>
            <w:rFonts w:asciiTheme="minorHAnsi" w:hAnsiTheme="minorHAnsi"/>
            <w:lang w:val="es-MX"/>
          </w:rPr>
          <w:t>Audiencia Pública – Combate a la Tortura en México,</w:t>
        </w:r>
      </w:hyperlink>
      <w:r w:rsidRPr="000D1DE6">
        <w:rPr>
          <w:rFonts w:asciiTheme="minorHAnsi" w:hAnsiTheme="minorHAnsi"/>
          <w:lang w:val="es-MX"/>
        </w:rPr>
        <w:t xml:space="preserve"> 178 periodo de sesiones, 04 de diciembre de 2020</w:t>
      </w:r>
      <w:r w:rsidR="00DD4A85">
        <w:rPr>
          <w:rFonts w:asciiTheme="minorHAnsi" w:hAnsiTheme="minorHAnsi"/>
          <w:lang w:val="es-MX"/>
        </w:rPr>
        <w:t>.</w:t>
      </w:r>
    </w:p>
  </w:footnote>
  <w:footnote w:id="156">
    <w:p w14:paraId="350E0BEF" w14:textId="77777777" w:rsidR="000235D8" w:rsidRPr="000D1DE6" w:rsidRDefault="000235D8" w:rsidP="00F46807">
      <w:pPr>
        <w:pBdr>
          <w:top w:val="nil"/>
          <w:left w:val="nil"/>
          <w:bottom w:val="nil"/>
          <w:right w:val="nil"/>
          <w:between w:val="nil"/>
        </w:pBdr>
        <w:spacing w:after="120" w:line="240" w:lineRule="auto"/>
        <w:ind w:firstLine="720"/>
        <w:jc w:val="both"/>
        <w:rPr>
          <w:rFonts w:asciiTheme="minorHAnsi" w:eastAsia="Cambria" w:hAnsiTheme="minorHAnsi" w:cs="Cambria"/>
          <w:color w:val="000000"/>
          <w:sz w:val="18"/>
          <w:szCs w:val="18"/>
          <w:lang w:val="es-MX"/>
        </w:rPr>
      </w:pPr>
      <w:r w:rsidRPr="000D1DE6">
        <w:rPr>
          <w:rFonts w:asciiTheme="minorHAnsi" w:hAnsiTheme="minorHAnsi"/>
          <w:sz w:val="18"/>
          <w:szCs w:val="18"/>
          <w:vertAlign w:val="superscript"/>
          <w:lang w:val="es-MX"/>
        </w:rPr>
        <w:footnoteRef/>
      </w:r>
      <w:r w:rsidRPr="000D1DE6">
        <w:rPr>
          <w:rFonts w:asciiTheme="minorHAnsi" w:eastAsia="Cambria" w:hAnsiTheme="minorHAnsi" w:cs="Cambria"/>
          <w:color w:val="000000"/>
          <w:sz w:val="18"/>
          <w:szCs w:val="18"/>
          <w:lang w:val="es-MX"/>
        </w:rPr>
        <w:t xml:space="preserve"> Noveno Informe del Estado mexicano sobre el cumplimiento y seguimiento de las recomendaciones contenidas en el informe “Situación de los Derechos Humanos en México”, pág. 36.</w:t>
      </w:r>
    </w:p>
  </w:footnote>
  <w:footnote w:id="157">
    <w:p w14:paraId="52AD61CC" w14:textId="3FA77214" w:rsidR="004C7992" w:rsidRPr="000D1DE6" w:rsidRDefault="004C7992" w:rsidP="00F46807">
      <w:pPr>
        <w:pStyle w:val="FootnoteText"/>
        <w:spacing w:after="120"/>
        <w:ind w:firstLine="720"/>
        <w:rPr>
          <w:rFonts w:asciiTheme="minorHAnsi" w:hAnsiTheme="minorHAnsi"/>
        </w:rPr>
      </w:pPr>
      <w:r w:rsidRPr="000D1DE6">
        <w:rPr>
          <w:rStyle w:val="FootnoteReference"/>
          <w:rFonts w:asciiTheme="minorHAnsi" w:hAnsiTheme="minorHAnsi"/>
        </w:rPr>
        <w:footnoteRef/>
      </w:r>
      <w:r w:rsidRPr="000D1DE6">
        <w:rPr>
          <w:rFonts w:asciiTheme="minorHAnsi" w:hAnsiTheme="minorHAnsi"/>
        </w:rPr>
        <w:t xml:space="preserve"> CIDH, </w:t>
      </w:r>
      <w:hyperlink r:id="rId113" w:history="1">
        <w:r w:rsidRPr="000D1DE6">
          <w:rPr>
            <w:rStyle w:val="Hyperlink"/>
            <w:rFonts w:asciiTheme="minorHAnsi" w:hAnsiTheme="minorHAnsi"/>
          </w:rPr>
          <w:t xml:space="preserve">Informe de la CNDH </w:t>
        </w:r>
        <w:r w:rsidR="000D12B6" w:rsidRPr="000D1DE6">
          <w:rPr>
            <w:rStyle w:val="Hyperlink"/>
            <w:rFonts w:asciiTheme="minorHAnsi" w:hAnsiTheme="minorHAnsi"/>
          </w:rPr>
          <w:t>al SIMORE</w:t>
        </w:r>
      </w:hyperlink>
      <w:r w:rsidRPr="000D1DE6">
        <w:rPr>
          <w:rFonts w:asciiTheme="minorHAnsi" w:hAnsiTheme="minorHAnsi"/>
        </w:rPr>
        <w:t>, 15 de diciembre de 2021</w:t>
      </w:r>
      <w:r w:rsidR="00DD4A85">
        <w:rPr>
          <w:rFonts w:asciiTheme="minorHAnsi" w:hAnsiTheme="minorHAnsi"/>
        </w:rPr>
        <w:t>.</w:t>
      </w:r>
      <w:r w:rsidRPr="000D1DE6">
        <w:rPr>
          <w:rFonts w:asciiTheme="minorHAnsi" w:hAnsiTheme="minorHAnsi"/>
        </w:rPr>
        <w:t xml:space="preserve"> </w:t>
      </w:r>
    </w:p>
  </w:footnote>
  <w:footnote w:id="158">
    <w:p w14:paraId="69F80858" w14:textId="1F3A8200" w:rsidR="000235D8" w:rsidRPr="000D1DE6" w:rsidRDefault="000235D8" w:rsidP="00F46807">
      <w:pPr>
        <w:pBdr>
          <w:top w:val="nil"/>
          <w:left w:val="nil"/>
          <w:bottom w:val="nil"/>
          <w:right w:val="nil"/>
          <w:between w:val="nil"/>
        </w:pBdr>
        <w:spacing w:after="120" w:line="240" w:lineRule="auto"/>
        <w:ind w:firstLine="720"/>
        <w:jc w:val="both"/>
        <w:rPr>
          <w:rFonts w:asciiTheme="minorHAnsi" w:eastAsia="Cambria" w:hAnsiTheme="minorHAnsi" w:cs="Cambria"/>
          <w:color w:val="000000"/>
          <w:sz w:val="18"/>
          <w:szCs w:val="18"/>
          <w:lang w:val="es-MX"/>
        </w:rPr>
      </w:pPr>
      <w:r w:rsidRPr="000D1DE6">
        <w:rPr>
          <w:rFonts w:asciiTheme="minorHAnsi" w:hAnsiTheme="minorHAnsi"/>
          <w:sz w:val="18"/>
          <w:szCs w:val="18"/>
          <w:vertAlign w:val="superscript"/>
          <w:lang w:val="es-MX"/>
        </w:rPr>
        <w:footnoteRef/>
      </w:r>
      <w:r w:rsidRPr="000D1DE6">
        <w:rPr>
          <w:rFonts w:asciiTheme="minorHAnsi" w:eastAsia="Cambria" w:hAnsiTheme="minorHAnsi" w:cs="Cambria"/>
          <w:color w:val="000000"/>
          <w:sz w:val="18"/>
          <w:szCs w:val="18"/>
          <w:lang w:val="es-MX"/>
        </w:rPr>
        <w:t xml:space="preserve"> Noveno Informe del Estado mexicano sobre el cumplimiento y seguimiento de las recomendaciones contenidas en el informe “Situación de los Derechos Humanos en México”, págs. 36 – 37.</w:t>
      </w:r>
    </w:p>
  </w:footnote>
  <w:footnote w:id="159">
    <w:p w14:paraId="09FCC70E" w14:textId="7DCBA61B" w:rsidR="000235D8" w:rsidRPr="000D1DE6" w:rsidRDefault="000235D8" w:rsidP="00F46807">
      <w:pPr>
        <w:pStyle w:val="FootnoteText"/>
        <w:spacing w:after="120"/>
        <w:ind w:firstLine="720"/>
        <w:rPr>
          <w:rFonts w:asciiTheme="minorHAnsi" w:hAnsiTheme="minorHAnsi"/>
          <w:lang w:val="es-MX"/>
        </w:rPr>
      </w:pPr>
      <w:r w:rsidRPr="000D1DE6">
        <w:rPr>
          <w:rStyle w:val="FootnoteReference"/>
          <w:rFonts w:asciiTheme="minorHAnsi" w:hAnsiTheme="minorHAnsi"/>
          <w:lang w:val="es-MX"/>
        </w:rPr>
        <w:footnoteRef/>
      </w:r>
      <w:r w:rsidRPr="000D1DE6">
        <w:rPr>
          <w:rFonts w:asciiTheme="minorHAnsi" w:hAnsiTheme="minorHAnsi"/>
          <w:lang w:val="es-MX"/>
        </w:rPr>
        <w:t xml:space="preserve"> INEGI, </w:t>
      </w:r>
      <w:hyperlink r:id="rId114" w:history="1">
        <w:r w:rsidRPr="000D1DE6">
          <w:rPr>
            <w:rStyle w:val="Hyperlink"/>
            <w:rFonts w:asciiTheme="minorHAnsi" w:hAnsiTheme="minorHAnsi"/>
            <w:lang w:val="es-MX"/>
          </w:rPr>
          <w:t>ENPOL 2021</w:t>
        </w:r>
      </w:hyperlink>
      <w:r w:rsidRPr="000D1DE6">
        <w:rPr>
          <w:rFonts w:asciiTheme="minorHAnsi" w:hAnsiTheme="minorHAnsi"/>
          <w:lang w:val="es-MX"/>
        </w:rPr>
        <w:t>, diciembre de 2021.</w:t>
      </w:r>
    </w:p>
  </w:footnote>
  <w:footnote w:id="160">
    <w:p w14:paraId="7EFFA877" w14:textId="6D32F225" w:rsidR="000235D8" w:rsidRPr="000D1DE6" w:rsidRDefault="000235D8" w:rsidP="00F46807">
      <w:pPr>
        <w:spacing w:after="120" w:line="240" w:lineRule="auto"/>
        <w:ind w:firstLine="720"/>
        <w:jc w:val="both"/>
        <w:textAlignment w:val="baseline"/>
        <w:rPr>
          <w:rFonts w:asciiTheme="minorHAnsi" w:eastAsia="Times New Roman" w:hAnsiTheme="minorHAnsi"/>
          <w:color w:val="000000"/>
          <w:sz w:val="18"/>
          <w:szCs w:val="18"/>
          <w:lang w:val="es-MX" w:eastAsia="pt-BR"/>
        </w:rPr>
      </w:pPr>
      <w:r w:rsidRPr="000D1DE6">
        <w:rPr>
          <w:rStyle w:val="FootnoteReference"/>
          <w:rFonts w:asciiTheme="minorHAnsi" w:hAnsiTheme="minorHAnsi"/>
          <w:sz w:val="18"/>
          <w:szCs w:val="18"/>
          <w:lang w:val="es-MX"/>
        </w:rPr>
        <w:footnoteRef/>
      </w:r>
      <w:r w:rsidRPr="000D1DE6">
        <w:rPr>
          <w:rFonts w:asciiTheme="minorHAnsi" w:hAnsiTheme="minorHAnsi"/>
          <w:sz w:val="18"/>
          <w:szCs w:val="18"/>
          <w:lang w:val="es-MX"/>
        </w:rPr>
        <w:t xml:space="preserve"> </w:t>
      </w:r>
      <w:r w:rsidRPr="000D1DE6">
        <w:rPr>
          <w:rFonts w:asciiTheme="minorHAnsi" w:eastAsia="Times New Roman" w:hAnsiTheme="minorHAnsi"/>
          <w:color w:val="000000"/>
          <w:sz w:val="18"/>
          <w:szCs w:val="18"/>
          <w:lang w:val="es-MX" w:eastAsia="pt-BR"/>
        </w:rPr>
        <w:t xml:space="preserve">Naciones Unidas – México, </w:t>
      </w:r>
      <w:hyperlink r:id="rId115" w:history="1">
        <w:r w:rsidRPr="000D1DE6">
          <w:rPr>
            <w:rStyle w:val="Hyperlink"/>
            <w:rFonts w:asciiTheme="minorHAnsi" w:eastAsia="Times New Roman" w:hAnsiTheme="minorHAnsi"/>
            <w:sz w:val="18"/>
            <w:szCs w:val="18"/>
            <w:lang w:val="es-MX" w:eastAsia="pt-BR"/>
          </w:rPr>
          <w:t>El Estado debe garantizar el derecho a la verdad sobre la incidencia de la tortura: ONU-DH</w:t>
        </w:r>
      </w:hyperlink>
      <w:r w:rsidRPr="000D1DE6">
        <w:rPr>
          <w:rFonts w:asciiTheme="minorHAnsi" w:eastAsia="Times New Roman" w:hAnsiTheme="minorHAnsi"/>
          <w:color w:val="000000"/>
          <w:sz w:val="18"/>
          <w:szCs w:val="18"/>
          <w:lang w:val="es-MX" w:eastAsia="pt-BR"/>
        </w:rPr>
        <w:t xml:space="preserve">, 26 de julio de 2021, Diario Jurídico, </w:t>
      </w:r>
      <w:hyperlink r:id="rId116" w:history="1">
        <w:r w:rsidRPr="000D1DE6">
          <w:rPr>
            <w:rStyle w:val="Hyperlink"/>
            <w:rFonts w:asciiTheme="minorHAnsi" w:eastAsia="Times New Roman" w:hAnsiTheme="minorHAnsi"/>
            <w:sz w:val="18"/>
            <w:szCs w:val="18"/>
            <w:lang w:val="es-MX" w:eastAsia="pt-BR"/>
          </w:rPr>
          <w:t>México – Registro nacional del delito de tortura,</w:t>
        </w:r>
      </w:hyperlink>
      <w:r w:rsidRPr="000D1DE6">
        <w:rPr>
          <w:rFonts w:asciiTheme="minorHAnsi" w:eastAsia="Times New Roman" w:hAnsiTheme="minorHAnsi"/>
          <w:color w:val="000000"/>
          <w:sz w:val="18"/>
          <w:szCs w:val="18"/>
          <w:lang w:val="es-MX" w:eastAsia="pt-BR"/>
        </w:rPr>
        <w:t xml:space="preserve"> 23 de octubre de 2021. </w:t>
      </w:r>
    </w:p>
  </w:footnote>
  <w:footnote w:id="161">
    <w:p w14:paraId="09601214" w14:textId="7B743D07" w:rsidR="000235D8" w:rsidRPr="000D1DE6" w:rsidRDefault="000235D8" w:rsidP="00F46807">
      <w:pPr>
        <w:pBdr>
          <w:top w:val="nil"/>
          <w:left w:val="nil"/>
          <w:bottom w:val="nil"/>
          <w:right w:val="nil"/>
          <w:between w:val="nil"/>
        </w:pBdr>
        <w:spacing w:after="120" w:line="240" w:lineRule="auto"/>
        <w:ind w:firstLine="720"/>
        <w:jc w:val="both"/>
        <w:rPr>
          <w:rFonts w:asciiTheme="minorHAnsi" w:eastAsia="Cambria" w:hAnsiTheme="minorHAnsi" w:cs="Cambria"/>
          <w:color w:val="000000"/>
          <w:sz w:val="18"/>
          <w:szCs w:val="18"/>
          <w:lang w:val="es-MX"/>
        </w:rPr>
      </w:pPr>
      <w:r w:rsidRPr="000D1DE6">
        <w:rPr>
          <w:rFonts w:asciiTheme="minorHAnsi" w:hAnsiTheme="minorHAnsi"/>
          <w:sz w:val="18"/>
          <w:szCs w:val="18"/>
          <w:vertAlign w:val="superscript"/>
          <w:lang w:val="es-MX"/>
        </w:rPr>
        <w:footnoteRef/>
      </w:r>
      <w:r w:rsidRPr="000D1DE6">
        <w:rPr>
          <w:rFonts w:asciiTheme="minorHAnsi" w:eastAsia="Cambria" w:hAnsiTheme="minorHAnsi" w:cs="Cambria"/>
          <w:color w:val="000000"/>
          <w:sz w:val="18"/>
          <w:szCs w:val="18"/>
          <w:lang w:val="es-MX"/>
        </w:rPr>
        <w:t xml:space="preserve"> Noveno Informe del Estado mexicano sobre el cumplimiento y seguimiento de las recomendaciones contenidas en el informe “Situación de los Derechos Humanos en México”, pág. 38.</w:t>
      </w:r>
    </w:p>
  </w:footnote>
  <w:footnote w:id="162">
    <w:p w14:paraId="6197A2CF" w14:textId="2703FB69" w:rsidR="000235D8" w:rsidRPr="000D1DE6" w:rsidRDefault="000235D8" w:rsidP="00F46807">
      <w:pPr>
        <w:pStyle w:val="FootnoteText"/>
        <w:spacing w:after="120"/>
        <w:ind w:firstLine="720"/>
        <w:rPr>
          <w:rFonts w:asciiTheme="minorHAnsi" w:hAnsiTheme="minorHAnsi"/>
          <w:lang w:val="es-MX"/>
        </w:rPr>
      </w:pPr>
      <w:r w:rsidRPr="000D1DE6">
        <w:rPr>
          <w:rStyle w:val="FootnoteReference"/>
          <w:rFonts w:asciiTheme="minorHAnsi" w:hAnsiTheme="minorHAnsi"/>
          <w:lang w:val="es-MX"/>
        </w:rPr>
        <w:footnoteRef/>
      </w:r>
      <w:r w:rsidRPr="000D1DE6">
        <w:rPr>
          <w:rFonts w:asciiTheme="minorHAnsi" w:hAnsiTheme="minorHAnsi"/>
          <w:lang w:val="es-MX"/>
        </w:rPr>
        <w:t xml:space="preserve"> Noveno Informe del Estado mexicano sobre el cumplimiento y seguimiento de las recomendaciones contenidas en el informe “Situación de los Derechos Humanos en México”, págs. 38 – 39.</w:t>
      </w:r>
    </w:p>
  </w:footnote>
  <w:footnote w:id="163">
    <w:p w14:paraId="546418B6" w14:textId="24FF74EB" w:rsidR="000235D8" w:rsidRPr="000D1DE6" w:rsidRDefault="000235D8" w:rsidP="00F46807">
      <w:pPr>
        <w:pStyle w:val="FootnoteText"/>
        <w:spacing w:after="120"/>
        <w:ind w:firstLine="720"/>
        <w:rPr>
          <w:rFonts w:asciiTheme="minorHAnsi" w:hAnsiTheme="minorHAnsi"/>
          <w:lang w:val="es-MX"/>
        </w:rPr>
      </w:pPr>
      <w:r w:rsidRPr="000D1DE6">
        <w:rPr>
          <w:rStyle w:val="FootnoteReference"/>
          <w:rFonts w:asciiTheme="minorHAnsi" w:hAnsiTheme="minorHAnsi"/>
          <w:lang w:val="es-MX"/>
        </w:rPr>
        <w:footnoteRef/>
      </w:r>
      <w:r w:rsidRPr="000D1DE6">
        <w:rPr>
          <w:rFonts w:asciiTheme="minorHAnsi" w:hAnsiTheme="minorHAnsi"/>
          <w:lang w:val="es-MX"/>
        </w:rPr>
        <w:t xml:space="preserve"> Excélsior, </w:t>
      </w:r>
      <w:hyperlink r:id="rId117" w:history="1">
        <w:r w:rsidRPr="000D1DE6">
          <w:rPr>
            <w:rStyle w:val="Hyperlink"/>
            <w:rFonts w:asciiTheme="minorHAnsi" w:hAnsiTheme="minorHAnsi"/>
            <w:lang w:val="es-MX"/>
          </w:rPr>
          <w:t>Senado hará sugerencias en materia de seguridad pública; se reunirá con el gabinete</w:t>
        </w:r>
      </w:hyperlink>
      <w:r w:rsidRPr="000D1DE6">
        <w:rPr>
          <w:rFonts w:asciiTheme="minorHAnsi" w:hAnsiTheme="minorHAnsi"/>
          <w:lang w:val="es-MX"/>
        </w:rPr>
        <w:t>, 29 de noviembre de 2021.</w:t>
      </w:r>
    </w:p>
  </w:footnote>
  <w:footnote w:id="164">
    <w:p w14:paraId="7F11A63B" w14:textId="0FA278E9" w:rsidR="000235D8" w:rsidRPr="000D1DE6" w:rsidRDefault="000235D8" w:rsidP="00F46807">
      <w:pPr>
        <w:pStyle w:val="FootnoteText"/>
        <w:spacing w:after="120"/>
        <w:ind w:firstLine="720"/>
        <w:rPr>
          <w:rFonts w:asciiTheme="minorHAnsi" w:hAnsiTheme="minorHAnsi"/>
          <w:lang w:val="es-MX"/>
        </w:rPr>
      </w:pPr>
      <w:r w:rsidRPr="000D1DE6">
        <w:rPr>
          <w:rStyle w:val="FootnoteReference"/>
          <w:rFonts w:asciiTheme="minorHAnsi" w:hAnsiTheme="minorHAnsi"/>
          <w:lang w:val="es-MX"/>
        </w:rPr>
        <w:footnoteRef/>
      </w:r>
      <w:r w:rsidRPr="000D1DE6">
        <w:rPr>
          <w:rFonts w:asciiTheme="minorHAnsi" w:hAnsiTheme="minorHAnsi"/>
          <w:lang w:val="es-MX"/>
        </w:rPr>
        <w:t xml:space="preserve"> Noveno Informe del Estado mexicano sobre el cumplimiento y seguimiento de las recomendaciones contenidas en el informe “Situación de los Derechos Humanos en México”, págs. 40 – 41.</w:t>
      </w:r>
    </w:p>
  </w:footnote>
  <w:footnote w:id="165">
    <w:p w14:paraId="280C6580" w14:textId="6A3F2101" w:rsidR="000235D8" w:rsidRPr="000D1DE6" w:rsidRDefault="000235D8" w:rsidP="00F46807">
      <w:pPr>
        <w:pStyle w:val="FootnoteText"/>
        <w:spacing w:after="120"/>
        <w:ind w:firstLine="720"/>
        <w:rPr>
          <w:rFonts w:asciiTheme="minorHAnsi" w:hAnsiTheme="minorHAnsi"/>
          <w:lang w:val="es-MX"/>
        </w:rPr>
      </w:pPr>
      <w:r w:rsidRPr="000D1DE6">
        <w:rPr>
          <w:rStyle w:val="FootnoteReference"/>
          <w:rFonts w:asciiTheme="minorHAnsi" w:hAnsiTheme="minorHAnsi"/>
          <w:lang w:val="es-MX"/>
        </w:rPr>
        <w:footnoteRef/>
      </w:r>
      <w:r w:rsidRPr="000D1DE6">
        <w:rPr>
          <w:rFonts w:asciiTheme="minorHAnsi" w:hAnsiTheme="minorHAnsi"/>
          <w:lang w:val="es-MX"/>
        </w:rPr>
        <w:t xml:space="preserve"> </w:t>
      </w:r>
      <w:r w:rsidRPr="000D1DE6">
        <w:rPr>
          <w:rStyle w:val="normaltextrun"/>
          <w:rFonts w:asciiTheme="minorHAnsi" w:hAnsiTheme="minorHAnsi"/>
          <w:color w:val="000000"/>
          <w:shd w:val="clear" w:color="auto" w:fill="FFFFFF"/>
          <w:lang w:val="es-MX"/>
        </w:rPr>
        <w:t>Movimiento Nacional por Nuestros Desaparecidos en México, </w:t>
      </w:r>
      <w:hyperlink r:id="rId118" w:tgtFrame="_blank" w:history="1">
        <w:r w:rsidRPr="000D1DE6">
          <w:rPr>
            <w:rStyle w:val="normaltextrun"/>
            <w:rFonts w:asciiTheme="minorHAnsi" w:hAnsiTheme="minorHAnsi" w:cs="Segoe UI"/>
            <w:color w:val="0563C1"/>
            <w:u w:val="single"/>
            <w:shd w:val="clear" w:color="auto" w:fill="FFFFFF"/>
            <w:lang w:val="es-MX"/>
          </w:rPr>
          <w:t>La Crisis Forense en México: más de 52.000 personas fallecidas sin identificar</w:t>
        </w:r>
      </w:hyperlink>
      <w:r w:rsidRPr="000D1DE6">
        <w:rPr>
          <w:rStyle w:val="normaltextrun"/>
          <w:rFonts w:asciiTheme="minorHAnsi" w:hAnsiTheme="minorHAnsi"/>
          <w:color w:val="000000"/>
          <w:shd w:val="clear" w:color="auto" w:fill="FFFFFF"/>
          <w:lang w:val="es-MX"/>
        </w:rPr>
        <w:t>, agosto de 2021, pág. 7. </w:t>
      </w:r>
    </w:p>
  </w:footnote>
  <w:footnote w:id="166">
    <w:p w14:paraId="5B60D5B2" w14:textId="1801CA31" w:rsidR="000235D8" w:rsidRPr="000D1DE6" w:rsidRDefault="000235D8" w:rsidP="00F46807">
      <w:pPr>
        <w:pStyle w:val="FootnoteText"/>
        <w:spacing w:after="120"/>
        <w:ind w:firstLine="720"/>
        <w:rPr>
          <w:rFonts w:asciiTheme="minorHAnsi" w:hAnsiTheme="minorHAnsi"/>
          <w:lang w:val="es-MX"/>
        </w:rPr>
      </w:pPr>
      <w:r w:rsidRPr="000D1DE6">
        <w:rPr>
          <w:rStyle w:val="FootnoteReference"/>
          <w:rFonts w:asciiTheme="minorHAnsi" w:hAnsiTheme="minorHAnsi"/>
          <w:lang w:val="es-MX"/>
        </w:rPr>
        <w:footnoteRef/>
      </w:r>
      <w:r w:rsidRPr="000D1DE6">
        <w:rPr>
          <w:rFonts w:asciiTheme="minorHAnsi" w:hAnsiTheme="minorHAnsi"/>
          <w:lang w:val="es-MX"/>
        </w:rPr>
        <w:t xml:space="preserve"> Noveno Informe del Estado mexicano sobre el cumplimiento y seguimiento de las recomendaciones contenidas en el informe “Situación de los Derechos Humanos en México”, págs. 41 – 45. </w:t>
      </w:r>
    </w:p>
  </w:footnote>
  <w:footnote w:id="167">
    <w:p w14:paraId="2B61E80A" w14:textId="15D04E46" w:rsidR="000235D8" w:rsidRPr="000D1DE6" w:rsidRDefault="000235D8" w:rsidP="00F46807">
      <w:pPr>
        <w:pStyle w:val="FootnoteText"/>
        <w:spacing w:after="120"/>
        <w:ind w:firstLine="720"/>
        <w:rPr>
          <w:rFonts w:asciiTheme="minorHAnsi" w:hAnsiTheme="minorHAnsi"/>
          <w:lang w:val="es-MX"/>
        </w:rPr>
      </w:pPr>
      <w:r w:rsidRPr="000D1DE6">
        <w:rPr>
          <w:rStyle w:val="FootnoteReference"/>
          <w:rFonts w:asciiTheme="minorHAnsi" w:hAnsiTheme="minorHAnsi"/>
          <w:lang w:val="es-MX"/>
        </w:rPr>
        <w:footnoteRef/>
      </w:r>
      <w:r w:rsidRPr="000D1DE6">
        <w:rPr>
          <w:rFonts w:asciiTheme="minorHAnsi" w:hAnsiTheme="minorHAnsi"/>
          <w:lang w:val="es-MX"/>
        </w:rPr>
        <w:t xml:space="preserve"> </w:t>
      </w:r>
      <w:r w:rsidRPr="000D1DE6">
        <w:rPr>
          <w:rStyle w:val="normaltextrun"/>
          <w:rFonts w:asciiTheme="minorHAnsi" w:hAnsiTheme="minorHAnsi"/>
          <w:color w:val="000000"/>
          <w:shd w:val="clear" w:color="auto" w:fill="FFFFFF"/>
          <w:lang w:val="es-MX"/>
        </w:rPr>
        <w:t>CIDH, </w:t>
      </w:r>
      <w:hyperlink r:id="rId119" w:history="1">
        <w:r w:rsidRPr="000D1DE6">
          <w:rPr>
            <w:rStyle w:val="Hyperlink"/>
            <w:rFonts w:asciiTheme="minorHAnsi" w:hAnsiTheme="minorHAnsi" w:cs="Segoe UI"/>
            <w:shd w:val="clear" w:color="auto" w:fill="FFFFFF"/>
            <w:lang w:val="es-MX"/>
          </w:rPr>
          <w:t>Situación de Derechos Humanos en México</w:t>
        </w:r>
      </w:hyperlink>
      <w:r w:rsidRPr="000D1DE6">
        <w:rPr>
          <w:rStyle w:val="normaltextrun"/>
          <w:rFonts w:asciiTheme="minorHAnsi" w:hAnsiTheme="minorHAnsi"/>
          <w:color w:val="000000"/>
          <w:shd w:val="clear" w:color="auto" w:fill="FFFFFF"/>
          <w:lang w:val="es-MX"/>
        </w:rPr>
        <w:t>, OEA/Ser.L/V/II. Doc. 44/15, 31 de diciembre de 2015, párr. 134 y 490</w:t>
      </w:r>
      <w:r w:rsidR="00DD4A85">
        <w:rPr>
          <w:rStyle w:val="normaltextrun"/>
          <w:rFonts w:asciiTheme="minorHAnsi" w:hAnsiTheme="minorHAnsi"/>
          <w:color w:val="000000"/>
          <w:shd w:val="clear" w:color="auto" w:fill="FFFFFF"/>
          <w:lang w:val="es-MX"/>
        </w:rPr>
        <w:t>.</w:t>
      </w:r>
    </w:p>
  </w:footnote>
  <w:footnote w:id="168">
    <w:p w14:paraId="72BCD052" w14:textId="511B6B05" w:rsidR="000235D8" w:rsidRPr="000D1DE6" w:rsidRDefault="000235D8" w:rsidP="00F46807">
      <w:pPr>
        <w:pStyle w:val="FootnoteText"/>
        <w:spacing w:after="120"/>
        <w:ind w:firstLine="720"/>
        <w:rPr>
          <w:rFonts w:asciiTheme="minorHAnsi" w:hAnsiTheme="minorHAnsi"/>
          <w:lang w:val="es-MX"/>
        </w:rPr>
      </w:pPr>
      <w:r w:rsidRPr="000D1DE6">
        <w:rPr>
          <w:rStyle w:val="FootnoteReference"/>
          <w:rFonts w:asciiTheme="minorHAnsi" w:hAnsiTheme="minorHAnsi"/>
          <w:lang w:val="es-MX"/>
        </w:rPr>
        <w:footnoteRef/>
      </w:r>
      <w:r w:rsidRPr="000D1DE6">
        <w:rPr>
          <w:rFonts w:asciiTheme="minorHAnsi" w:hAnsiTheme="minorHAnsi"/>
          <w:lang w:val="es-MX"/>
        </w:rPr>
        <w:t xml:space="preserve"> Noveno Informe del Estado mexicano sobre el cumplimiento y seguimiento de las recomendaciones contenidas en el informe “Situación de los Derechos Humanos en México”, pág. 45.</w:t>
      </w:r>
    </w:p>
  </w:footnote>
  <w:footnote w:id="169">
    <w:p w14:paraId="1568F050" w14:textId="77777777" w:rsidR="000235D8" w:rsidRPr="000D1DE6" w:rsidRDefault="000235D8" w:rsidP="00F46807">
      <w:pPr>
        <w:pStyle w:val="FootnoteText"/>
        <w:spacing w:after="120"/>
        <w:ind w:firstLine="720"/>
        <w:rPr>
          <w:rFonts w:asciiTheme="minorHAnsi" w:hAnsiTheme="minorHAnsi"/>
          <w:lang w:val="es-MX"/>
        </w:rPr>
      </w:pPr>
      <w:r w:rsidRPr="000D1DE6">
        <w:rPr>
          <w:rStyle w:val="FootnoteReference"/>
          <w:rFonts w:asciiTheme="minorHAnsi" w:hAnsiTheme="minorHAnsi"/>
          <w:lang w:val="es-MX"/>
        </w:rPr>
        <w:footnoteRef/>
      </w:r>
      <w:r w:rsidRPr="000D1DE6">
        <w:rPr>
          <w:rFonts w:asciiTheme="minorHAnsi" w:hAnsiTheme="minorHAnsi"/>
          <w:lang w:val="es-MX"/>
        </w:rPr>
        <w:t xml:space="preserve"> CIDH, Observaciones a los lineamientos del Mecanismo de Apoyo Exterior de Búsqueda e Investigación y la Mesa de Búsqueda de Personas Migrantes Desaparecidas, Comunicación 478-21/CIDH/SE/MPCT-MISC, 15 de septiembre de 2021.</w:t>
      </w:r>
    </w:p>
  </w:footnote>
  <w:footnote w:id="170">
    <w:p w14:paraId="465FE09F" w14:textId="103F85DE" w:rsidR="000235D8" w:rsidRPr="000D1DE6" w:rsidRDefault="000235D8" w:rsidP="00F46807">
      <w:pPr>
        <w:pStyle w:val="FootnoteText"/>
        <w:spacing w:after="120"/>
        <w:ind w:firstLine="720"/>
        <w:rPr>
          <w:rFonts w:asciiTheme="minorHAnsi" w:hAnsiTheme="minorHAnsi"/>
          <w:lang w:val="es-MX"/>
        </w:rPr>
      </w:pPr>
      <w:r w:rsidRPr="000D1DE6">
        <w:rPr>
          <w:rStyle w:val="FootnoteReference"/>
          <w:rFonts w:asciiTheme="minorHAnsi" w:hAnsiTheme="minorHAnsi"/>
          <w:lang w:val="es-MX"/>
        </w:rPr>
        <w:footnoteRef/>
      </w:r>
      <w:r w:rsidRPr="000D1DE6">
        <w:rPr>
          <w:rFonts w:asciiTheme="minorHAnsi" w:hAnsiTheme="minorHAnsi"/>
          <w:lang w:val="es-MX"/>
        </w:rPr>
        <w:t xml:space="preserve"> Noveno Informe del Estado mexicano sobre el cumplimiento y seguimiento de las recomendaciones contenidas en el informe “Situación de los Derechos Humanos en México”, pág. 46. </w:t>
      </w:r>
    </w:p>
  </w:footnote>
  <w:footnote w:id="171">
    <w:p w14:paraId="314A4C57" w14:textId="4418E01C" w:rsidR="000235D8" w:rsidRPr="000D1DE6" w:rsidRDefault="000235D8" w:rsidP="00F46807">
      <w:pPr>
        <w:pStyle w:val="FootnoteText"/>
        <w:spacing w:after="120"/>
        <w:ind w:firstLine="720"/>
        <w:rPr>
          <w:rFonts w:asciiTheme="minorHAnsi" w:eastAsia="Cambria" w:hAnsiTheme="minorHAnsi" w:cs="Cambria"/>
          <w:lang w:val="es-MX"/>
        </w:rPr>
      </w:pPr>
      <w:r w:rsidRPr="000D1DE6">
        <w:rPr>
          <w:rStyle w:val="FootnoteReference"/>
          <w:rFonts w:asciiTheme="minorHAnsi" w:hAnsiTheme="minorHAnsi"/>
          <w:lang w:val="es-MX"/>
        </w:rPr>
        <w:footnoteRef/>
      </w:r>
      <w:r w:rsidRPr="000D1DE6">
        <w:rPr>
          <w:rFonts w:asciiTheme="minorHAnsi" w:eastAsia="Cambria" w:hAnsiTheme="minorHAnsi" w:cs="Cambria"/>
          <w:lang w:val="es-MX"/>
        </w:rPr>
        <w:t xml:space="preserve"> Secretaría de Gobernación, </w:t>
      </w:r>
      <w:hyperlink r:id="rId120">
        <w:r w:rsidRPr="000D1DE6">
          <w:rPr>
            <w:rStyle w:val="Hyperlink"/>
            <w:rFonts w:asciiTheme="minorHAnsi" w:eastAsia="Cambria" w:hAnsiTheme="minorHAnsi" w:cs="Cambria"/>
            <w:lang w:val="es-MX"/>
          </w:rPr>
          <w:t>Aprueba SNBP mecanismos de búsqueda de personas migrantes desaparecidas</w:t>
        </w:r>
      </w:hyperlink>
      <w:r w:rsidRPr="000D1DE6">
        <w:rPr>
          <w:rFonts w:asciiTheme="minorHAnsi" w:eastAsia="Cambria" w:hAnsiTheme="minorHAnsi" w:cs="Cambria"/>
          <w:lang w:val="es-MX"/>
        </w:rPr>
        <w:t xml:space="preserve">, 9 de noviembre de 2021; </w:t>
      </w:r>
      <w:r w:rsidRPr="000D1DE6">
        <w:rPr>
          <w:rFonts w:asciiTheme="minorHAnsi" w:hAnsiTheme="minorHAnsi"/>
          <w:lang w:val="es-MX"/>
        </w:rPr>
        <w:t xml:space="preserve">CNB, </w:t>
      </w:r>
      <w:hyperlink r:id="rId121" w:history="1">
        <w:r w:rsidRPr="000D1DE6">
          <w:rPr>
            <w:rStyle w:val="Hyperlink"/>
            <w:rFonts w:asciiTheme="minorHAnsi" w:hAnsiTheme="minorHAnsi"/>
            <w:lang w:val="es-MX"/>
          </w:rPr>
          <w:t>Segunda sesión ordinaria del Sistema Nacional de Búsqueda 2021</w:t>
        </w:r>
      </w:hyperlink>
      <w:r w:rsidRPr="000D1DE6">
        <w:rPr>
          <w:rFonts w:asciiTheme="minorHAnsi" w:hAnsiTheme="minorHAnsi"/>
          <w:lang w:val="es-MX"/>
        </w:rPr>
        <w:t xml:space="preserve">, 9 de noviembre de 2021; </w:t>
      </w:r>
      <w:r w:rsidRPr="000D1DE6">
        <w:rPr>
          <w:rFonts w:asciiTheme="minorHAnsi" w:eastAsia="Cambria" w:hAnsiTheme="minorHAnsi" w:cs="Cambria"/>
          <w:lang w:val="es-MX"/>
        </w:rPr>
        <w:t xml:space="preserve">CIDH, </w:t>
      </w:r>
      <w:hyperlink r:id="rId122" w:history="1">
        <w:r w:rsidRPr="000D1DE6">
          <w:rPr>
            <w:rStyle w:val="Hyperlink"/>
            <w:rFonts w:asciiTheme="minorHAnsi" w:eastAsia="Cambria" w:hAnsiTheme="minorHAnsi" w:cs="Cambria"/>
            <w:lang w:val="es-MX"/>
          </w:rPr>
          <w:t>https://twitter.com/CIDH/status/1458462923702128643?s=20</w:t>
        </w:r>
      </w:hyperlink>
      <w:r w:rsidRPr="000D1DE6">
        <w:rPr>
          <w:rFonts w:asciiTheme="minorHAnsi" w:eastAsia="Cambria" w:hAnsiTheme="minorHAnsi" w:cs="Cambria"/>
          <w:lang w:val="es-MX"/>
        </w:rPr>
        <w:t>, 10 de noviembre de 2021</w:t>
      </w:r>
      <w:r w:rsidRPr="000D1DE6">
        <w:rPr>
          <w:rFonts w:asciiTheme="minorHAnsi" w:hAnsiTheme="minorHAnsi"/>
          <w:lang w:val="es-MX"/>
        </w:rPr>
        <w:t>.</w:t>
      </w:r>
    </w:p>
  </w:footnote>
  <w:footnote w:id="172">
    <w:p w14:paraId="13552A8E" w14:textId="73579836" w:rsidR="000235D8" w:rsidRPr="000D1DE6" w:rsidRDefault="000235D8" w:rsidP="00F46807">
      <w:pPr>
        <w:pStyle w:val="FootnoteText"/>
        <w:spacing w:after="120"/>
        <w:ind w:firstLine="720"/>
        <w:rPr>
          <w:rFonts w:asciiTheme="minorHAnsi" w:hAnsiTheme="minorHAnsi"/>
          <w:lang w:val="es-MX"/>
        </w:rPr>
      </w:pPr>
      <w:r w:rsidRPr="000D1DE6">
        <w:rPr>
          <w:rStyle w:val="FootnoteReference"/>
          <w:rFonts w:asciiTheme="minorHAnsi" w:hAnsiTheme="minorHAnsi"/>
          <w:lang w:val="es-MX"/>
        </w:rPr>
        <w:footnoteRef/>
      </w:r>
      <w:r w:rsidRPr="000D1DE6">
        <w:rPr>
          <w:rFonts w:asciiTheme="minorHAnsi" w:hAnsiTheme="minorHAnsi"/>
          <w:lang w:val="es-MX"/>
        </w:rPr>
        <w:t xml:space="preserve"> Noveno Informe del Estado mexicano sobre el cumplimiento y seguimiento de las recomendaciones contenidas en el informe “Situación de los Derechos Humanos en México”, pág. 47</w:t>
      </w:r>
      <w:r w:rsidR="00DD4A85">
        <w:rPr>
          <w:rFonts w:asciiTheme="minorHAnsi" w:hAnsiTheme="minorHAnsi"/>
          <w:lang w:val="es-MX"/>
        </w:rPr>
        <w:t>.</w:t>
      </w:r>
    </w:p>
  </w:footnote>
  <w:footnote w:id="173">
    <w:p w14:paraId="3BB0C255" w14:textId="77777777" w:rsidR="000235D8" w:rsidRPr="000D1DE6" w:rsidRDefault="000235D8" w:rsidP="00F46807">
      <w:pPr>
        <w:pStyle w:val="FootnoteText"/>
        <w:spacing w:after="120"/>
        <w:ind w:firstLine="720"/>
        <w:rPr>
          <w:rFonts w:asciiTheme="minorHAnsi" w:hAnsiTheme="minorHAnsi"/>
          <w:lang w:val="es-MX"/>
        </w:rPr>
      </w:pPr>
      <w:r w:rsidRPr="000D1DE6">
        <w:rPr>
          <w:rStyle w:val="FootnoteReference"/>
          <w:rFonts w:asciiTheme="minorHAnsi" w:hAnsiTheme="minorHAnsi"/>
          <w:lang w:val="es-MX"/>
        </w:rPr>
        <w:footnoteRef/>
      </w:r>
      <w:r w:rsidRPr="000D1DE6">
        <w:rPr>
          <w:rFonts w:asciiTheme="minorHAnsi" w:hAnsiTheme="minorHAnsi"/>
          <w:lang w:val="es-MX"/>
        </w:rPr>
        <w:t xml:space="preserve"> Noveno Informe del Estado mexicano sobre el cumplimiento y seguimiento de las recomendaciones contenidas en el informe “Situación de los Derechos Humanos en México”, pág. 47.</w:t>
      </w:r>
    </w:p>
  </w:footnote>
  <w:footnote w:id="174">
    <w:p w14:paraId="3AC81077" w14:textId="6ED4FAC8" w:rsidR="000235D8" w:rsidRPr="000D1DE6" w:rsidRDefault="000235D8" w:rsidP="00F46807">
      <w:pPr>
        <w:pStyle w:val="FootnoteText"/>
        <w:spacing w:after="120"/>
        <w:ind w:firstLine="720"/>
        <w:rPr>
          <w:rFonts w:asciiTheme="minorHAnsi" w:hAnsiTheme="minorHAnsi"/>
          <w:lang w:val="es-MX"/>
        </w:rPr>
      </w:pPr>
      <w:r w:rsidRPr="000D1DE6">
        <w:rPr>
          <w:rStyle w:val="FootnoteReference"/>
          <w:rFonts w:asciiTheme="minorHAnsi" w:hAnsiTheme="minorHAnsi"/>
          <w:lang w:val="es-MX"/>
        </w:rPr>
        <w:footnoteRef/>
      </w:r>
      <w:r w:rsidRPr="000D1DE6">
        <w:rPr>
          <w:rFonts w:asciiTheme="minorHAnsi" w:hAnsiTheme="minorHAnsi"/>
          <w:lang w:val="es-MX"/>
        </w:rPr>
        <w:t xml:space="preserve"> Proceso, </w:t>
      </w:r>
      <w:hyperlink r:id="rId123" w:history="1">
        <w:r w:rsidRPr="000D1DE6">
          <w:rPr>
            <w:rStyle w:val="Hyperlink"/>
            <w:rFonts w:asciiTheme="minorHAnsi" w:hAnsiTheme="minorHAnsi"/>
            <w:lang w:val="es-MX"/>
          </w:rPr>
          <w:t>ONU-DH condena persecución de Estado contra Marcela Turati, Ana Lorena Delgadillo y Mercedes Doretti</w:t>
        </w:r>
      </w:hyperlink>
      <w:r w:rsidRPr="000D1DE6">
        <w:rPr>
          <w:rFonts w:asciiTheme="minorHAnsi" w:hAnsiTheme="minorHAnsi"/>
          <w:lang w:val="es-MX"/>
        </w:rPr>
        <w:t xml:space="preserve">, 8 de diciembre de 2021. La Lista, </w:t>
      </w:r>
      <w:hyperlink r:id="rId124" w:history="1">
        <w:r w:rsidRPr="000D1DE6">
          <w:rPr>
            <w:rStyle w:val="Hyperlink"/>
            <w:rFonts w:asciiTheme="minorHAnsi" w:hAnsiTheme="minorHAnsi"/>
            <w:lang w:val="es-MX"/>
          </w:rPr>
          <w:t>‘Violencia y corrupción hacen que personas sigan desapareciendo en México’</w:t>
        </w:r>
      </w:hyperlink>
      <w:r w:rsidRPr="000D1DE6">
        <w:rPr>
          <w:rFonts w:asciiTheme="minorHAnsi" w:hAnsiTheme="minorHAnsi"/>
          <w:lang w:val="es-MX"/>
        </w:rPr>
        <w:t xml:space="preserve">: Encinas, 6 de diciembre de 2021; El Economista, </w:t>
      </w:r>
      <w:hyperlink r:id="rId125" w:history="1">
        <w:r w:rsidRPr="000D1DE6">
          <w:rPr>
            <w:rStyle w:val="Hyperlink"/>
            <w:rFonts w:asciiTheme="minorHAnsi" w:hAnsiTheme="minorHAnsi"/>
            <w:lang w:val="es-MX"/>
          </w:rPr>
          <w:t>El Inai permitió la vigilancia telefónica; tres investigadoras de la masacre de San Fernando fueron espiadas</w:t>
        </w:r>
      </w:hyperlink>
      <w:r w:rsidRPr="000D1DE6">
        <w:rPr>
          <w:rFonts w:asciiTheme="minorHAnsi" w:hAnsiTheme="minorHAnsi"/>
          <w:lang w:val="es-MX"/>
        </w:rPr>
        <w:t xml:space="preserve">, 5 de diciembre de 2021. </w:t>
      </w:r>
    </w:p>
  </w:footnote>
  <w:footnote w:id="175">
    <w:p w14:paraId="37478929" w14:textId="08728643" w:rsidR="007B69C1" w:rsidRPr="000D1DE6" w:rsidRDefault="007B69C1" w:rsidP="00F46807">
      <w:pPr>
        <w:pStyle w:val="FootnoteText"/>
        <w:spacing w:after="120"/>
        <w:ind w:firstLine="720"/>
      </w:pPr>
      <w:r w:rsidRPr="000D1DE6">
        <w:rPr>
          <w:rStyle w:val="FootnoteReference"/>
        </w:rPr>
        <w:footnoteRef/>
      </w:r>
      <w:r w:rsidRPr="000D1DE6">
        <w:t xml:space="preserve"> </w:t>
      </w:r>
      <w:r w:rsidRPr="000D1DE6">
        <w:rPr>
          <w:rFonts w:asciiTheme="minorHAnsi" w:eastAsia="Cambria" w:hAnsiTheme="minorHAnsi" w:cs="Cambria"/>
          <w:color w:val="000000"/>
          <w:lang w:val="es-MX"/>
        </w:rPr>
        <w:t xml:space="preserve">Observaciones y comentarios del Estado de 24 de enero de 2022, pág. </w:t>
      </w:r>
      <w:r w:rsidRPr="000D1DE6">
        <w:rPr>
          <w:rFonts w:asciiTheme="minorHAnsi" w:eastAsia="Cambria" w:hAnsiTheme="minorHAnsi" w:cs="Cambria"/>
          <w:color w:val="000000"/>
        </w:rPr>
        <w:t>14.</w:t>
      </w:r>
    </w:p>
  </w:footnote>
  <w:footnote w:id="176">
    <w:p w14:paraId="4A7A9598" w14:textId="02774615" w:rsidR="000235D8" w:rsidRPr="000D1DE6" w:rsidRDefault="000235D8" w:rsidP="00F46807">
      <w:pPr>
        <w:pBdr>
          <w:top w:val="nil"/>
          <w:left w:val="nil"/>
          <w:bottom w:val="nil"/>
          <w:right w:val="nil"/>
          <w:between w:val="nil"/>
        </w:pBdr>
        <w:spacing w:after="120" w:line="240" w:lineRule="auto"/>
        <w:ind w:firstLine="720"/>
        <w:jc w:val="both"/>
        <w:rPr>
          <w:rFonts w:asciiTheme="minorHAnsi" w:eastAsia="Cambria" w:hAnsiTheme="minorHAnsi" w:cs="Cambria"/>
          <w:color w:val="000000"/>
          <w:sz w:val="18"/>
          <w:szCs w:val="18"/>
          <w:lang w:val="es-MX"/>
        </w:rPr>
      </w:pPr>
      <w:r w:rsidRPr="000D1DE6">
        <w:rPr>
          <w:rFonts w:asciiTheme="minorHAnsi" w:hAnsiTheme="minorHAnsi"/>
          <w:sz w:val="18"/>
          <w:szCs w:val="18"/>
          <w:vertAlign w:val="superscript"/>
          <w:lang w:val="es-MX"/>
        </w:rPr>
        <w:footnoteRef/>
      </w:r>
      <w:r w:rsidRPr="000D1DE6">
        <w:rPr>
          <w:rFonts w:asciiTheme="minorHAnsi" w:eastAsia="Cambria" w:hAnsiTheme="minorHAnsi" w:cs="Cambria"/>
          <w:color w:val="000000"/>
          <w:sz w:val="18"/>
          <w:szCs w:val="18"/>
          <w:lang w:val="es-MX"/>
        </w:rPr>
        <w:t xml:space="preserve"> Noveno Informe del Estado mexicano sobre el cumplimiento y seguimiento de las recomendaciones contenidas en el informe “Situación de los Derechos Humanos en México”, pág. 48</w:t>
      </w:r>
      <w:r w:rsidR="00DD4A85">
        <w:rPr>
          <w:rFonts w:asciiTheme="minorHAnsi" w:eastAsia="Cambria" w:hAnsiTheme="minorHAnsi" w:cs="Cambria"/>
          <w:color w:val="000000"/>
          <w:sz w:val="18"/>
          <w:szCs w:val="18"/>
          <w:lang w:val="es-MX"/>
        </w:rPr>
        <w:t>.</w:t>
      </w:r>
    </w:p>
  </w:footnote>
  <w:footnote w:id="177">
    <w:p w14:paraId="3467A5EB" w14:textId="542663F0" w:rsidR="000235D8" w:rsidRPr="000D1DE6" w:rsidRDefault="000235D8" w:rsidP="00F46807">
      <w:pPr>
        <w:pStyle w:val="FootnoteText"/>
        <w:spacing w:after="120"/>
        <w:ind w:firstLine="720"/>
        <w:rPr>
          <w:rFonts w:asciiTheme="minorHAnsi" w:hAnsiTheme="minorHAnsi"/>
          <w:lang w:val="es-MX"/>
        </w:rPr>
      </w:pPr>
      <w:r w:rsidRPr="000D1DE6">
        <w:rPr>
          <w:rStyle w:val="FootnoteReference"/>
          <w:rFonts w:asciiTheme="minorHAnsi" w:hAnsiTheme="minorHAnsi"/>
          <w:lang w:val="es-MX"/>
        </w:rPr>
        <w:footnoteRef/>
      </w:r>
      <w:r w:rsidRPr="000D1DE6">
        <w:rPr>
          <w:rFonts w:asciiTheme="minorHAnsi" w:hAnsiTheme="minorHAnsi"/>
          <w:lang w:val="es-MX"/>
        </w:rPr>
        <w:t xml:space="preserve"> CIDH, </w:t>
      </w:r>
      <w:hyperlink r:id="rId126" w:history="1">
        <w:r w:rsidRPr="000D1DE6">
          <w:rPr>
            <w:rStyle w:val="Hyperlink"/>
            <w:rFonts w:asciiTheme="minorHAnsi" w:hAnsiTheme="minorHAnsi"/>
            <w:lang w:val="es-MX"/>
          </w:rPr>
          <w:t>https://twitter.com/cidh/status/1400139116340260866</w:t>
        </w:r>
      </w:hyperlink>
      <w:r w:rsidRPr="000D1DE6">
        <w:rPr>
          <w:rFonts w:asciiTheme="minorHAnsi" w:hAnsiTheme="minorHAnsi"/>
          <w:lang w:val="es-MX"/>
        </w:rPr>
        <w:t>, 2 de junio de 2021.</w:t>
      </w:r>
    </w:p>
  </w:footnote>
  <w:footnote w:id="178">
    <w:p w14:paraId="42E8DC93" w14:textId="6ACA1202" w:rsidR="000235D8" w:rsidRPr="000D1DE6" w:rsidRDefault="000235D8" w:rsidP="00F46807">
      <w:pPr>
        <w:pStyle w:val="FootnoteText"/>
        <w:spacing w:after="120"/>
        <w:ind w:firstLine="720"/>
        <w:rPr>
          <w:rFonts w:asciiTheme="minorHAnsi" w:hAnsiTheme="minorHAnsi"/>
          <w:lang w:val="es-MX"/>
        </w:rPr>
      </w:pPr>
      <w:r w:rsidRPr="000D1DE6">
        <w:rPr>
          <w:rStyle w:val="FootnoteReference"/>
          <w:rFonts w:asciiTheme="minorHAnsi" w:hAnsiTheme="minorHAnsi"/>
          <w:lang w:val="es-MX"/>
        </w:rPr>
        <w:footnoteRef/>
      </w:r>
      <w:r w:rsidRPr="000D1DE6">
        <w:rPr>
          <w:rFonts w:asciiTheme="minorHAnsi" w:hAnsiTheme="minorHAnsi"/>
          <w:lang w:val="es-MX"/>
        </w:rPr>
        <w:t xml:space="preserve"> Centro PRODH, Informe de seguimiento al Informe “Situación de los derechos humanos en México” 2015, octubre de 2021, pág. 10.</w:t>
      </w:r>
    </w:p>
  </w:footnote>
  <w:footnote w:id="179">
    <w:p w14:paraId="75238AC7" w14:textId="4DE6DB9B" w:rsidR="000235D8" w:rsidRPr="000D1DE6" w:rsidRDefault="000235D8" w:rsidP="00F46807">
      <w:pPr>
        <w:pStyle w:val="FootnoteText"/>
        <w:spacing w:after="120"/>
        <w:ind w:firstLine="720"/>
        <w:rPr>
          <w:rFonts w:asciiTheme="minorHAnsi" w:hAnsiTheme="minorHAnsi"/>
          <w:lang w:val="es-MX"/>
        </w:rPr>
      </w:pPr>
      <w:r w:rsidRPr="000D1DE6">
        <w:rPr>
          <w:rStyle w:val="FootnoteReference"/>
          <w:rFonts w:asciiTheme="minorHAnsi" w:hAnsiTheme="minorHAnsi"/>
          <w:lang w:val="es-MX"/>
        </w:rPr>
        <w:footnoteRef/>
      </w:r>
      <w:r w:rsidRPr="000D1DE6">
        <w:rPr>
          <w:rFonts w:asciiTheme="minorHAnsi" w:hAnsiTheme="minorHAnsi"/>
          <w:lang w:val="es-MX"/>
        </w:rPr>
        <w:t xml:space="preserve"> Milenio, </w:t>
      </w:r>
      <w:hyperlink r:id="rId127" w:history="1">
        <w:r w:rsidRPr="000D1DE6">
          <w:rPr>
            <w:rStyle w:val="Hyperlink"/>
            <w:rFonts w:asciiTheme="minorHAnsi" w:hAnsiTheme="minorHAnsi"/>
            <w:lang w:val="es-MX"/>
          </w:rPr>
          <w:t>Acusan que PGR investigó a perito, abogada y periodista por masacre en San Fernando,</w:t>
        </w:r>
      </w:hyperlink>
      <w:r w:rsidRPr="000D1DE6">
        <w:rPr>
          <w:rFonts w:asciiTheme="minorHAnsi" w:hAnsiTheme="minorHAnsi"/>
          <w:lang w:val="es-MX"/>
        </w:rPr>
        <w:t xml:space="preserve"> 24 de noviembre de 2021. </w:t>
      </w:r>
    </w:p>
  </w:footnote>
  <w:footnote w:id="180">
    <w:p w14:paraId="168EECD2" w14:textId="23057B73" w:rsidR="000235D8" w:rsidRPr="000D1DE6" w:rsidRDefault="000235D8" w:rsidP="00F46807">
      <w:pPr>
        <w:pStyle w:val="FootnoteText"/>
        <w:spacing w:after="120"/>
        <w:ind w:firstLine="720"/>
        <w:rPr>
          <w:rFonts w:asciiTheme="minorHAnsi" w:hAnsiTheme="minorHAnsi"/>
          <w:lang w:val="es-MX"/>
        </w:rPr>
      </w:pPr>
      <w:r w:rsidRPr="000D1DE6">
        <w:rPr>
          <w:rStyle w:val="FootnoteReference"/>
          <w:rFonts w:asciiTheme="minorHAnsi" w:hAnsiTheme="minorHAnsi"/>
          <w:lang w:val="es-MX"/>
        </w:rPr>
        <w:footnoteRef/>
      </w:r>
      <w:r w:rsidRPr="000D1DE6">
        <w:rPr>
          <w:rFonts w:asciiTheme="minorHAnsi" w:hAnsiTheme="minorHAnsi"/>
          <w:lang w:val="es-MX"/>
        </w:rPr>
        <w:t xml:space="preserve"> PODER Latam, </w:t>
      </w:r>
      <w:hyperlink r:id="rId128" w:history="1">
        <w:r w:rsidRPr="000D1DE6">
          <w:rPr>
            <w:rStyle w:val="Hyperlink"/>
            <w:rFonts w:asciiTheme="minorHAnsi" w:hAnsiTheme="minorHAnsi"/>
            <w:lang w:val="es-MX"/>
          </w:rPr>
          <w:t>Los expedientes ocultos de la FGR sobre el caso Odebrecht son sólo seis contratos,</w:t>
        </w:r>
      </w:hyperlink>
      <w:r w:rsidRPr="000D1DE6">
        <w:rPr>
          <w:rFonts w:asciiTheme="minorHAnsi" w:hAnsiTheme="minorHAnsi"/>
          <w:lang w:val="es-MX"/>
        </w:rPr>
        <w:t xml:space="preserve"> 23 de noviembre de 2021. </w:t>
      </w:r>
    </w:p>
  </w:footnote>
  <w:footnote w:id="181">
    <w:p w14:paraId="14606C77" w14:textId="128CF39B" w:rsidR="000235D8" w:rsidRPr="000D1DE6" w:rsidRDefault="000235D8" w:rsidP="00F46807">
      <w:pPr>
        <w:pBdr>
          <w:top w:val="nil"/>
          <w:left w:val="nil"/>
          <w:bottom w:val="nil"/>
          <w:right w:val="nil"/>
          <w:between w:val="nil"/>
        </w:pBdr>
        <w:spacing w:after="120" w:line="240" w:lineRule="auto"/>
        <w:ind w:firstLine="720"/>
        <w:jc w:val="both"/>
        <w:rPr>
          <w:rFonts w:asciiTheme="minorHAnsi" w:eastAsia="Cambria" w:hAnsiTheme="minorHAnsi" w:cs="Cambria"/>
          <w:color w:val="000000"/>
          <w:sz w:val="18"/>
          <w:szCs w:val="18"/>
          <w:lang w:val="es-MX"/>
        </w:rPr>
      </w:pPr>
      <w:r w:rsidRPr="000D1DE6">
        <w:rPr>
          <w:rFonts w:asciiTheme="minorHAnsi" w:hAnsiTheme="minorHAnsi"/>
          <w:sz w:val="18"/>
          <w:szCs w:val="18"/>
          <w:vertAlign w:val="superscript"/>
          <w:lang w:val="es-MX"/>
        </w:rPr>
        <w:footnoteRef/>
      </w:r>
      <w:r w:rsidRPr="000D1DE6">
        <w:rPr>
          <w:rFonts w:asciiTheme="minorHAnsi" w:eastAsia="Cambria" w:hAnsiTheme="minorHAnsi" w:cs="Cambria"/>
          <w:color w:val="000000"/>
          <w:sz w:val="18"/>
          <w:szCs w:val="18"/>
          <w:lang w:val="es-MX"/>
        </w:rPr>
        <w:t xml:space="preserve"> Noveno Informe del Estado mexicano sobre el cumplimiento y seguimiento de las recomendaciones contenidas en el informe “Situación de los Derechos Humanos en México”, págs. 48 – 49. </w:t>
      </w:r>
    </w:p>
  </w:footnote>
  <w:footnote w:id="182">
    <w:p w14:paraId="17499AE8" w14:textId="77777777" w:rsidR="000235D8" w:rsidRPr="000D1DE6" w:rsidRDefault="000235D8" w:rsidP="00F46807">
      <w:pPr>
        <w:pStyle w:val="FootnoteText"/>
        <w:spacing w:after="120"/>
        <w:ind w:firstLine="720"/>
        <w:rPr>
          <w:rFonts w:asciiTheme="minorHAnsi" w:hAnsiTheme="minorHAnsi"/>
          <w:lang w:val="es-MX"/>
        </w:rPr>
      </w:pPr>
      <w:r w:rsidRPr="000D1DE6">
        <w:rPr>
          <w:rStyle w:val="FootnoteReference"/>
          <w:rFonts w:asciiTheme="minorHAnsi" w:hAnsiTheme="minorHAnsi"/>
          <w:lang w:val="es-MX"/>
        </w:rPr>
        <w:footnoteRef/>
      </w:r>
      <w:r w:rsidRPr="000D1DE6">
        <w:rPr>
          <w:rFonts w:asciiTheme="minorHAnsi" w:hAnsiTheme="minorHAnsi"/>
          <w:lang w:val="es-PE"/>
        </w:rPr>
        <w:t xml:space="preserve"> CIDH, </w:t>
      </w:r>
      <w:hyperlink r:id="rId129" w:history="1">
        <w:r w:rsidRPr="000D1DE6">
          <w:rPr>
            <w:rStyle w:val="Hyperlink"/>
            <w:rFonts w:asciiTheme="minorHAnsi" w:eastAsia="Cambria" w:hAnsiTheme="minorHAnsi" w:cs="Cambria"/>
            <w:lang w:val="es-PE"/>
          </w:rPr>
          <w:t>Informe Anual, México</w:t>
        </w:r>
      </w:hyperlink>
      <w:r w:rsidRPr="000D1DE6">
        <w:rPr>
          <w:rFonts w:asciiTheme="minorHAnsi" w:hAnsiTheme="minorHAnsi"/>
          <w:lang w:val="es-PE"/>
        </w:rPr>
        <w:t xml:space="preserve">, 2020, párr. </w:t>
      </w:r>
      <w:r w:rsidRPr="000D1DE6">
        <w:rPr>
          <w:rFonts w:asciiTheme="minorHAnsi" w:hAnsiTheme="minorHAnsi"/>
          <w:lang w:val="es-MX"/>
        </w:rPr>
        <w:t xml:space="preserve">81. </w:t>
      </w:r>
    </w:p>
  </w:footnote>
  <w:footnote w:id="183">
    <w:p w14:paraId="653F88E5" w14:textId="2C71CFF2" w:rsidR="000235D8" w:rsidRPr="000D1DE6" w:rsidRDefault="000235D8" w:rsidP="00F46807">
      <w:pPr>
        <w:pStyle w:val="FootnoteText"/>
        <w:spacing w:after="120"/>
        <w:ind w:firstLine="720"/>
        <w:rPr>
          <w:rFonts w:asciiTheme="minorHAnsi" w:hAnsiTheme="minorHAnsi"/>
          <w:lang w:val="es-MX"/>
        </w:rPr>
      </w:pPr>
      <w:r w:rsidRPr="000D1DE6">
        <w:rPr>
          <w:rStyle w:val="FootnoteReference"/>
          <w:rFonts w:asciiTheme="minorHAnsi" w:hAnsiTheme="minorHAnsi"/>
          <w:lang w:val="es-MX"/>
        </w:rPr>
        <w:footnoteRef/>
      </w:r>
      <w:r w:rsidRPr="000D1DE6">
        <w:rPr>
          <w:rFonts w:asciiTheme="minorHAnsi" w:hAnsiTheme="minorHAnsi"/>
          <w:lang w:val="es-MX"/>
        </w:rPr>
        <w:t xml:space="preserve"> Milenio, </w:t>
      </w:r>
      <w:hyperlink r:id="rId130" w:history="1">
        <w:r w:rsidRPr="000D1DE6">
          <w:rPr>
            <w:rStyle w:val="Hyperlink"/>
            <w:rFonts w:asciiTheme="minorHAnsi" w:hAnsiTheme="minorHAnsi"/>
            <w:lang w:val="es-MX"/>
          </w:rPr>
          <w:t>Jueces y magistrados ven impunidad en asesinato de Uriel Villegas Ortiz</w:t>
        </w:r>
      </w:hyperlink>
      <w:r w:rsidRPr="000D1DE6">
        <w:rPr>
          <w:rFonts w:asciiTheme="minorHAnsi" w:hAnsiTheme="minorHAnsi"/>
          <w:lang w:val="es-MX"/>
        </w:rPr>
        <w:t xml:space="preserve">, 17 de junio de 2021. </w:t>
      </w:r>
    </w:p>
  </w:footnote>
  <w:footnote w:id="184">
    <w:p w14:paraId="0C9D4E09" w14:textId="27FBCFB4" w:rsidR="000235D8" w:rsidRPr="000D1DE6" w:rsidRDefault="000235D8" w:rsidP="00F46807">
      <w:pPr>
        <w:pBdr>
          <w:top w:val="nil"/>
          <w:left w:val="nil"/>
          <w:bottom w:val="nil"/>
          <w:right w:val="nil"/>
          <w:between w:val="nil"/>
        </w:pBdr>
        <w:spacing w:after="120" w:line="240" w:lineRule="auto"/>
        <w:ind w:firstLine="720"/>
        <w:jc w:val="both"/>
        <w:rPr>
          <w:rFonts w:asciiTheme="minorHAnsi" w:eastAsia="Cambria" w:hAnsiTheme="minorHAnsi" w:cs="Cambria"/>
          <w:color w:val="000000"/>
          <w:sz w:val="18"/>
          <w:szCs w:val="18"/>
          <w:lang w:val="es-MX"/>
        </w:rPr>
      </w:pPr>
      <w:r w:rsidRPr="000D1DE6">
        <w:rPr>
          <w:rFonts w:asciiTheme="minorHAnsi" w:hAnsiTheme="minorHAnsi"/>
          <w:sz w:val="18"/>
          <w:szCs w:val="18"/>
          <w:vertAlign w:val="superscript"/>
          <w:lang w:val="es-MX"/>
        </w:rPr>
        <w:footnoteRef/>
      </w:r>
      <w:r w:rsidRPr="000D1DE6">
        <w:rPr>
          <w:rFonts w:asciiTheme="minorHAnsi" w:eastAsia="Cambria" w:hAnsiTheme="minorHAnsi" w:cs="Cambria"/>
          <w:color w:val="000000"/>
          <w:sz w:val="18"/>
          <w:szCs w:val="18"/>
          <w:lang w:val="es-MX"/>
        </w:rPr>
        <w:t xml:space="preserve"> Noveno Informe del Estado mexicano sobre el cumplimiento y seguimiento de las recomendaciones contenidas en el informe “Situación de los Derechos Humanos en México”, págs. 49 – 51. </w:t>
      </w:r>
    </w:p>
  </w:footnote>
  <w:footnote w:id="185">
    <w:p w14:paraId="14606C7B" w14:textId="0E93792B" w:rsidR="000235D8" w:rsidRPr="000D1DE6" w:rsidRDefault="000235D8" w:rsidP="00F46807">
      <w:pPr>
        <w:pBdr>
          <w:top w:val="nil"/>
          <w:left w:val="nil"/>
          <w:bottom w:val="nil"/>
          <w:right w:val="nil"/>
          <w:between w:val="nil"/>
        </w:pBdr>
        <w:spacing w:after="120" w:line="240" w:lineRule="auto"/>
        <w:ind w:firstLine="720"/>
        <w:jc w:val="both"/>
        <w:rPr>
          <w:rFonts w:asciiTheme="minorHAnsi" w:eastAsia="Cambria" w:hAnsiTheme="minorHAnsi" w:cs="Cambria"/>
          <w:color w:val="000000"/>
          <w:sz w:val="18"/>
          <w:szCs w:val="18"/>
          <w:lang w:val="es-MX"/>
        </w:rPr>
      </w:pPr>
      <w:r w:rsidRPr="000D1DE6">
        <w:rPr>
          <w:rFonts w:asciiTheme="minorHAnsi" w:hAnsiTheme="minorHAnsi"/>
          <w:sz w:val="18"/>
          <w:szCs w:val="18"/>
          <w:vertAlign w:val="superscript"/>
          <w:lang w:val="es-MX"/>
        </w:rPr>
        <w:footnoteRef/>
      </w:r>
      <w:r w:rsidRPr="000D1DE6">
        <w:rPr>
          <w:rFonts w:asciiTheme="minorHAnsi" w:eastAsia="Cambria" w:hAnsiTheme="minorHAnsi" w:cs="Cambria"/>
          <w:color w:val="000000"/>
          <w:sz w:val="18"/>
          <w:szCs w:val="18"/>
          <w:lang w:val="es-MX"/>
        </w:rPr>
        <w:t xml:space="preserve"> Animal Político, </w:t>
      </w:r>
      <w:hyperlink r:id="rId131" w:history="1">
        <w:r w:rsidRPr="000D1DE6">
          <w:rPr>
            <w:rStyle w:val="Hyperlink"/>
            <w:rFonts w:asciiTheme="minorHAnsi" w:eastAsia="Cambria" w:hAnsiTheme="minorHAnsi" w:cs="Cambria"/>
            <w:sz w:val="18"/>
            <w:szCs w:val="18"/>
            <w:lang w:val="es-MX"/>
          </w:rPr>
          <w:t>CEAV operará en 2022 con déficit de más de mil 600 millones; peligran pagos y contrataciones</w:t>
        </w:r>
      </w:hyperlink>
      <w:r w:rsidRPr="000D1DE6">
        <w:rPr>
          <w:rFonts w:asciiTheme="minorHAnsi" w:eastAsia="Cambria" w:hAnsiTheme="minorHAnsi" w:cs="Cambria"/>
          <w:color w:val="000000"/>
          <w:sz w:val="18"/>
          <w:szCs w:val="18"/>
          <w:lang w:val="es-MX"/>
        </w:rPr>
        <w:t xml:space="preserve">, 8 de diciembre de 2021. </w:t>
      </w:r>
    </w:p>
  </w:footnote>
  <w:footnote w:id="186">
    <w:p w14:paraId="1EFF3257" w14:textId="035F5CD9" w:rsidR="002F1A6A" w:rsidRPr="000D1DE6" w:rsidRDefault="002F1A6A" w:rsidP="00F46807">
      <w:pPr>
        <w:pStyle w:val="FootnoteText"/>
        <w:spacing w:after="120"/>
        <w:ind w:firstLine="720"/>
      </w:pPr>
      <w:r w:rsidRPr="000D1DE6">
        <w:rPr>
          <w:rStyle w:val="FootnoteReference"/>
        </w:rPr>
        <w:footnoteRef/>
      </w:r>
      <w:r w:rsidRPr="000D1DE6">
        <w:t xml:space="preserve">  </w:t>
      </w:r>
      <w:r w:rsidRPr="000D1DE6">
        <w:rPr>
          <w:rFonts w:asciiTheme="minorHAnsi" w:eastAsia="Cambria" w:hAnsiTheme="minorHAnsi" w:cs="Cambria"/>
          <w:color w:val="000000"/>
          <w:lang w:val="es-MX"/>
        </w:rPr>
        <w:t>Observaciones y comentarios del Estado de 24 de enero de 2022, pág</w:t>
      </w:r>
      <w:r w:rsidR="00DD4A85">
        <w:t>.</w:t>
      </w:r>
      <w:r w:rsidRPr="000D1DE6">
        <w:t>15.</w:t>
      </w:r>
    </w:p>
  </w:footnote>
  <w:footnote w:id="187">
    <w:p w14:paraId="62F07207" w14:textId="2383A240" w:rsidR="000235D8" w:rsidRPr="000D1DE6" w:rsidRDefault="000235D8" w:rsidP="00F46807">
      <w:pPr>
        <w:pStyle w:val="FootnoteText"/>
        <w:spacing w:after="120"/>
        <w:ind w:firstLine="720"/>
        <w:rPr>
          <w:rFonts w:asciiTheme="minorHAnsi" w:hAnsiTheme="minorHAnsi"/>
          <w:lang w:val="es-MX"/>
        </w:rPr>
      </w:pPr>
      <w:r w:rsidRPr="000D1DE6">
        <w:rPr>
          <w:rStyle w:val="FootnoteReference"/>
          <w:rFonts w:asciiTheme="minorHAnsi" w:hAnsiTheme="minorHAnsi"/>
          <w:lang w:val="es-MX"/>
        </w:rPr>
        <w:footnoteRef/>
      </w:r>
      <w:r w:rsidRPr="000D1DE6">
        <w:rPr>
          <w:rFonts w:asciiTheme="minorHAnsi" w:hAnsiTheme="minorHAnsi"/>
          <w:lang w:val="es-MX"/>
        </w:rPr>
        <w:t xml:space="preserve"> La Jornada, </w:t>
      </w:r>
      <w:hyperlink r:id="rId132" w:history="1">
        <w:r w:rsidRPr="000D1DE6">
          <w:rPr>
            <w:rStyle w:val="Hyperlink"/>
            <w:rFonts w:asciiTheme="minorHAnsi" w:hAnsiTheme="minorHAnsi"/>
            <w:lang w:val="es-MX"/>
          </w:rPr>
          <w:t>Colectivos y familiares urgen al Senado a que nombre titular de CEAV,</w:t>
        </w:r>
      </w:hyperlink>
      <w:r w:rsidRPr="000D1DE6">
        <w:rPr>
          <w:rFonts w:asciiTheme="minorHAnsi" w:hAnsiTheme="minorHAnsi"/>
          <w:lang w:val="es-MX"/>
        </w:rPr>
        <w:t xml:space="preserve"> 3 de octubre de 2021; Senado de la República, </w:t>
      </w:r>
      <w:hyperlink r:id="rId133" w:anchor=":~:text=Carlos%20Andr%C3%A9s%20V%C3%A1zquez%20Murillo%20fue,como%20encargada%20de%20la%20Comisi%C3%B3n." w:history="1">
        <w:r w:rsidRPr="000D1DE6">
          <w:rPr>
            <w:rStyle w:val="Hyperlink"/>
            <w:rFonts w:asciiTheme="minorHAnsi" w:hAnsiTheme="minorHAnsi"/>
            <w:lang w:val="es-MX"/>
          </w:rPr>
          <w:t>Proponen aumentar requisitos para presidir la CEAV,</w:t>
        </w:r>
      </w:hyperlink>
      <w:r w:rsidRPr="000D1DE6">
        <w:rPr>
          <w:rFonts w:asciiTheme="minorHAnsi" w:hAnsiTheme="minorHAnsi"/>
          <w:lang w:val="es-MX"/>
        </w:rPr>
        <w:t xml:space="preserve"> 11 de febrero de 2021.</w:t>
      </w:r>
    </w:p>
  </w:footnote>
  <w:footnote w:id="188">
    <w:p w14:paraId="73A7F0DC" w14:textId="5217B29F" w:rsidR="000235D8" w:rsidRPr="000D1DE6" w:rsidRDefault="000235D8" w:rsidP="00F46807">
      <w:pPr>
        <w:pStyle w:val="FootnoteText"/>
        <w:spacing w:after="120"/>
        <w:ind w:firstLine="720"/>
        <w:rPr>
          <w:rFonts w:asciiTheme="minorHAnsi" w:hAnsiTheme="minorHAnsi"/>
          <w:lang w:val="es-MX"/>
        </w:rPr>
      </w:pPr>
      <w:r w:rsidRPr="000D1DE6">
        <w:rPr>
          <w:rStyle w:val="FootnoteReference"/>
          <w:rFonts w:asciiTheme="minorHAnsi" w:hAnsiTheme="minorHAnsi"/>
          <w:lang w:val="es-MX"/>
        </w:rPr>
        <w:footnoteRef/>
      </w:r>
      <w:r w:rsidRPr="000D1DE6">
        <w:rPr>
          <w:rFonts w:asciiTheme="minorHAnsi" w:hAnsiTheme="minorHAnsi"/>
          <w:lang w:val="es-MX"/>
        </w:rPr>
        <w:t xml:space="preserve"> </w:t>
      </w:r>
      <w:r w:rsidRPr="000D1DE6">
        <w:rPr>
          <w:rFonts w:asciiTheme="minorHAnsi" w:eastAsia="Cambria" w:hAnsiTheme="minorHAnsi" w:cs="Cambria"/>
          <w:lang w:val="es-MX"/>
        </w:rPr>
        <w:t xml:space="preserve">Diario Oficial de la Federación, </w:t>
      </w:r>
      <w:hyperlink r:id="rId134" w:history="1">
        <w:r w:rsidRPr="000D1DE6">
          <w:rPr>
            <w:rStyle w:val="Hyperlink"/>
            <w:rFonts w:asciiTheme="minorHAnsi" w:hAnsiTheme="minorHAnsi"/>
            <w:lang w:val="es-MX"/>
          </w:rPr>
          <w:t>Decreto por el que se crea la Comisión para el Acceso a la Verdad, el Esclarecimiento Histórico y el Impulso a la Justicia de las violaciones graves a los derechos humanos cometidas de 1965 a 1990</w:t>
        </w:r>
      </w:hyperlink>
      <w:r w:rsidRPr="000D1DE6">
        <w:rPr>
          <w:rFonts w:asciiTheme="minorHAnsi" w:hAnsiTheme="minorHAnsi"/>
          <w:lang w:val="es-MX"/>
        </w:rPr>
        <w:t>, 6 de octubre de 2021.</w:t>
      </w:r>
    </w:p>
  </w:footnote>
  <w:footnote w:id="189">
    <w:p w14:paraId="64C820A3" w14:textId="401D201E" w:rsidR="000235D8" w:rsidRPr="000D1DE6" w:rsidRDefault="000235D8" w:rsidP="00F46807">
      <w:pPr>
        <w:pStyle w:val="FootnoteText"/>
        <w:spacing w:after="120"/>
        <w:ind w:firstLine="720"/>
        <w:rPr>
          <w:rFonts w:asciiTheme="minorHAnsi" w:hAnsiTheme="minorHAnsi"/>
          <w:lang w:val="es-MX"/>
        </w:rPr>
      </w:pPr>
      <w:r w:rsidRPr="000D1DE6">
        <w:rPr>
          <w:rStyle w:val="FootnoteReference"/>
          <w:rFonts w:asciiTheme="minorHAnsi" w:hAnsiTheme="minorHAnsi"/>
          <w:lang w:val="es-MX"/>
        </w:rPr>
        <w:footnoteRef/>
      </w:r>
      <w:r w:rsidRPr="000D1DE6">
        <w:rPr>
          <w:rFonts w:asciiTheme="minorHAnsi" w:hAnsiTheme="minorHAnsi"/>
          <w:lang w:val="es-MX"/>
        </w:rPr>
        <w:t xml:space="preserve"> Noveno Informe del Estado mexicano sobre el cumplimiento y seguimiento de las recomendaciones contenidas en el informe “Situación de los Derechos Humanos en México”, págs. 52 – 54.</w:t>
      </w:r>
    </w:p>
  </w:footnote>
  <w:footnote w:id="190">
    <w:p w14:paraId="56D37639" w14:textId="0E7C794B" w:rsidR="000235D8" w:rsidRPr="000D1DE6" w:rsidRDefault="000235D8" w:rsidP="00F46807">
      <w:pPr>
        <w:pStyle w:val="FootnoteText"/>
        <w:spacing w:after="120"/>
        <w:ind w:firstLine="720"/>
        <w:rPr>
          <w:rFonts w:asciiTheme="minorHAnsi" w:hAnsiTheme="minorHAnsi"/>
          <w:lang w:val="es-MX"/>
        </w:rPr>
      </w:pPr>
      <w:r w:rsidRPr="000D1DE6">
        <w:rPr>
          <w:rStyle w:val="FootnoteReference"/>
          <w:rFonts w:asciiTheme="minorHAnsi" w:hAnsiTheme="minorHAnsi"/>
          <w:lang w:val="es-MX"/>
        </w:rPr>
        <w:footnoteRef/>
      </w:r>
      <w:r w:rsidRPr="000D1DE6">
        <w:rPr>
          <w:rFonts w:asciiTheme="minorHAnsi" w:hAnsiTheme="minorHAnsi"/>
          <w:lang w:val="es-MX"/>
        </w:rPr>
        <w:t xml:space="preserve"> Animal Político, </w:t>
      </w:r>
      <w:hyperlink r:id="rId135" w:history="1">
        <w:r w:rsidRPr="000D1DE6">
          <w:rPr>
            <w:rStyle w:val="Hyperlink"/>
            <w:rFonts w:asciiTheme="minorHAnsi" w:hAnsiTheme="minorHAnsi"/>
            <w:lang w:val="es-MX"/>
          </w:rPr>
          <w:t>El mecanismo extraordinario para la “Guerra Sucia”: luces y sombras</w:t>
        </w:r>
      </w:hyperlink>
      <w:r w:rsidRPr="000D1DE6">
        <w:rPr>
          <w:rFonts w:asciiTheme="minorHAnsi" w:hAnsiTheme="minorHAnsi"/>
          <w:lang w:val="es-MX"/>
        </w:rPr>
        <w:t>, 28 de octubre de 2021.</w:t>
      </w:r>
    </w:p>
  </w:footnote>
  <w:footnote w:id="191">
    <w:p w14:paraId="3F522D4A" w14:textId="5E6CC43B" w:rsidR="000235D8" w:rsidRPr="000D1DE6" w:rsidRDefault="000235D8" w:rsidP="00F46807">
      <w:pPr>
        <w:pStyle w:val="FootnoteText"/>
        <w:spacing w:after="120"/>
        <w:ind w:firstLine="720"/>
        <w:rPr>
          <w:rFonts w:asciiTheme="minorHAnsi" w:hAnsiTheme="minorHAnsi"/>
          <w:lang w:val="es-MX"/>
        </w:rPr>
      </w:pPr>
      <w:r w:rsidRPr="000D1DE6">
        <w:rPr>
          <w:rStyle w:val="FootnoteReference"/>
          <w:rFonts w:asciiTheme="minorHAnsi" w:hAnsiTheme="minorHAnsi"/>
          <w:lang w:val="es-MX"/>
        </w:rPr>
        <w:footnoteRef/>
      </w:r>
      <w:r w:rsidRPr="000D1DE6">
        <w:rPr>
          <w:rFonts w:asciiTheme="minorHAnsi" w:hAnsiTheme="minorHAnsi"/>
          <w:lang w:val="es-MX"/>
        </w:rPr>
        <w:t xml:space="preserve"> Centro PRODH, Informe de seguimiento al Informe “Situación de los derechos humanos en México” 2015, octubre de 2021, pág. 17.</w:t>
      </w:r>
    </w:p>
  </w:footnote>
  <w:footnote w:id="192">
    <w:p w14:paraId="0AA62DFD" w14:textId="77777777" w:rsidR="000235D8" w:rsidRPr="000D1DE6" w:rsidRDefault="000235D8" w:rsidP="00F46807">
      <w:pPr>
        <w:pStyle w:val="FootnoteText"/>
        <w:spacing w:after="120"/>
        <w:ind w:firstLine="720"/>
        <w:rPr>
          <w:rFonts w:asciiTheme="minorHAnsi" w:hAnsiTheme="minorHAnsi"/>
          <w:lang w:val="es-MX"/>
        </w:rPr>
      </w:pPr>
      <w:r w:rsidRPr="000D1DE6">
        <w:rPr>
          <w:rStyle w:val="FootnoteReference"/>
          <w:rFonts w:asciiTheme="minorHAnsi" w:hAnsiTheme="minorHAnsi"/>
          <w:lang w:val="es-MX"/>
        </w:rPr>
        <w:footnoteRef/>
      </w:r>
      <w:r w:rsidRPr="000D1DE6">
        <w:rPr>
          <w:rFonts w:asciiTheme="minorHAnsi" w:hAnsiTheme="minorHAnsi"/>
          <w:lang w:val="es-MX"/>
        </w:rPr>
        <w:t xml:space="preserve"> Secretaría de Gobernación, </w:t>
      </w:r>
      <w:hyperlink r:id="rId136" w:history="1">
        <w:r w:rsidRPr="000D1DE6">
          <w:rPr>
            <w:rStyle w:val="Hyperlink"/>
            <w:rFonts w:asciiTheme="minorHAnsi" w:hAnsiTheme="minorHAnsi"/>
            <w:lang w:val="es-MX"/>
          </w:rPr>
          <w:t>Se crea comisión para acceso a la verdad y justicia por violaciones graves a derechos humanos durante Guerra Sucia</w:t>
        </w:r>
      </w:hyperlink>
      <w:r w:rsidRPr="000D1DE6">
        <w:rPr>
          <w:rFonts w:asciiTheme="minorHAnsi" w:hAnsiTheme="minorHAnsi"/>
          <w:lang w:val="es-MX"/>
        </w:rPr>
        <w:t>, 7 de octubre de 2021.</w:t>
      </w:r>
    </w:p>
  </w:footnote>
  <w:footnote w:id="193">
    <w:p w14:paraId="1922BF1E" w14:textId="18DC4D3A" w:rsidR="000235D8" w:rsidRPr="000D1DE6" w:rsidRDefault="000235D8" w:rsidP="00F46807">
      <w:pPr>
        <w:pBdr>
          <w:top w:val="nil"/>
          <w:left w:val="nil"/>
          <w:bottom w:val="nil"/>
          <w:right w:val="nil"/>
          <w:between w:val="nil"/>
        </w:pBdr>
        <w:spacing w:after="120" w:line="240" w:lineRule="auto"/>
        <w:ind w:firstLine="720"/>
        <w:jc w:val="both"/>
        <w:rPr>
          <w:rFonts w:asciiTheme="minorHAnsi" w:eastAsia="Cambria" w:hAnsiTheme="minorHAnsi" w:cs="Cambria"/>
          <w:color w:val="000000"/>
          <w:sz w:val="18"/>
          <w:szCs w:val="18"/>
          <w:lang w:val="es-MX"/>
        </w:rPr>
      </w:pPr>
      <w:r w:rsidRPr="000D1DE6">
        <w:rPr>
          <w:rFonts w:asciiTheme="minorHAnsi" w:hAnsiTheme="minorHAnsi"/>
          <w:sz w:val="18"/>
          <w:szCs w:val="18"/>
          <w:vertAlign w:val="superscript"/>
          <w:lang w:val="es-MX"/>
        </w:rPr>
        <w:footnoteRef/>
      </w:r>
      <w:r w:rsidRPr="000D1DE6">
        <w:rPr>
          <w:rFonts w:asciiTheme="minorHAnsi" w:eastAsia="Cambria" w:hAnsiTheme="minorHAnsi" w:cs="Cambria"/>
          <w:color w:val="000000"/>
          <w:sz w:val="18"/>
          <w:szCs w:val="18"/>
          <w:lang w:val="es-MX"/>
        </w:rPr>
        <w:t xml:space="preserve"> Noveno Informe del Estado mexicano sobre el cumplimiento y seguimiento de las recomendaciones contenidas en el informe “Situación de los Derechos Humanos en México”, pág. 54 – 55.</w:t>
      </w:r>
    </w:p>
  </w:footnote>
  <w:footnote w:id="194">
    <w:p w14:paraId="6891A7FD" w14:textId="77777777" w:rsidR="000235D8" w:rsidRPr="000D1DE6" w:rsidRDefault="000235D8" w:rsidP="00F46807">
      <w:pPr>
        <w:pStyle w:val="FootnoteText"/>
        <w:spacing w:after="120"/>
        <w:ind w:firstLine="720"/>
        <w:rPr>
          <w:rFonts w:asciiTheme="minorHAnsi" w:hAnsiTheme="minorHAnsi"/>
          <w:lang w:val="es-MX"/>
        </w:rPr>
      </w:pPr>
      <w:r w:rsidRPr="000D1DE6">
        <w:rPr>
          <w:rStyle w:val="FootnoteReference"/>
          <w:rFonts w:asciiTheme="minorHAnsi" w:hAnsiTheme="minorHAnsi"/>
          <w:lang w:val="es-MX"/>
        </w:rPr>
        <w:footnoteRef/>
      </w:r>
      <w:r w:rsidRPr="000D1DE6">
        <w:rPr>
          <w:rFonts w:asciiTheme="minorHAnsi" w:hAnsiTheme="minorHAnsi"/>
          <w:lang w:val="es-MX"/>
        </w:rPr>
        <w:t xml:space="preserve"> Excélsior, </w:t>
      </w:r>
      <w:hyperlink r:id="rId137" w:history="1">
        <w:r w:rsidRPr="000D1DE6">
          <w:rPr>
            <w:rStyle w:val="Hyperlink"/>
            <w:rFonts w:asciiTheme="minorHAnsi" w:hAnsiTheme="minorHAnsi"/>
            <w:lang w:val="es-MX"/>
          </w:rPr>
          <w:t>Mecanismo de protección a periodistas está rebasado y es insuficiente: Encinas</w:t>
        </w:r>
      </w:hyperlink>
      <w:r w:rsidRPr="000D1DE6">
        <w:rPr>
          <w:rFonts w:asciiTheme="minorHAnsi" w:hAnsiTheme="minorHAnsi"/>
          <w:lang w:val="es-MX"/>
        </w:rPr>
        <w:t>, 1 de diciembre de 2021.</w:t>
      </w:r>
    </w:p>
  </w:footnote>
  <w:footnote w:id="195">
    <w:p w14:paraId="42C18C8D" w14:textId="11C5D2F4" w:rsidR="002F1A6A" w:rsidRPr="000D1DE6" w:rsidRDefault="002F1A6A" w:rsidP="00F46807">
      <w:pPr>
        <w:pStyle w:val="FootnoteText"/>
        <w:spacing w:after="120"/>
        <w:ind w:firstLine="720"/>
      </w:pPr>
      <w:r w:rsidRPr="000D1DE6">
        <w:rPr>
          <w:rStyle w:val="FootnoteReference"/>
        </w:rPr>
        <w:footnoteRef/>
      </w:r>
      <w:r w:rsidRPr="000D1DE6">
        <w:t xml:space="preserve"> </w:t>
      </w:r>
      <w:r w:rsidRPr="000D1DE6">
        <w:rPr>
          <w:rFonts w:asciiTheme="minorHAnsi" w:eastAsia="Cambria" w:hAnsiTheme="minorHAnsi" w:cs="Cambria"/>
          <w:color w:val="000000"/>
          <w:lang w:val="es-MX"/>
        </w:rPr>
        <w:t>Observaciones y comentarios del Estado de 24 de enero de 2022, pág</w:t>
      </w:r>
      <w:r w:rsidRPr="000D1DE6">
        <w:t xml:space="preserve"> 15.</w:t>
      </w:r>
    </w:p>
  </w:footnote>
  <w:footnote w:id="196">
    <w:p w14:paraId="3B2C975E" w14:textId="375E29E9" w:rsidR="000235D8" w:rsidRPr="000D1DE6" w:rsidRDefault="000235D8" w:rsidP="00F46807">
      <w:pPr>
        <w:pBdr>
          <w:top w:val="nil"/>
          <w:left w:val="nil"/>
          <w:bottom w:val="nil"/>
          <w:right w:val="nil"/>
          <w:between w:val="nil"/>
        </w:pBdr>
        <w:spacing w:after="120" w:line="240" w:lineRule="auto"/>
        <w:ind w:firstLine="720"/>
        <w:jc w:val="both"/>
        <w:rPr>
          <w:rFonts w:asciiTheme="minorHAnsi" w:eastAsia="Cambria" w:hAnsiTheme="minorHAnsi" w:cs="Cambria"/>
          <w:color w:val="000000"/>
          <w:sz w:val="18"/>
          <w:szCs w:val="18"/>
          <w:lang w:val="es-MX"/>
        </w:rPr>
      </w:pPr>
      <w:r w:rsidRPr="000D1DE6">
        <w:rPr>
          <w:rFonts w:asciiTheme="minorHAnsi" w:hAnsiTheme="minorHAnsi"/>
          <w:sz w:val="18"/>
          <w:szCs w:val="18"/>
          <w:vertAlign w:val="superscript"/>
          <w:lang w:val="es-MX"/>
        </w:rPr>
        <w:footnoteRef/>
      </w:r>
      <w:r w:rsidRPr="000D1DE6">
        <w:rPr>
          <w:rFonts w:asciiTheme="minorHAnsi" w:eastAsia="Cambria" w:hAnsiTheme="minorHAnsi" w:cs="Cambria"/>
          <w:color w:val="000000"/>
          <w:sz w:val="18"/>
          <w:szCs w:val="18"/>
          <w:lang w:val="es-MX"/>
        </w:rPr>
        <w:t xml:space="preserve"> Noveno Informe del Estado mexicano sobre el cumplimiento y seguimiento de las recomendaciones contenidas en el informe “Situación de los Derechos Humanos en México”, pág. 56; CIDH, </w:t>
      </w:r>
      <w:hyperlink r:id="rId138" w:history="1">
        <w:r w:rsidRPr="000D1DE6">
          <w:rPr>
            <w:rStyle w:val="Hyperlink"/>
            <w:rFonts w:asciiTheme="minorHAnsi" w:eastAsia="Cambria" w:hAnsiTheme="minorHAnsi" w:cs="Cambria"/>
            <w:sz w:val="18"/>
            <w:szCs w:val="18"/>
            <w:lang w:val="es-MX"/>
          </w:rPr>
          <w:t>Informe Anual, México</w:t>
        </w:r>
      </w:hyperlink>
      <w:r w:rsidRPr="000D1DE6">
        <w:rPr>
          <w:rFonts w:asciiTheme="minorHAnsi" w:eastAsia="Cambria" w:hAnsiTheme="minorHAnsi" w:cs="Cambria"/>
          <w:color w:val="000000"/>
          <w:sz w:val="18"/>
          <w:szCs w:val="18"/>
          <w:lang w:val="es-MX"/>
        </w:rPr>
        <w:t xml:space="preserve"> 2020, párr. 156; CIDH, </w:t>
      </w:r>
      <w:hyperlink r:id="rId139">
        <w:r w:rsidRPr="000D1DE6">
          <w:rPr>
            <w:rFonts w:asciiTheme="minorHAnsi" w:eastAsia="Cambria" w:hAnsiTheme="minorHAnsi" w:cs="Cambria"/>
            <w:color w:val="0000FF"/>
            <w:sz w:val="18"/>
            <w:szCs w:val="18"/>
            <w:u w:val="single"/>
            <w:lang w:val="es-MX"/>
          </w:rPr>
          <w:t>Informe Anual, México,</w:t>
        </w:r>
      </w:hyperlink>
      <w:r w:rsidRPr="000D1DE6">
        <w:rPr>
          <w:rFonts w:asciiTheme="minorHAnsi" w:eastAsia="Cambria" w:hAnsiTheme="minorHAnsi" w:cs="Cambria"/>
          <w:color w:val="000000"/>
          <w:sz w:val="18"/>
          <w:szCs w:val="18"/>
          <w:lang w:val="es-MX"/>
        </w:rPr>
        <w:t xml:space="preserve"> 2019, párr. 150. </w:t>
      </w:r>
    </w:p>
  </w:footnote>
  <w:footnote w:id="197">
    <w:p w14:paraId="14606C8E" w14:textId="573D8986" w:rsidR="000235D8" w:rsidRPr="000D1DE6" w:rsidRDefault="000235D8" w:rsidP="00F46807">
      <w:pPr>
        <w:pBdr>
          <w:top w:val="nil"/>
          <w:left w:val="nil"/>
          <w:bottom w:val="nil"/>
          <w:right w:val="nil"/>
          <w:between w:val="nil"/>
        </w:pBdr>
        <w:spacing w:after="120" w:line="240" w:lineRule="auto"/>
        <w:ind w:firstLine="720"/>
        <w:jc w:val="both"/>
        <w:rPr>
          <w:rFonts w:asciiTheme="minorHAnsi" w:eastAsia="Cambria" w:hAnsiTheme="minorHAnsi" w:cs="Cambria"/>
          <w:color w:val="000000"/>
          <w:sz w:val="18"/>
          <w:szCs w:val="18"/>
          <w:lang w:val="es-MX"/>
        </w:rPr>
      </w:pPr>
      <w:r w:rsidRPr="000D1DE6">
        <w:rPr>
          <w:rFonts w:asciiTheme="minorHAnsi" w:hAnsiTheme="minorHAnsi"/>
          <w:sz w:val="18"/>
          <w:szCs w:val="18"/>
          <w:vertAlign w:val="superscript"/>
          <w:lang w:val="es-MX"/>
        </w:rPr>
        <w:footnoteRef/>
      </w:r>
      <w:r w:rsidRPr="000D1DE6">
        <w:rPr>
          <w:rFonts w:asciiTheme="minorHAnsi" w:eastAsia="Cambria" w:hAnsiTheme="minorHAnsi" w:cs="Cambria"/>
          <w:color w:val="000000"/>
          <w:sz w:val="18"/>
          <w:szCs w:val="18"/>
          <w:lang w:val="es-MX"/>
        </w:rPr>
        <w:t xml:space="preserve"> Centro PRODH, Informe de seguimiento al Informe “Situación de los derechos humanos en México” 2015, 27 de octubre de 2020, pág. 12.</w:t>
      </w:r>
    </w:p>
  </w:footnote>
  <w:footnote w:id="198">
    <w:p w14:paraId="14606C8F" w14:textId="77777777" w:rsidR="000235D8" w:rsidRPr="000D1DE6" w:rsidRDefault="000235D8" w:rsidP="00F46807">
      <w:pPr>
        <w:pBdr>
          <w:top w:val="nil"/>
          <w:left w:val="nil"/>
          <w:bottom w:val="nil"/>
          <w:right w:val="nil"/>
          <w:between w:val="nil"/>
        </w:pBdr>
        <w:spacing w:after="120" w:line="240" w:lineRule="auto"/>
        <w:ind w:firstLine="720"/>
        <w:jc w:val="both"/>
        <w:rPr>
          <w:rFonts w:asciiTheme="minorHAnsi" w:eastAsia="Cambria" w:hAnsiTheme="minorHAnsi" w:cs="Cambria"/>
          <w:color w:val="000000"/>
          <w:sz w:val="18"/>
          <w:szCs w:val="18"/>
          <w:lang w:val="es-MX"/>
        </w:rPr>
      </w:pPr>
      <w:r w:rsidRPr="000D1DE6">
        <w:rPr>
          <w:rFonts w:asciiTheme="minorHAnsi" w:hAnsiTheme="minorHAnsi"/>
          <w:sz w:val="18"/>
          <w:szCs w:val="18"/>
          <w:vertAlign w:val="superscript"/>
          <w:lang w:val="es-MX"/>
        </w:rPr>
        <w:footnoteRef/>
      </w:r>
      <w:r w:rsidRPr="000D1DE6">
        <w:rPr>
          <w:rFonts w:asciiTheme="minorHAnsi" w:eastAsia="Cambria" w:hAnsiTheme="minorHAnsi" w:cs="Cambria"/>
          <w:color w:val="000000"/>
          <w:sz w:val="18"/>
          <w:szCs w:val="18"/>
          <w:lang w:val="pt-BR"/>
        </w:rPr>
        <w:t xml:space="preserve"> CIDH, </w:t>
      </w:r>
      <w:hyperlink r:id="rId140">
        <w:r w:rsidRPr="000D1DE6">
          <w:rPr>
            <w:rFonts w:asciiTheme="minorHAnsi" w:eastAsia="Cambria" w:hAnsiTheme="minorHAnsi" w:cs="Cambria"/>
            <w:color w:val="0000FF"/>
            <w:sz w:val="18"/>
            <w:szCs w:val="18"/>
            <w:u w:val="single"/>
            <w:lang w:val="pt-BR"/>
          </w:rPr>
          <w:t>Informe Anual, México</w:t>
        </w:r>
      </w:hyperlink>
      <w:r w:rsidRPr="000D1DE6">
        <w:rPr>
          <w:rFonts w:asciiTheme="minorHAnsi" w:eastAsia="Cambria" w:hAnsiTheme="minorHAnsi" w:cs="Cambria"/>
          <w:color w:val="000000"/>
          <w:sz w:val="18"/>
          <w:szCs w:val="18"/>
          <w:lang w:val="pt-BR"/>
        </w:rPr>
        <w:t xml:space="preserve">, 2017, párr. </w:t>
      </w:r>
      <w:r w:rsidRPr="000D1DE6">
        <w:rPr>
          <w:rFonts w:asciiTheme="minorHAnsi" w:eastAsia="Cambria" w:hAnsiTheme="minorHAnsi" w:cs="Cambria"/>
          <w:color w:val="000000"/>
          <w:sz w:val="18"/>
          <w:szCs w:val="18"/>
          <w:lang w:val="es-MX"/>
        </w:rPr>
        <w:t>129.</w:t>
      </w:r>
    </w:p>
  </w:footnote>
  <w:footnote w:id="199">
    <w:p w14:paraId="14606C90" w14:textId="77777777" w:rsidR="000235D8" w:rsidRPr="000D1DE6" w:rsidRDefault="000235D8" w:rsidP="00F46807">
      <w:pPr>
        <w:pBdr>
          <w:top w:val="nil"/>
          <w:left w:val="nil"/>
          <w:bottom w:val="nil"/>
          <w:right w:val="nil"/>
          <w:between w:val="nil"/>
        </w:pBdr>
        <w:spacing w:after="120" w:line="240" w:lineRule="auto"/>
        <w:ind w:firstLine="720"/>
        <w:jc w:val="both"/>
        <w:rPr>
          <w:rFonts w:asciiTheme="minorHAnsi" w:eastAsia="Cambria" w:hAnsiTheme="minorHAnsi" w:cs="Cambria"/>
          <w:color w:val="000000"/>
          <w:sz w:val="18"/>
          <w:szCs w:val="18"/>
          <w:lang w:val="es-MX"/>
        </w:rPr>
      </w:pPr>
      <w:r w:rsidRPr="000D1DE6">
        <w:rPr>
          <w:rFonts w:asciiTheme="minorHAnsi" w:hAnsiTheme="minorHAnsi"/>
          <w:sz w:val="18"/>
          <w:szCs w:val="18"/>
          <w:vertAlign w:val="superscript"/>
          <w:lang w:val="es-MX"/>
        </w:rPr>
        <w:footnoteRef/>
      </w:r>
      <w:r w:rsidRPr="000D1DE6">
        <w:rPr>
          <w:rFonts w:asciiTheme="minorHAnsi" w:eastAsia="Cambria" w:hAnsiTheme="minorHAnsi" w:cs="Cambria"/>
          <w:color w:val="000000"/>
          <w:sz w:val="18"/>
          <w:szCs w:val="18"/>
          <w:lang w:val="es-MX"/>
        </w:rPr>
        <w:t xml:space="preserve"> Corte IDH, </w:t>
      </w:r>
      <w:hyperlink r:id="rId141">
        <w:r w:rsidRPr="000D1DE6">
          <w:rPr>
            <w:rFonts w:asciiTheme="minorHAnsi" w:eastAsia="Cambria" w:hAnsiTheme="minorHAnsi" w:cs="Cambria"/>
            <w:color w:val="0000FF"/>
            <w:sz w:val="18"/>
            <w:szCs w:val="18"/>
            <w:u w:val="single"/>
            <w:lang w:val="es-MX"/>
          </w:rPr>
          <w:t>Supervisión de Cumplimiento de Sentencia, Casos Radilla Pacheco, Fernández Ortega y otros, Rosendo Cantú y otros vs. México</w:t>
        </w:r>
      </w:hyperlink>
      <w:r w:rsidRPr="000D1DE6">
        <w:rPr>
          <w:rFonts w:asciiTheme="minorHAnsi" w:eastAsia="Cambria" w:hAnsiTheme="minorHAnsi" w:cs="Cambria"/>
          <w:color w:val="000000"/>
          <w:sz w:val="18"/>
          <w:szCs w:val="18"/>
          <w:lang w:val="es-MX"/>
        </w:rPr>
        <w:t xml:space="preserve">, 17 de abril de 2015, párr. 20; Corte IDH, </w:t>
      </w:r>
      <w:hyperlink r:id="rId142">
        <w:r w:rsidRPr="000D1DE6">
          <w:rPr>
            <w:rFonts w:asciiTheme="minorHAnsi" w:eastAsia="Cambria" w:hAnsiTheme="minorHAnsi" w:cs="Cambria"/>
            <w:color w:val="0000FF"/>
            <w:sz w:val="18"/>
            <w:szCs w:val="18"/>
            <w:u w:val="single"/>
            <w:lang w:val="es-MX"/>
          </w:rPr>
          <w:t>Supervisión de Cumplimiento de Sentencia, Caso Cabrera García y Montiel Flores vs. México</w:t>
        </w:r>
      </w:hyperlink>
      <w:r w:rsidRPr="000D1DE6">
        <w:rPr>
          <w:rFonts w:asciiTheme="minorHAnsi" w:eastAsia="Cambria" w:hAnsiTheme="minorHAnsi" w:cs="Cambria"/>
          <w:color w:val="000000"/>
          <w:sz w:val="18"/>
          <w:szCs w:val="18"/>
          <w:lang w:val="es-MX"/>
        </w:rPr>
        <w:t>, 24 de junio de 2020, párr. 1.</w:t>
      </w:r>
    </w:p>
  </w:footnote>
  <w:footnote w:id="200">
    <w:p w14:paraId="50C54FA9" w14:textId="1652745A" w:rsidR="000235D8" w:rsidRPr="000D1DE6" w:rsidRDefault="000235D8" w:rsidP="00F46807">
      <w:pPr>
        <w:pStyle w:val="FootnoteText"/>
        <w:spacing w:after="120"/>
        <w:ind w:firstLine="720"/>
        <w:rPr>
          <w:rFonts w:asciiTheme="minorHAnsi" w:hAnsiTheme="minorHAnsi"/>
          <w:lang w:val="es-MX"/>
        </w:rPr>
      </w:pPr>
      <w:r w:rsidRPr="000D1DE6">
        <w:rPr>
          <w:rStyle w:val="FootnoteReference"/>
          <w:rFonts w:asciiTheme="minorHAnsi" w:hAnsiTheme="minorHAnsi"/>
          <w:lang w:val="es-MX"/>
        </w:rPr>
        <w:footnoteRef/>
      </w:r>
      <w:r w:rsidRPr="000D1DE6">
        <w:rPr>
          <w:rFonts w:asciiTheme="minorHAnsi" w:hAnsiTheme="minorHAnsi"/>
          <w:lang w:val="es-MX"/>
        </w:rPr>
        <w:t xml:space="preserve"> Noveno Informe del Estado mexicano sobre el cumplimiento y seguimiento de las recomendaciones contenidas en el informe “Situación de los Derechos Humanos en México”, pág. 57 – 58.</w:t>
      </w:r>
    </w:p>
  </w:footnote>
  <w:footnote w:id="201">
    <w:p w14:paraId="3127A172" w14:textId="457D6361" w:rsidR="000235D8" w:rsidRPr="000D1DE6" w:rsidRDefault="000235D8" w:rsidP="00F46807">
      <w:pPr>
        <w:pStyle w:val="FootnoteText"/>
        <w:spacing w:after="120"/>
        <w:ind w:firstLine="720"/>
        <w:rPr>
          <w:rFonts w:asciiTheme="minorHAnsi" w:hAnsiTheme="minorHAnsi"/>
          <w:lang w:val="es-MX"/>
        </w:rPr>
      </w:pPr>
      <w:r w:rsidRPr="000D1DE6">
        <w:rPr>
          <w:rStyle w:val="FootnoteReference"/>
          <w:rFonts w:asciiTheme="minorHAnsi" w:hAnsiTheme="minorHAnsi"/>
          <w:lang w:val="es-MX"/>
        </w:rPr>
        <w:footnoteRef/>
      </w:r>
      <w:r w:rsidRPr="000D1DE6">
        <w:rPr>
          <w:rFonts w:asciiTheme="minorHAnsi" w:hAnsiTheme="minorHAnsi"/>
          <w:lang w:val="es-MX"/>
        </w:rPr>
        <w:t xml:space="preserve"> Noveno Informe del Estado mexicano sobre el cumplimiento y seguimiento de las recomendaciones contenidas en el informe “Situación de los Derechos Humanos en México”, pág. 57-58. </w:t>
      </w:r>
      <w:r w:rsidRPr="000D1DE6">
        <w:rPr>
          <w:rFonts w:asciiTheme="minorHAnsi" w:hAnsiTheme="minorHAnsi"/>
        </w:rPr>
        <w:t>Entre los cursos y programa de capacitación reportados por el Estado se mencionan los siguientes:</w:t>
      </w:r>
      <w:r w:rsidRPr="000D1DE6">
        <w:rPr>
          <w:rFonts w:asciiTheme="minorHAnsi" w:hAnsiTheme="minorHAnsi"/>
          <w:lang w:val="es-MX"/>
        </w:rPr>
        <w:t xml:space="preserve"> “Maestría en Justicia Adversarial”, “Programa de formación permanente sobre Derechos Humanos y Proceso penal”, “Diplomado dirigido a secretarios de órganos jurisdiccionales competencia en el nuevo sistema de justicia penal”, “Especialidad en Justicia para Adolescentes”, “Conversatorio Interinstitucional Prospectivas para la Prevención, Combate e Impartición de Justicia del Delito de Operaciones con Recursos de Procedencia Ilícita”, “Curso de Derechos Humanos y Prueba en el Proceso Penal” y “Curso sobre el Protocolo de Estambul y su interacción con el Poder Judicial de la Federación”. El Estado también informó a la CIDH la realización de los siguientes cursos bajo la conducción de la Escuela Federal de Formación Judicial: “Curso de inducción para Administradores y Administradoras de los Centros de Justicia Penal Federal”, “Curso el razonamiento probatorio en la función de la defensa pública en el proceso penal acusatorio” y “Diplomado Destrezas para la conducción y decisión en audiencias”</w:t>
      </w:r>
      <w:r w:rsidR="00DD4A85">
        <w:rPr>
          <w:rFonts w:asciiTheme="minorHAnsi" w:hAnsiTheme="minorHAnsi"/>
          <w:lang w:val="es-MX"/>
        </w:rPr>
        <w:t>.</w:t>
      </w:r>
    </w:p>
  </w:footnote>
  <w:footnote w:id="202">
    <w:p w14:paraId="5A5BA8EC" w14:textId="38793EC4" w:rsidR="002F1A6A" w:rsidRPr="000D1DE6" w:rsidRDefault="002F1A6A" w:rsidP="00F46807">
      <w:pPr>
        <w:pStyle w:val="FootnoteText"/>
        <w:spacing w:after="120"/>
        <w:ind w:firstLine="720"/>
      </w:pPr>
      <w:r w:rsidRPr="000D1DE6">
        <w:rPr>
          <w:rStyle w:val="FootnoteReference"/>
        </w:rPr>
        <w:footnoteRef/>
      </w:r>
      <w:r w:rsidRPr="000D1DE6">
        <w:t xml:space="preserve">  </w:t>
      </w:r>
      <w:r w:rsidRPr="000D1DE6">
        <w:rPr>
          <w:rFonts w:eastAsia="Cambria" w:cs="Cambria"/>
          <w:lang w:val="es-MX"/>
        </w:rPr>
        <w:t xml:space="preserve">En sus observaciones al proyecto del presente informe, el Estado refirió a 11 informes semestrales que dan cuenta al Congreso de la Unión, en los que se puede acceder en este enlace: https://www.cjf.gob.mx/sjpa/ En dichos informes se pueden consultar datos cuantitativos y cualitativos sobre estas dos fases, tales como: (i) el número de Centros de Justicia Penal Federal (CJPF) por entidad federativa; (ii) salas de audiencias por CJPF; (iii) número de jueces en funciones de control, enjuiciamiento y ejecución; (iv) fortalecimiento de la infraestructura de los CJPF; (v) uso efectivo de salas de audiencia; (vi) cargas de trabajo por causas penales; (vii) asuntos en trámite por entidad federativa a nivel federal; (viii) acciones sustantivas de frente a la consolidación; (ix) datos en torno a la operación de los CJPF y de las personas imputadas, entre otros. </w:t>
      </w:r>
      <w:r w:rsidRPr="000D1DE6">
        <w:rPr>
          <w:rFonts w:asciiTheme="minorHAnsi" w:eastAsia="Cambria" w:hAnsiTheme="minorHAnsi" w:cs="Cambria"/>
          <w:color w:val="000000"/>
          <w:lang w:val="es-MX"/>
        </w:rPr>
        <w:t>Observaciones y comentarios del Estado de 24 de enero de 2022, pág</w:t>
      </w:r>
      <w:r w:rsidRPr="000D1DE6">
        <w:t xml:space="preserve"> 16.</w:t>
      </w:r>
    </w:p>
  </w:footnote>
  <w:footnote w:id="203">
    <w:p w14:paraId="14606C9A" w14:textId="77777777" w:rsidR="000235D8" w:rsidRPr="000D1DE6" w:rsidRDefault="000235D8" w:rsidP="00F46807">
      <w:pPr>
        <w:pBdr>
          <w:top w:val="nil"/>
          <w:left w:val="nil"/>
          <w:bottom w:val="nil"/>
          <w:right w:val="nil"/>
          <w:between w:val="nil"/>
        </w:pBdr>
        <w:spacing w:after="120" w:line="240" w:lineRule="auto"/>
        <w:ind w:firstLine="720"/>
        <w:jc w:val="both"/>
        <w:rPr>
          <w:rFonts w:asciiTheme="minorHAnsi" w:eastAsia="Cambria" w:hAnsiTheme="minorHAnsi" w:cs="Cambria"/>
          <w:color w:val="000000"/>
          <w:sz w:val="18"/>
          <w:szCs w:val="18"/>
          <w:lang w:val="es-MX"/>
        </w:rPr>
      </w:pPr>
      <w:r w:rsidRPr="000D1DE6">
        <w:rPr>
          <w:rFonts w:asciiTheme="minorHAnsi" w:hAnsiTheme="minorHAnsi"/>
          <w:sz w:val="18"/>
          <w:szCs w:val="18"/>
          <w:vertAlign w:val="superscript"/>
          <w:lang w:val="es-MX"/>
        </w:rPr>
        <w:footnoteRef/>
      </w:r>
      <w:r w:rsidRPr="000D1DE6">
        <w:rPr>
          <w:rFonts w:asciiTheme="minorHAnsi" w:eastAsia="Cambria" w:hAnsiTheme="minorHAnsi" w:cs="Cambria"/>
          <w:color w:val="000000"/>
          <w:sz w:val="18"/>
          <w:szCs w:val="18"/>
          <w:lang w:val="es-MX"/>
        </w:rPr>
        <w:t xml:space="preserve"> Si bien en el informe de 2015 se utilizó la expresión “LGBT” para referirse al grupo de personas conformadas por lesbianas, gays, bisexuales y transgénero. La CIDH deja constancia que en desarrollos posteriores la CIDH se referido al grupo “LGBTI” reconociendo en la letra “i” a las personas intersexuales. Tomando en consideración que el Estado también ha utilizado las siglas “LGBTI”, en adelante se utilizará en este informe las siglas “LGBTI. </w:t>
      </w:r>
    </w:p>
  </w:footnote>
  <w:footnote w:id="204">
    <w:p w14:paraId="30D77F26" w14:textId="775BBE45" w:rsidR="000235D8" w:rsidRPr="000D1DE6" w:rsidRDefault="000235D8" w:rsidP="00F46807">
      <w:pPr>
        <w:pStyle w:val="FootnoteText"/>
        <w:spacing w:after="120"/>
        <w:ind w:firstLine="720"/>
        <w:rPr>
          <w:rFonts w:asciiTheme="minorHAnsi" w:hAnsiTheme="minorHAnsi"/>
          <w:lang w:val="es-MX"/>
        </w:rPr>
      </w:pPr>
      <w:r w:rsidRPr="000D1DE6">
        <w:rPr>
          <w:rStyle w:val="FootnoteReference"/>
          <w:rFonts w:asciiTheme="minorHAnsi" w:hAnsiTheme="minorHAnsi"/>
          <w:lang w:val="es-MX"/>
        </w:rPr>
        <w:footnoteRef/>
      </w:r>
      <w:r w:rsidRPr="000D1DE6">
        <w:rPr>
          <w:rFonts w:asciiTheme="minorHAnsi" w:hAnsiTheme="minorHAnsi"/>
          <w:lang w:val="es-MX"/>
        </w:rPr>
        <w:t xml:space="preserve"> Noveno Informe del Estado mexicano sobre el cumplimiento y seguimiento de las recomendaciones contenidas en el informe “Situación de los Derechos Humanos en México”, págs. 58 – 59. </w:t>
      </w:r>
    </w:p>
  </w:footnote>
  <w:footnote w:id="205">
    <w:p w14:paraId="0325025F" w14:textId="17DAD6DC" w:rsidR="00EF41B3" w:rsidRPr="000D1DE6" w:rsidRDefault="00EF41B3" w:rsidP="00F46807">
      <w:pPr>
        <w:pStyle w:val="FootnoteText"/>
        <w:spacing w:after="120"/>
        <w:ind w:firstLine="720"/>
        <w:rPr>
          <w:rFonts w:asciiTheme="minorHAnsi" w:hAnsiTheme="minorHAnsi"/>
        </w:rPr>
      </w:pPr>
      <w:r w:rsidRPr="000D1DE6">
        <w:rPr>
          <w:rStyle w:val="FootnoteReference"/>
          <w:rFonts w:asciiTheme="minorHAnsi" w:hAnsiTheme="minorHAnsi"/>
        </w:rPr>
        <w:footnoteRef/>
      </w:r>
      <w:r w:rsidRPr="000D1DE6">
        <w:rPr>
          <w:rFonts w:asciiTheme="minorHAnsi" w:hAnsiTheme="minorHAnsi"/>
        </w:rPr>
        <w:t xml:space="preserve"> CIDH, </w:t>
      </w:r>
      <w:hyperlink r:id="rId143" w:history="1">
        <w:r w:rsidRPr="000D1DE6">
          <w:rPr>
            <w:rStyle w:val="Hyperlink"/>
            <w:rFonts w:asciiTheme="minorHAnsi" w:hAnsiTheme="minorHAnsi"/>
          </w:rPr>
          <w:t>Informe de la CNDH al SIMORE</w:t>
        </w:r>
      </w:hyperlink>
      <w:r w:rsidRPr="000D1DE6">
        <w:rPr>
          <w:rFonts w:asciiTheme="minorHAnsi" w:hAnsiTheme="minorHAnsi"/>
        </w:rPr>
        <w:t xml:space="preserve">, 17 de diciembre de 2021.  </w:t>
      </w:r>
    </w:p>
  </w:footnote>
  <w:footnote w:id="206">
    <w:p w14:paraId="56359FE2" w14:textId="7A0E84C0" w:rsidR="000235D8" w:rsidRPr="000D1DE6" w:rsidRDefault="000235D8" w:rsidP="00F46807">
      <w:pPr>
        <w:pStyle w:val="FootnoteText"/>
        <w:spacing w:after="120"/>
        <w:ind w:firstLine="720"/>
        <w:rPr>
          <w:rFonts w:asciiTheme="minorHAnsi" w:eastAsia="Cambria" w:hAnsiTheme="minorHAnsi" w:cs="Cambria"/>
          <w:lang w:val="es-MX"/>
        </w:rPr>
      </w:pPr>
      <w:r w:rsidRPr="000D1DE6">
        <w:rPr>
          <w:rStyle w:val="FootnoteReference"/>
          <w:rFonts w:asciiTheme="minorHAnsi" w:hAnsiTheme="minorHAnsi"/>
          <w:lang w:val="es-MX"/>
        </w:rPr>
        <w:footnoteRef/>
      </w:r>
      <w:r w:rsidRPr="000D1DE6">
        <w:rPr>
          <w:rFonts w:asciiTheme="minorHAnsi" w:hAnsiTheme="minorHAnsi"/>
          <w:lang w:val="es-MX"/>
        </w:rPr>
        <w:t xml:space="preserve"> </w:t>
      </w:r>
      <w:r w:rsidRPr="000D1DE6">
        <w:rPr>
          <w:rFonts w:asciiTheme="minorHAnsi" w:eastAsia="Cambria" w:hAnsiTheme="minorHAnsi" w:cs="Cambria"/>
          <w:lang w:val="es-MX"/>
        </w:rPr>
        <w:t xml:space="preserve">Incluyendo el </w:t>
      </w:r>
      <w:hyperlink r:id="rId144">
        <w:r w:rsidRPr="000D1DE6">
          <w:rPr>
            <w:rStyle w:val="Hyperlink"/>
            <w:rFonts w:asciiTheme="minorHAnsi" w:eastAsia="Cambria" w:hAnsiTheme="minorHAnsi" w:cs="Cambria"/>
            <w:lang w:val="es-MX"/>
          </w:rPr>
          <w:t>Protocolo Nacional de Actuación para el Personal de las Instancias de Procuración de Justicia, en casos que involucren la Orientación Sexual o la Identidad de Género</w:t>
        </w:r>
      </w:hyperlink>
      <w:r w:rsidRPr="000D1DE6">
        <w:rPr>
          <w:rFonts w:asciiTheme="minorHAnsi" w:eastAsia="Cambria" w:hAnsiTheme="minorHAnsi" w:cs="Cambria"/>
          <w:lang w:val="es-MX"/>
        </w:rPr>
        <w:t xml:space="preserve">, aprobado por la Procuraduría General de la República en 2017. </w:t>
      </w:r>
    </w:p>
  </w:footnote>
  <w:footnote w:id="207">
    <w:p w14:paraId="62437B17" w14:textId="2F559F90" w:rsidR="000235D8" w:rsidRPr="000D1DE6" w:rsidRDefault="000235D8" w:rsidP="00F46807">
      <w:pPr>
        <w:pStyle w:val="Heading1"/>
        <w:numPr>
          <w:ilvl w:val="0"/>
          <w:numId w:val="0"/>
        </w:numPr>
        <w:shd w:val="clear" w:color="auto" w:fill="FFFFFF"/>
        <w:spacing w:before="0" w:after="120"/>
        <w:ind w:firstLine="720"/>
        <w:rPr>
          <w:rFonts w:asciiTheme="minorHAnsi" w:hAnsiTheme="minorHAnsi" w:cs="Segoe UI"/>
          <w:b w:val="0"/>
          <w:sz w:val="18"/>
          <w:szCs w:val="18"/>
          <w:lang w:val="es-MX"/>
        </w:rPr>
      </w:pPr>
      <w:r w:rsidRPr="000D1DE6">
        <w:rPr>
          <w:rStyle w:val="FootnoteReference"/>
          <w:rFonts w:asciiTheme="minorHAnsi" w:hAnsiTheme="minorHAnsi"/>
          <w:b w:val="0"/>
          <w:sz w:val="18"/>
          <w:szCs w:val="18"/>
          <w:lang w:val="es-MX"/>
        </w:rPr>
        <w:footnoteRef/>
      </w:r>
      <w:r w:rsidRPr="000D1DE6">
        <w:rPr>
          <w:rFonts w:asciiTheme="minorHAnsi" w:hAnsiTheme="minorHAnsi"/>
          <w:b w:val="0"/>
          <w:sz w:val="18"/>
          <w:szCs w:val="18"/>
          <w:lang w:val="es-MX"/>
        </w:rPr>
        <w:t xml:space="preserve"> Estamos Aquí MX </w:t>
      </w:r>
      <w:hyperlink r:id="rId145" w:history="1">
        <w:r w:rsidRPr="000D1DE6">
          <w:rPr>
            <w:rStyle w:val="Hyperlink"/>
            <w:rFonts w:asciiTheme="minorHAnsi" w:hAnsiTheme="minorHAnsi"/>
            <w:b w:val="0"/>
            <w:sz w:val="18"/>
            <w:szCs w:val="18"/>
            <w:lang w:val="es-MX"/>
          </w:rPr>
          <w:t>Crímenes de odio se castigarán en Quintana Roo. Congreso aprueba reformas al Código Penal</w:t>
        </w:r>
      </w:hyperlink>
      <w:r w:rsidRPr="000D1DE6">
        <w:rPr>
          <w:rFonts w:asciiTheme="minorHAnsi" w:hAnsiTheme="minorHAnsi"/>
          <w:b w:val="0"/>
          <w:sz w:val="18"/>
          <w:szCs w:val="18"/>
          <w:lang w:val="es-MX"/>
        </w:rPr>
        <w:t>, 4 de septiembre de 2021.</w:t>
      </w:r>
    </w:p>
  </w:footnote>
  <w:footnote w:id="208">
    <w:p w14:paraId="51D600F7" w14:textId="77777777" w:rsidR="000235D8" w:rsidRPr="000D1DE6" w:rsidRDefault="000235D8" w:rsidP="00F46807">
      <w:pPr>
        <w:pStyle w:val="Heading1"/>
        <w:numPr>
          <w:ilvl w:val="0"/>
          <w:numId w:val="0"/>
        </w:numPr>
        <w:spacing w:before="0" w:after="120"/>
        <w:ind w:firstLine="720"/>
        <w:rPr>
          <w:rFonts w:asciiTheme="minorHAnsi" w:hAnsiTheme="minorHAnsi"/>
          <w:b w:val="0"/>
          <w:sz w:val="18"/>
          <w:szCs w:val="18"/>
          <w:lang w:val="es-MX"/>
        </w:rPr>
      </w:pPr>
      <w:r w:rsidRPr="000D1DE6">
        <w:rPr>
          <w:rStyle w:val="FootnoteReference"/>
          <w:rFonts w:asciiTheme="minorHAnsi" w:hAnsiTheme="minorHAnsi"/>
          <w:b w:val="0"/>
          <w:sz w:val="18"/>
          <w:szCs w:val="18"/>
          <w:lang w:val="es-MX"/>
        </w:rPr>
        <w:footnoteRef/>
      </w:r>
      <w:r w:rsidRPr="000D1DE6">
        <w:rPr>
          <w:rFonts w:asciiTheme="minorHAnsi" w:hAnsiTheme="minorHAnsi"/>
          <w:b w:val="0"/>
          <w:sz w:val="18"/>
          <w:szCs w:val="18"/>
          <w:lang w:val="es-MX"/>
        </w:rPr>
        <w:t xml:space="preserve"> Proceso, </w:t>
      </w:r>
      <w:hyperlink>
        <w:r w:rsidRPr="000D1DE6">
          <w:rPr>
            <w:rStyle w:val="Hyperlink"/>
            <w:rFonts w:asciiTheme="minorHAnsi" w:hAnsiTheme="minorHAnsi"/>
            <w:b w:val="0"/>
            <w:sz w:val="18"/>
            <w:szCs w:val="18"/>
            <w:lang w:val="es-MX"/>
          </w:rPr>
          <w:t>Fiscal ofrece disculpa pública por el transfeminicidio de Paola Buenrostro en CDMX,</w:t>
        </w:r>
      </w:hyperlink>
      <w:r w:rsidRPr="000D1DE6">
        <w:rPr>
          <w:rFonts w:asciiTheme="minorHAnsi" w:hAnsiTheme="minorHAnsi"/>
          <w:b w:val="0"/>
          <w:sz w:val="18"/>
          <w:szCs w:val="18"/>
          <w:lang w:val="es-MX"/>
        </w:rPr>
        <w:t xml:space="preserve"> 1 de octubre de 2021. </w:t>
      </w:r>
    </w:p>
  </w:footnote>
  <w:footnote w:id="209">
    <w:p w14:paraId="268CE1E1" w14:textId="77777777" w:rsidR="000235D8" w:rsidRPr="000D1DE6" w:rsidRDefault="000235D8" w:rsidP="00F46807">
      <w:pPr>
        <w:pStyle w:val="FootnoteText"/>
        <w:spacing w:after="120"/>
        <w:ind w:firstLine="720"/>
        <w:rPr>
          <w:rFonts w:asciiTheme="minorHAnsi" w:hAnsiTheme="minorHAnsi"/>
          <w:lang w:val="es-MX"/>
        </w:rPr>
      </w:pPr>
      <w:r w:rsidRPr="000D1DE6">
        <w:rPr>
          <w:rStyle w:val="FootnoteReference"/>
          <w:rFonts w:asciiTheme="minorHAnsi" w:hAnsiTheme="minorHAnsi"/>
          <w:lang w:val="es-MX"/>
        </w:rPr>
        <w:footnoteRef/>
      </w:r>
      <w:r w:rsidRPr="000D1DE6">
        <w:rPr>
          <w:rFonts w:asciiTheme="minorHAnsi" w:hAnsiTheme="minorHAnsi"/>
          <w:lang w:val="es-MX"/>
        </w:rPr>
        <w:t xml:space="preserve"> Amicus DH AC, </w:t>
      </w:r>
      <w:hyperlink r:id="rId146" w:history="1">
        <w:r w:rsidRPr="000D1DE6">
          <w:rPr>
            <w:rStyle w:val="Hyperlink"/>
            <w:rFonts w:asciiTheme="minorHAnsi" w:eastAsiaTheme="majorEastAsia" w:hAnsiTheme="minorHAnsi" w:cstheme="majorBidi"/>
            <w:lang w:val="es-MX"/>
          </w:rPr>
          <w:t>Plataforma Visible</w:t>
        </w:r>
      </w:hyperlink>
      <w:r w:rsidRPr="000D1DE6">
        <w:rPr>
          <w:rFonts w:asciiTheme="minorHAnsi" w:hAnsiTheme="minorHAnsi"/>
          <w:lang w:val="es-MX"/>
        </w:rPr>
        <w:t xml:space="preserve">, estadísticas de enero a diciembre de 2021. </w:t>
      </w:r>
    </w:p>
  </w:footnote>
  <w:footnote w:id="210">
    <w:p w14:paraId="05C2424B" w14:textId="765A561A" w:rsidR="000235D8" w:rsidRPr="000D1DE6" w:rsidRDefault="000235D8" w:rsidP="00F46807">
      <w:pPr>
        <w:pStyle w:val="FootnoteText"/>
        <w:spacing w:after="120"/>
        <w:ind w:firstLine="720"/>
        <w:rPr>
          <w:rFonts w:asciiTheme="minorHAnsi" w:hAnsiTheme="minorHAnsi"/>
          <w:lang w:val="es-MX"/>
        </w:rPr>
      </w:pPr>
      <w:r w:rsidRPr="000D1DE6">
        <w:rPr>
          <w:rStyle w:val="FootnoteReference"/>
          <w:rFonts w:asciiTheme="minorHAnsi" w:hAnsiTheme="minorHAnsi"/>
          <w:lang w:val="es-MX"/>
        </w:rPr>
        <w:footnoteRef/>
      </w:r>
      <w:r w:rsidRPr="000D1DE6">
        <w:rPr>
          <w:rFonts w:asciiTheme="minorHAnsi" w:hAnsiTheme="minorHAnsi"/>
          <w:lang w:val="es-MX"/>
        </w:rPr>
        <w:t xml:space="preserve"> Fundación Arcoíris, </w:t>
      </w:r>
      <w:hyperlink r:id="rId147">
        <w:r w:rsidRPr="000D1DE6">
          <w:rPr>
            <w:rStyle w:val="Hyperlink"/>
            <w:rFonts w:asciiTheme="minorHAnsi" w:eastAsia="Cambria" w:hAnsiTheme="minorHAnsi" w:cs="Cambria"/>
            <w:lang w:val="es-MX"/>
          </w:rPr>
          <w:t>Observatorio Nacional de crímenes de odio contra personas LGBT</w:t>
        </w:r>
      </w:hyperlink>
      <w:r w:rsidRPr="000D1DE6">
        <w:rPr>
          <w:rFonts w:asciiTheme="minorHAnsi" w:hAnsiTheme="minorHAnsi"/>
          <w:lang w:val="es-MX"/>
        </w:rPr>
        <w:t>, fecha de consulta: 1 de noviembre de 2021</w:t>
      </w:r>
      <w:r w:rsidR="00DD4A85">
        <w:rPr>
          <w:rFonts w:asciiTheme="minorHAnsi" w:hAnsiTheme="minorHAnsi"/>
          <w:lang w:val="es-MX"/>
        </w:rPr>
        <w:t>.</w:t>
      </w:r>
    </w:p>
  </w:footnote>
  <w:footnote w:id="211">
    <w:p w14:paraId="0875EAA7" w14:textId="77777777" w:rsidR="000235D8" w:rsidRPr="000D1DE6" w:rsidRDefault="000235D8" w:rsidP="00F46807">
      <w:pPr>
        <w:pStyle w:val="Heading1"/>
        <w:numPr>
          <w:ilvl w:val="0"/>
          <w:numId w:val="0"/>
        </w:numPr>
        <w:spacing w:before="0" w:after="120"/>
        <w:ind w:firstLine="720"/>
        <w:rPr>
          <w:rFonts w:asciiTheme="minorHAnsi" w:hAnsiTheme="minorHAnsi"/>
          <w:b w:val="0"/>
          <w:sz w:val="18"/>
          <w:szCs w:val="18"/>
          <w:lang w:val="es-MX"/>
        </w:rPr>
      </w:pPr>
      <w:r w:rsidRPr="000D1DE6">
        <w:rPr>
          <w:rStyle w:val="FootnoteReference"/>
          <w:rFonts w:asciiTheme="minorHAnsi" w:hAnsiTheme="minorHAnsi"/>
          <w:b w:val="0"/>
          <w:sz w:val="18"/>
          <w:szCs w:val="18"/>
          <w:lang w:val="es-MX"/>
        </w:rPr>
        <w:footnoteRef/>
      </w:r>
      <w:r w:rsidRPr="000D1DE6">
        <w:rPr>
          <w:rFonts w:asciiTheme="minorHAnsi" w:hAnsiTheme="minorHAnsi"/>
          <w:b w:val="0"/>
          <w:sz w:val="18"/>
          <w:szCs w:val="18"/>
          <w:lang w:val="es-MX"/>
        </w:rPr>
        <w:t xml:space="preserve"> </w:t>
      </w:r>
      <w:r w:rsidRPr="000D1DE6">
        <w:rPr>
          <w:rFonts w:asciiTheme="minorHAnsi" w:eastAsia="Cambria" w:hAnsiTheme="minorHAnsi" w:cs="Cambria"/>
          <w:b w:val="0"/>
          <w:sz w:val="18"/>
          <w:szCs w:val="18"/>
          <w:lang w:val="es-MX"/>
        </w:rPr>
        <w:t xml:space="preserve">Al respecto, la Comisión nota con preocupación ocho reportes de asesinatos de mujeres trans ocurridos en el mes de julio en el país, según información de Agencia Presentes, </w:t>
      </w:r>
      <w:hyperlink r:id="rId148">
        <w:r w:rsidRPr="000D1DE6">
          <w:rPr>
            <w:rStyle w:val="Hyperlink"/>
            <w:rFonts w:asciiTheme="minorHAnsi" w:eastAsia="Cambria" w:hAnsiTheme="minorHAnsi" w:cs="Cambria"/>
            <w:b w:val="0"/>
            <w:sz w:val="18"/>
            <w:szCs w:val="18"/>
            <w:lang w:val="es-MX"/>
          </w:rPr>
          <w:t>Seis transfeminicidios en 12 días en México: una mujer trans asesinada cada 48 horas,</w:t>
        </w:r>
      </w:hyperlink>
      <w:r w:rsidRPr="000D1DE6">
        <w:rPr>
          <w:rFonts w:asciiTheme="minorHAnsi" w:eastAsia="Cambria" w:hAnsiTheme="minorHAnsi" w:cs="Cambria"/>
          <w:b w:val="0"/>
          <w:sz w:val="18"/>
          <w:szCs w:val="18"/>
          <w:lang w:val="es-MX"/>
        </w:rPr>
        <w:t xml:space="preserve"> 13 de julio de 2021 y </w:t>
      </w:r>
      <w:hyperlink r:id="rId149">
        <w:r w:rsidRPr="000D1DE6">
          <w:rPr>
            <w:rStyle w:val="Hyperlink"/>
            <w:rFonts w:asciiTheme="minorHAnsi" w:eastAsia="Cambria" w:hAnsiTheme="minorHAnsi" w:cs="Cambria"/>
            <w:b w:val="0"/>
            <w:sz w:val="18"/>
            <w:szCs w:val="18"/>
            <w:lang w:val="es-MX"/>
          </w:rPr>
          <w:t>En México marchan por transfeminicidios de Aline y Fabiola</w:t>
        </w:r>
      </w:hyperlink>
      <w:r w:rsidRPr="000D1DE6">
        <w:rPr>
          <w:rFonts w:asciiTheme="minorHAnsi" w:eastAsia="Cambria" w:hAnsiTheme="minorHAnsi" w:cs="Cambria"/>
          <w:b w:val="0"/>
          <w:sz w:val="18"/>
          <w:szCs w:val="18"/>
          <w:lang w:val="es-MX"/>
        </w:rPr>
        <w:t xml:space="preserve">, 26 de julio de 2021. </w:t>
      </w:r>
    </w:p>
  </w:footnote>
  <w:footnote w:id="212">
    <w:p w14:paraId="2EB7AD02" w14:textId="77777777" w:rsidR="000235D8" w:rsidRPr="000D1DE6" w:rsidRDefault="000235D8" w:rsidP="00F46807">
      <w:pPr>
        <w:pStyle w:val="FootnoteText"/>
        <w:spacing w:after="120"/>
        <w:ind w:firstLine="720"/>
        <w:rPr>
          <w:rFonts w:asciiTheme="minorHAnsi" w:hAnsiTheme="minorHAnsi"/>
        </w:rPr>
      </w:pPr>
      <w:r w:rsidRPr="000D1DE6">
        <w:rPr>
          <w:rStyle w:val="FootnoteReference"/>
          <w:rFonts w:asciiTheme="minorHAnsi" w:hAnsiTheme="minorHAnsi"/>
        </w:rPr>
        <w:footnoteRef/>
      </w:r>
      <w:r w:rsidRPr="000D1DE6">
        <w:rPr>
          <w:rFonts w:asciiTheme="minorHAnsi" w:hAnsiTheme="minorHAnsi"/>
        </w:rPr>
        <w:t xml:space="preserve"> </w:t>
      </w:r>
      <w:r w:rsidRPr="000D1DE6">
        <w:rPr>
          <w:rFonts w:asciiTheme="minorHAnsi" w:hAnsiTheme="minorHAnsi"/>
          <w:lang w:val="es-MX"/>
        </w:rPr>
        <w:t xml:space="preserve">El Imparcial, </w:t>
      </w:r>
      <w:hyperlink r:id="rId150">
        <w:r w:rsidRPr="000D1DE6">
          <w:rPr>
            <w:rStyle w:val="Hyperlink"/>
            <w:rFonts w:asciiTheme="minorHAnsi" w:hAnsiTheme="minorHAnsi"/>
            <w:lang w:val="es-MX"/>
          </w:rPr>
          <w:t>En Hacienda los Laureles se encuentra sin vida a Kendra Medina Mujer Trans</w:t>
        </w:r>
      </w:hyperlink>
      <w:r w:rsidRPr="000D1DE6">
        <w:rPr>
          <w:rFonts w:asciiTheme="minorHAnsi" w:hAnsiTheme="minorHAnsi"/>
          <w:lang w:val="es-MX"/>
        </w:rPr>
        <w:t xml:space="preserve">, 9 de julio de 2021; Agencia Presentes, </w:t>
      </w:r>
      <w:hyperlink r:id="rId151">
        <w:r w:rsidRPr="000D1DE6">
          <w:rPr>
            <w:rStyle w:val="Hyperlink"/>
            <w:rFonts w:asciiTheme="minorHAnsi" w:hAnsiTheme="minorHAnsi"/>
            <w:lang w:val="es-MX"/>
          </w:rPr>
          <w:t>Mujeres trans en Ensenada le temen a transfeminicidas libres</w:t>
        </w:r>
      </w:hyperlink>
      <w:r w:rsidRPr="000D1DE6">
        <w:rPr>
          <w:rFonts w:asciiTheme="minorHAnsi" w:hAnsiTheme="minorHAnsi"/>
          <w:lang w:val="es-MX"/>
        </w:rPr>
        <w:t xml:space="preserve">, 26 de noviembre de 2021; El Imparcial, </w:t>
      </w:r>
      <w:hyperlink r:id="rId152">
        <w:r w:rsidRPr="000D1DE6">
          <w:rPr>
            <w:rStyle w:val="Hyperlink"/>
            <w:rFonts w:asciiTheme="minorHAnsi" w:hAnsiTheme="minorHAnsi"/>
            <w:lang w:val="es-MX"/>
          </w:rPr>
          <w:t>Comunidad LGBT exige justicia para “Tita</w:t>
        </w:r>
      </w:hyperlink>
      <w:r w:rsidRPr="000D1DE6">
        <w:rPr>
          <w:rFonts w:asciiTheme="minorHAnsi" w:hAnsiTheme="minorHAnsi"/>
          <w:lang w:val="es-MX"/>
        </w:rPr>
        <w:t xml:space="preserve">, 5 de noviembre de 2021; Agencia Presentes, </w:t>
      </w:r>
      <w:hyperlink r:id="rId153">
        <w:r w:rsidRPr="000D1DE6">
          <w:rPr>
            <w:rStyle w:val="Hyperlink"/>
            <w:rFonts w:asciiTheme="minorHAnsi" w:hAnsiTheme="minorHAnsi"/>
            <w:lang w:val="es-MX"/>
          </w:rPr>
          <w:t>Mujeres trans en Ensenada le temen a transfeminicidas libres</w:t>
        </w:r>
      </w:hyperlink>
      <w:r w:rsidRPr="000D1DE6">
        <w:rPr>
          <w:rFonts w:asciiTheme="minorHAnsi" w:hAnsiTheme="minorHAnsi"/>
          <w:lang w:val="es-MX"/>
        </w:rPr>
        <w:t xml:space="preserve">, 26 de noviembre de 2021. </w:t>
      </w:r>
    </w:p>
  </w:footnote>
  <w:footnote w:id="213">
    <w:p w14:paraId="699429DF" w14:textId="3A887B6F" w:rsidR="000235D8" w:rsidRPr="000D1DE6" w:rsidRDefault="000235D8" w:rsidP="00F46807">
      <w:pPr>
        <w:pStyle w:val="FootnoteText"/>
        <w:spacing w:after="120"/>
        <w:ind w:firstLine="720"/>
        <w:rPr>
          <w:rFonts w:asciiTheme="minorHAnsi" w:hAnsiTheme="minorHAnsi"/>
        </w:rPr>
      </w:pPr>
      <w:r w:rsidRPr="000D1DE6">
        <w:rPr>
          <w:rStyle w:val="FootnoteReference"/>
          <w:rFonts w:asciiTheme="minorHAnsi" w:hAnsiTheme="minorHAnsi"/>
        </w:rPr>
        <w:footnoteRef/>
      </w:r>
      <w:r w:rsidRPr="000D1DE6">
        <w:rPr>
          <w:rFonts w:asciiTheme="minorHAnsi" w:hAnsiTheme="minorHAnsi"/>
        </w:rPr>
        <w:t xml:space="preserve"> </w:t>
      </w:r>
      <w:r w:rsidRPr="000D1DE6">
        <w:rPr>
          <w:rFonts w:asciiTheme="minorHAnsi" w:hAnsiTheme="minorHAnsi"/>
          <w:lang w:val="es-MX"/>
        </w:rPr>
        <w:t xml:space="preserve">Animal Político </w:t>
      </w:r>
      <w:hyperlink r:id="rId154" w:history="1">
        <w:r w:rsidRPr="000D1DE6">
          <w:rPr>
            <w:rStyle w:val="Hyperlink"/>
            <w:rFonts w:asciiTheme="minorHAnsi" w:hAnsiTheme="minorHAnsi"/>
            <w:lang w:val="es-MX"/>
          </w:rPr>
          <w:t>En una semana, matan a tres mujeres trans en Colima, Tijuana y CDMX</w:t>
        </w:r>
      </w:hyperlink>
      <w:r w:rsidRPr="000D1DE6">
        <w:rPr>
          <w:rFonts w:asciiTheme="minorHAnsi" w:hAnsiTheme="minorHAnsi"/>
          <w:lang w:val="es-MX"/>
        </w:rPr>
        <w:t xml:space="preserve">, 8 de julio de 2021, Agencia Presentes, </w:t>
      </w:r>
      <w:hyperlink r:id="rId155">
        <w:r w:rsidRPr="000D1DE6">
          <w:rPr>
            <w:rStyle w:val="Hyperlink"/>
            <w:rFonts w:asciiTheme="minorHAnsi" w:hAnsiTheme="minorHAnsi"/>
            <w:lang w:val="es-MX"/>
          </w:rPr>
          <w:t>Transfeminicidio en Colima: Valeria fue asesinada en su casa y tenía signos de tortura</w:t>
        </w:r>
      </w:hyperlink>
      <w:r w:rsidRPr="000D1DE6">
        <w:rPr>
          <w:rFonts w:asciiTheme="minorHAnsi" w:hAnsiTheme="minorHAnsi"/>
          <w:lang w:val="es-MX"/>
        </w:rPr>
        <w:t xml:space="preserve"> 9 de julio de 2021</w:t>
      </w:r>
      <w:r w:rsidRPr="000D1DE6">
        <w:rPr>
          <w:rFonts w:asciiTheme="minorHAnsi" w:hAnsiTheme="minorHAnsi"/>
        </w:rPr>
        <w:t xml:space="preserve">. </w:t>
      </w:r>
    </w:p>
  </w:footnote>
  <w:footnote w:id="214">
    <w:p w14:paraId="6CFC497B" w14:textId="77777777" w:rsidR="000235D8" w:rsidRPr="000D1DE6" w:rsidRDefault="000235D8" w:rsidP="00F46807">
      <w:pPr>
        <w:pStyle w:val="Heading1"/>
        <w:numPr>
          <w:ilvl w:val="0"/>
          <w:numId w:val="0"/>
        </w:numPr>
        <w:spacing w:before="0" w:after="120"/>
        <w:ind w:firstLine="720"/>
        <w:rPr>
          <w:rFonts w:asciiTheme="minorHAnsi" w:hAnsiTheme="minorHAnsi"/>
          <w:b w:val="0"/>
          <w:sz w:val="18"/>
          <w:szCs w:val="18"/>
          <w:lang w:val="es-MX"/>
        </w:rPr>
      </w:pPr>
      <w:r w:rsidRPr="000D1DE6">
        <w:rPr>
          <w:rStyle w:val="FootnoteReference"/>
          <w:rFonts w:asciiTheme="minorHAnsi" w:hAnsiTheme="minorHAnsi"/>
          <w:b w:val="0"/>
          <w:sz w:val="18"/>
          <w:szCs w:val="18"/>
          <w:lang w:val="es-MX"/>
        </w:rPr>
        <w:footnoteRef/>
      </w:r>
      <w:r w:rsidRPr="000D1DE6">
        <w:rPr>
          <w:rFonts w:asciiTheme="minorHAnsi" w:hAnsiTheme="minorHAnsi"/>
          <w:b w:val="0"/>
          <w:sz w:val="18"/>
          <w:szCs w:val="18"/>
          <w:lang w:val="es-MX"/>
        </w:rPr>
        <w:t xml:space="preserve"> Agencia Presentes, </w:t>
      </w:r>
      <w:hyperlink r:id="rId156">
        <w:r w:rsidRPr="000D1DE6">
          <w:rPr>
            <w:rStyle w:val="Hyperlink"/>
            <w:rFonts w:asciiTheme="minorHAnsi" w:hAnsiTheme="minorHAnsi"/>
            <w:b w:val="0"/>
            <w:sz w:val="18"/>
            <w:szCs w:val="18"/>
            <w:lang w:val="es-MX"/>
          </w:rPr>
          <w:t>Transfeminicidio en CDMX: Ivonne fue asesinada en su estética</w:t>
        </w:r>
      </w:hyperlink>
      <w:r w:rsidRPr="000D1DE6">
        <w:rPr>
          <w:rFonts w:asciiTheme="minorHAnsi" w:hAnsiTheme="minorHAnsi"/>
          <w:b w:val="0"/>
          <w:sz w:val="18"/>
          <w:szCs w:val="18"/>
          <w:lang w:val="es-MX"/>
        </w:rPr>
        <w:t>, 6 de julio de 2021.</w:t>
      </w:r>
    </w:p>
  </w:footnote>
  <w:footnote w:id="215">
    <w:p w14:paraId="7C354162" w14:textId="591E8230" w:rsidR="000235D8" w:rsidRPr="000D1DE6" w:rsidRDefault="000235D8" w:rsidP="00F46807">
      <w:pPr>
        <w:pStyle w:val="FootnoteText"/>
        <w:spacing w:after="120"/>
        <w:ind w:firstLine="720"/>
        <w:rPr>
          <w:rFonts w:asciiTheme="minorHAnsi" w:hAnsiTheme="minorHAnsi"/>
        </w:rPr>
      </w:pPr>
      <w:r w:rsidRPr="000D1DE6">
        <w:rPr>
          <w:rStyle w:val="FootnoteReference"/>
          <w:rFonts w:asciiTheme="minorHAnsi" w:hAnsiTheme="minorHAnsi"/>
        </w:rPr>
        <w:footnoteRef/>
      </w:r>
      <w:r w:rsidRPr="000D1DE6">
        <w:rPr>
          <w:rFonts w:asciiTheme="minorHAnsi" w:hAnsiTheme="minorHAnsi"/>
        </w:rPr>
        <w:t xml:space="preserve"> </w:t>
      </w:r>
      <w:r w:rsidRPr="000D1DE6">
        <w:rPr>
          <w:rFonts w:asciiTheme="minorHAnsi" w:hAnsiTheme="minorHAnsi"/>
          <w:lang w:val="es-MX"/>
        </w:rPr>
        <w:t xml:space="preserve">Presentes, </w:t>
      </w:r>
      <w:hyperlink r:id="rId157">
        <w:r w:rsidRPr="000D1DE6">
          <w:rPr>
            <w:rStyle w:val="Hyperlink"/>
            <w:rFonts w:asciiTheme="minorHAnsi" w:hAnsiTheme="minorHAnsi"/>
            <w:lang w:val="es-MX"/>
          </w:rPr>
          <w:t>Asesinan a dos activistas trans en México: sus comunidades exigen justicia en medio de la violencia</w:t>
        </w:r>
      </w:hyperlink>
      <w:r w:rsidRPr="000D1DE6">
        <w:rPr>
          <w:rFonts w:asciiTheme="minorHAnsi" w:hAnsiTheme="minorHAnsi"/>
          <w:lang w:val="es-MX"/>
        </w:rPr>
        <w:t xml:space="preserve">, 9 de septiembre de 2021. </w:t>
      </w:r>
    </w:p>
  </w:footnote>
  <w:footnote w:id="216">
    <w:p w14:paraId="12CB0603" w14:textId="79455C3E" w:rsidR="000235D8" w:rsidRPr="000D1DE6" w:rsidRDefault="000235D8" w:rsidP="00F46807">
      <w:pPr>
        <w:pStyle w:val="FootnoteText"/>
        <w:spacing w:after="120"/>
        <w:ind w:firstLine="720"/>
        <w:rPr>
          <w:rFonts w:asciiTheme="minorHAnsi" w:hAnsiTheme="minorHAnsi"/>
        </w:rPr>
      </w:pPr>
      <w:r w:rsidRPr="000D1DE6">
        <w:rPr>
          <w:rStyle w:val="FootnoteReference"/>
          <w:rFonts w:asciiTheme="minorHAnsi" w:hAnsiTheme="minorHAnsi"/>
        </w:rPr>
        <w:footnoteRef/>
      </w:r>
      <w:r w:rsidRPr="000D1DE6">
        <w:rPr>
          <w:rFonts w:asciiTheme="minorHAnsi" w:hAnsiTheme="minorHAnsi"/>
        </w:rPr>
        <w:t xml:space="preserve"> </w:t>
      </w:r>
      <w:r w:rsidRPr="000D1DE6">
        <w:rPr>
          <w:rFonts w:asciiTheme="minorHAnsi" w:hAnsiTheme="minorHAnsi"/>
          <w:lang w:val="es-MX"/>
        </w:rPr>
        <w:t xml:space="preserve">Agencia Presentes, </w:t>
      </w:r>
      <w:hyperlink r:id="rId158">
        <w:r w:rsidRPr="000D1DE6">
          <w:rPr>
            <w:rStyle w:val="Hyperlink"/>
            <w:rFonts w:asciiTheme="minorHAnsi" w:hAnsiTheme="minorHAnsi"/>
            <w:lang w:val="es-MX"/>
          </w:rPr>
          <w:t>Asesinan a dos activistas trans en México: sus comunidades exigen justicia en medio de la violencia</w:t>
        </w:r>
      </w:hyperlink>
      <w:r w:rsidRPr="000D1DE6">
        <w:rPr>
          <w:rFonts w:asciiTheme="minorHAnsi" w:hAnsiTheme="minorHAnsi"/>
          <w:lang w:val="es-MX"/>
        </w:rPr>
        <w:t xml:space="preserve">, 9 de septiembre de 2021. </w:t>
      </w:r>
    </w:p>
  </w:footnote>
  <w:footnote w:id="217">
    <w:p w14:paraId="53639F56" w14:textId="77777777" w:rsidR="000235D8" w:rsidRPr="000D1DE6" w:rsidRDefault="000235D8" w:rsidP="00F46807">
      <w:pPr>
        <w:pStyle w:val="Heading1"/>
        <w:numPr>
          <w:ilvl w:val="0"/>
          <w:numId w:val="0"/>
        </w:numPr>
        <w:spacing w:before="0" w:after="120"/>
        <w:ind w:firstLine="720"/>
        <w:rPr>
          <w:rFonts w:asciiTheme="minorHAnsi" w:eastAsia="Roboto" w:hAnsiTheme="minorHAnsi" w:cs="Roboto"/>
          <w:b w:val="0"/>
          <w:sz w:val="18"/>
          <w:szCs w:val="18"/>
          <w:lang w:val="es-MX"/>
        </w:rPr>
      </w:pPr>
      <w:r w:rsidRPr="000D1DE6">
        <w:rPr>
          <w:rStyle w:val="FootnoteReference"/>
          <w:rFonts w:asciiTheme="minorHAnsi" w:hAnsiTheme="minorHAnsi"/>
          <w:b w:val="0"/>
          <w:sz w:val="18"/>
          <w:szCs w:val="18"/>
          <w:lang w:val="es-MX"/>
        </w:rPr>
        <w:footnoteRef/>
      </w:r>
      <w:r w:rsidRPr="000D1DE6">
        <w:rPr>
          <w:rFonts w:asciiTheme="minorHAnsi" w:hAnsiTheme="minorHAnsi"/>
          <w:b w:val="0"/>
          <w:sz w:val="18"/>
          <w:szCs w:val="18"/>
          <w:lang w:val="es-MX"/>
        </w:rPr>
        <w:t xml:space="preserve"> UDG TV, </w:t>
      </w:r>
      <w:hyperlink r:id="rId159">
        <w:r w:rsidRPr="000D1DE6">
          <w:rPr>
            <w:rStyle w:val="Hyperlink"/>
            <w:rFonts w:asciiTheme="minorHAnsi" w:eastAsia="Roboto" w:hAnsiTheme="minorHAnsi" w:cs="Roboto"/>
            <w:b w:val="0"/>
            <w:sz w:val="18"/>
            <w:szCs w:val="18"/>
            <w:lang w:val="es-MX"/>
          </w:rPr>
          <w:t>Asesinan a cinco mujeres trans en un mes en México; dos de ella de El Salto y Tonalá</w:t>
        </w:r>
      </w:hyperlink>
      <w:r w:rsidRPr="000D1DE6">
        <w:rPr>
          <w:rFonts w:asciiTheme="minorHAnsi" w:eastAsia="Roboto" w:hAnsiTheme="minorHAnsi" w:cs="Roboto"/>
          <w:b w:val="0"/>
          <w:sz w:val="18"/>
          <w:szCs w:val="18"/>
          <w:lang w:val="es-MX"/>
        </w:rPr>
        <w:t xml:space="preserve">, 11 de julio de 2021. </w:t>
      </w:r>
    </w:p>
  </w:footnote>
  <w:footnote w:id="218">
    <w:p w14:paraId="10B07F46" w14:textId="77777777" w:rsidR="000235D8" w:rsidRPr="000D1DE6" w:rsidRDefault="000235D8" w:rsidP="00F46807">
      <w:pPr>
        <w:pStyle w:val="FootnoteText"/>
        <w:spacing w:after="120"/>
        <w:ind w:firstLine="720"/>
        <w:rPr>
          <w:rFonts w:asciiTheme="minorHAnsi" w:hAnsiTheme="minorHAnsi"/>
          <w:lang w:val="es-MX"/>
        </w:rPr>
      </w:pPr>
      <w:r w:rsidRPr="000D1DE6">
        <w:rPr>
          <w:rStyle w:val="FootnoteReference"/>
          <w:rFonts w:asciiTheme="minorHAnsi" w:hAnsiTheme="minorHAnsi"/>
          <w:lang w:val="es-MX"/>
        </w:rPr>
        <w:footnoteRef/>
      </w:r>
      <w:r w:rsidRPr="000D1DE6">
        <w:rPr>
          <w:rFonts w:asciiTheme="minorHAnsi" w:hAnsiTheme="minorHAnsi"/>
          <w:lang w:val="es-MX"/>
        </w:rPr>
        <w:t xml:space="preserve"> </w:t>
      </w:r>
      <w:r w:rsidRPr="000D1DE6">
        <w:rPr>
          <w:rFonts w:asciiTheme="minorHAnsi" w:eastAsiaTheme="majorEastAsia" w:hAnsiTheme="minorHAnsi" w:cstheme="majorBidi"/>
          <w:lang w:val="es-MX"/>
        </w:rPr>
        <w:t xml:space="preserve">Anodis, </w:t>
      </w:r>
      <w:hyperlink r:id="rId160" w:history="1">
        <w:r w:rsidRPr="000D1DE6">
          <w:rPr>
            <w:rStyle w:val="Hyperlink"/>
            <w:rFonts w:asciiTheme="minorHAnsi" w:eastAsiaTheme="majorEastAsia" w:hAnsiTheme="minorHAnsi" w:cstheme="majorBidi"/>
            <w:lang w:val="es-MX"/>
          </w:rPr>
          <w:t>Por crímenes de odio en Puebla, comunidad LGBT exige remoción de funcionaria</w:t>
        </w:r>
      </w:hyperlink>
      <w:r w:rsidRPr="000D1DE6">
        <w:rPr>
          <w:rFonts w:asciiTheme="minorHAnsi" w:eastAsiaTheme="majorEastAsia" w:hAnsiTheme="minorHAnsi" w:cstheme="majorBidi"/>
          <w:lang w:val="es-MX"/>
        </w:rPr>
        <w:t xml:space="preserve">, 21 de agosto de 2021. </w:t>
      </w:r>
    </w:p>
  </w:footnote>
  <w:footnote w:id="219">
    <w:p w14:paraId="3EC17B04" w14:textId="77777777" w:rsidR="000235D8" w:rsidRPr="000D1DE6" w:rsidRDefault="000235D8" w:rsidP="00F46807">
      <w:pPr>
        <w:pStyle w:val="Heading1"/>
        <w:numPr>
          <w:ilvl w:val="0"/>
          <w:numId w:val="0"/>
        </w:numPr>
        <w:spacing w:before="0" w:after="120"/>
        <w:ind w:firstLine="720"/>
        <w:rPr>
          <w:rFonts w:asciiTheme="minorHAnsi" w:hAnsiTheme="minorHAnsi"/>
          <w:b w:val="0"/>
          <w:sz w:val="18"/>
          <w:szCs w:val="18"/>
          <w:lang w:val="es-MX"/>
        </w:rPr>
      </w:pPr>
      <w:r w:rsidRPr="000D1DE6">
        <w:rPr>
          <w:rStyle w:val="FootnoteReference"/>
          <w:rFonts w:asciiTheme="minorHAnsi" w:hAnsiTheme="minorHAnsi"/>
          <w:b w:val="0"/>
          <w:sz w:val="18"/>
          <w:szCs w:val="18"/>
          <w:lang w:val="es-MX"/>
        </w:rPr>
        <w:footnoteRef/>
      </w:r>
      <w:r w:rsidRPr="000D1DE6">
        <w:rPr>
          <w:rFonts w:asciiTheme="minorHAnsi" w:hAnsiTheme="minorHAnsi"/>
          <w:b w:val="0"/>
          <w:sz w:val="18"/>
          <w:szCs w:val="18"/>
          <w:lang w:val="es-MX"/>
        </w:rPr>
        <w:t xml:space="preserve"> Agencia Presentes, </w:t>
      </w:r>
      <w:hyperlink r:id="rId161">
        <w:r w:rsidRPr="000D1DE6">
          <w:rPr>
            <w:rStyle w:val="Hyperlink"/>
            <w:rFonts w:asciiTheme="minorHAnsi" w:hAnsiTheme="minorHAnsi"/>
            <w:b w:val="0"/>
            <w:sz w:val="18"/>
            <w:szCs w:val="18"/>
            <w:lang w:val="es-MX"/>
          </w:rPr>
          <w:t>Crimen de odio a joven que vivía con VIH: los activismos mexicanos alzan la voz y exigen justicia</w:t>
        </w:r>
      </w:hyperlink>
      <w:r w:rsidRPr="000D1DE6">
        <w:rPr>
          <w:rFonts w:asciiTheme="minorHAnsi" w:hAnsiTheme="minorHAnsi"/>
          <w:b w:val="0"/>
          <w:sz w:val="18"/>
          <w:szCs w:val="18"/>
          <w:lang w:val="es-MX"/>
        </w:rPr>
        <w:t xml:space="preserve">, 14 de junio de 2021. </w:t>
      </w:r>
    </w:p>
  </w:footnote>
  <w:footnote w:id="220">
    <w:p w14:paraId="69FF334F" w14:textId="77777777" w:rsidR="000235D8" w:rsidRPr="000D1DE6" w:rsidRDefault="000235D8" w:rsidP="00F46807">
      <w:pPr>
        <w:pStyle w:val="FootnoteText"/>
        <w:spacing w:after="120"/>
        <w:ind w:firstLine="720"/>
        <w:rPr>
          <w:rFonts w:asciiTheme="minorHAnsi" w:hAnsiTheme="minorHAnsi"/>
          <w:lang w:val="es-MX"/>
        </w:rPr>
      </w:pPr>
      <w:r w:rsidRPr="000D1DE6">
        <w:rPr>
          <w:rStyle w:val="FootnoteReference"/>
          <w:rFonts w:asciiTheme="minorHAnsi" w:hAnsiTheme="minorHAnsi"/>
        </w:rPr>
        <w:footnoteRef/>
      </w:r>
      <w:r w:rsidRPr="000D1DE6">
        <w:rPr>
          <w:rFonts w:asciiTheme="minorHAnsi" w:hAnsiTheme="minorHAnsi"/>
        </w:rPr>
        <w:t xml:space="preserve"> </w:t>
      </w:r>
      <w:r w:rsidRPr="000D1DE6">
        <w:rPr>
          <w:rFonts w:asciiTheme="minorHAnsi" w:hAnsiTheme="minorHAnsi"/>
          <w:lang w:val="es-MX"/>
        </w:rPr>
        <w:t xml:space="preserve">Agencia Presentes, </w:t>
      </w:r>
      <w:hyperlink r:id="rId162">
        <w:r w:rsidRPr="000D1DE6">
          <w:rPr>
            <w:rStyle w:val="Hyperlink"/>
            <w:rFonts w:asciiTheme="minorHAnsi" w:hAnsiTheme="minorHAnsi"/>
            <w:lang w:val="es-MX"/>
          </w:rPr>
          <w:t>Otro crimen de odio en Veracruz: joven chef y emprendedor social asesinado de 20 puñaladas</w:t>
        </w:r>
      </w:hyperlink>
      <w:r w:rsidRPr="000D1DE6">
        <w:rPr>
          <w:rFonts w:asciiTheme="minorHAnsi" w:hAnsiTheme="minorHAnsi"/>
          <w:lang w:val="es-MX"/>
        </w:rPr>
        <w:t>, 25 de octubre de 2021.</w:t>
      </w:r>
    </w:p>
  </w:footnote>
  <w:footnote w:id="221">
    <w:p w14:paraId="0F230C0B" w14:textId="77777777" w:rsidR="000235D8" w:rsidRPr="000D1DE6" w:rsidRDefault="000235D8" w:rsidP="00F46807">
      <w:pPr>
        <w:pStyle w:val="FootnoteText"/>
        <w:spacing w:after="120"/>
        <w:ind w:firstLine="720"/>
        <w:rPr>
          <w:rFonts w:asciiTheme="minorHAnsi" w:hAnsiTheme="minorHAnsi"/>
          <w:lang w:val="es-MX"/>
        </w:rPr>
      </w:pPr>
      <w:r w:rsidRPr="000D1DE6">
        <w:rPr>
          <w:rStyle w:val="FootnoteReference"/>
          <w:rFonts w:asciiTheme="minorHAnsi" w:hAnsiTheme="minorHAnsi"/>
          <w:lang w:val="es-MX"/>
        </w:rPr>
        <w:footnoteRef/>
      </w:r>
      <w:r w:rsidRPr="000D1DE6">
        <w:rPr>
          <w:rFonts w:asciiTheme="minorHAnsi" w:hAnsiTheme="minorHAnsi"/>
          <w:lang w:val="es-MX"/>
        </w:rPr>
        <w:t xml:space="preserve"> Política, </w:t>
      </w:r>
      <w:hyperlink r:id="rId163" w:history="1">
        <w:r w:rsidRPr="000D1DE6">
          <w:rPr>
            <w:rStyle w:val="Hyperlink"/>
            <w:rFonts w:asciiTheme="minorHAnsi" w:hAnsiTheme="minorHAnsi"/>
            <w:lang w:val="es-MX"/>
          </w:rPr>
          <w:t>Yucatán: fiscalía indaga el posible homicidio de un joven por parte de policías,</w:t>
        </w:r>
      </w:hyperlink>
      <w:r w:rsidRPr="000D1DE6">
        <w:rPr>
          <w:rFonts w:asciiTheme="minorHAnsi" w:hAnsiTheme="minorHAnsi"/>
          <w:lang w:val="es-MX"/>
        </w:rPr>
        <w:t xml:space="preserve"> 7 de agosto de 2021. </w:t>
      </w:r>
    </w:p>
  </w:footnote>
  <w:footnote w:id="222">
    <w:p w14:paraId="7FDA2FAD" w14:textId="77777777" w:rsidR="000235D8" w:rsidRPr="000D1DE6" w:rsidRDefault="000235D8" w:rsidP="00F46807">
      <w:pPr>
        <w:pStyle w:val="Heading1"/>
        <w:numPr>
          <w:ilvl w:val="0"/>
          <w:numId w:val="0"/>
        </w:numPr>
        <w:spacing w:before="0" w:after="120"/>
        <w:ind w:firstLine="720"/>
        <w:rPr>
          <w:rFonts w:asciiTheme="minorHAnsi" w:hAnsiTheme="minorHAnsi"/>
          <w:b w:val="0"/>
          <w:sz w:val="18"/>
          <w:szCs w:val="18"/>
          <w:lang w:val="es-MX"/>
        </w:rPr>
      </w:pPr>
      <w:r w:rsidRPr="000D1DE6">
        <w:rPr>
          <w:rStyle w:val="FootnoteReference"/>
          <w:rFonts w:asciiTheme="minorHAnsi" w:hAnsiTheme="minorHAnsi"/>
          <w:b w:val="0"/>
          <w:sz w:val="18"/>
          <w:szCs w:val="18"/>
          <w:lang w:val="es-MX"/>
        </w:rPr>
        <w:footnoteRef/>
      </w:r>
      <w:r w:rsidRPr="000D1DE6">
        <w:rPr>
          <w:rFonts w:asciiTheme="minorHAnsi" w:hAnsiTheme="minorHAnsi"/>
          <w:b w:val="0"/>
          <w:sz w:val="18"/>
          <w:szCs w:val="18"/>
          <w:lang w:val="es-MX"/>
        </w:rPr>
        <w:t xml:space="preserve"> El Popular, </w:t>
      </w:r>
      <w:hyperlink r:id="rId164">
        <w:r w:rsidRPr="000D1DE6">
          <w:rPr>
            <w:rStyle w:val="Hyperlink"/>
            <w:rFonts w:asciiTheme="minorHAnsi" w:hAnsiTheme="minorHAnsi"/>
            <w:b w:val="0"/>
            <w:sz w:val="18"/>
            <w:szCs w:val="18"/>
            <w:lang w:val="es-MX"/>
          </w:rPr>
          <w:t>Comerciantes agreden con palos a integrantes de la comunidad LGBT+ que trabajan en un tianguis disidente de la CDMX</w:t>
        </w:r>
      </w:hyperlink>
      <w:r w:rsidRPr="000D1DE6">
        <w:rPr>
          <w:rFonts w:asciiTheme="minorHAnsi" w:hAnsiTheme="minorHAnsi"/>
          <w:b w:val="0"/>
          <w:sz w:val="18"/>
          <w:szCs w:val="18"/>
          <w:lang w:val="es-MX"/>
        </w:rPr>
        <w:t>, 23 de septiembre de 2021; Agencia Presentes, A</w:t>
      </w:r>
      <w:hyperlink r:id="rId165">
        <w:r w:rsidRPr="000D1DE6">
          <w:rPr>
            <w:rStyle w:val="Hyperlink"/>
            <w:rFonts w:asciiTheme="minorHAnsi" w:hAnsiTheme="minorHAnsi"/>
            <w:b w:val="0"/>
            <w:sz w:val="18"/>
            <w:szCs w:val="18"/>
            <w:lang w:val="es-MX"/>
          </w:rPr>
          <w:t>tacan a comerciantes LGBT+ en CDMX: “Nos agredieron a palazos y con navajas”</w:t>
        </w:r>
      </w:hyperlink>
      <w:r w:rsidRPr="000D1DE6">
        <w:rPr>
          <w:rFonts w:asciiTheme="minorHAnsi" w:hAnsiTheme="minorHAnsi"/>
          <w:b w:val="0"/>
          <w:sz w:val="18"/>
          <w:szCs w:val="18"/>
          <w:lang w:val="es-MX"/>
        </w:rPr>
        <w:t xml:space="preserve">, 23 de septiembre de 2021. </w:t>
      </w:r>
    </w:p>
  </w:footnote>
  <w:footnote w:id="223">
    <w:p w14:paraId="56607AD9" w14:textId="77777777" w:rsidR="000235D8" w:rsidRPr="000D1DE6" w:rsidRDefault="000235D8" w:rsidP="00F46807">
      <w:pPr>
        <w:pStyle w:val="FootnoteText"/>
        <w:spacing w:after="120"/>
        <w:ind w:firstLine="720"/>
        <w:rPr>
          <w:rFonts w:asciiTheme="minorHAnsi" w:eastAsiaTheme="majorEastAsia" w:hAnsiTheme="minorHAnsi" w:cstheme="majorBidi"/>
          <w:lang w:val="es-MX"/>
        </w:rPr>
      </w:pPr>
      <w:r w:rsidRPr="000D1DE6">
        <w:rPr>
          <w:rStyle w:val="FootnoteReference"/>
          <w:rFonts w:asciiTheme="minorHAnsi" w:hAnsiTheme="minorHAnsi"/>
          <w:lang w:val="es-MX"/>
        </w:rPr>
        <w:footnoteRef/>
      </w:r>
      <w:r w:rsidRPr="000D1DE6">
        <w:rPr>
          <w:rFonts w:asciiTheme="minorHAnsi" w:hAnsiTheme="minorHAnsi"/>
          <w:lang w:val="es-MX"/>
        </w:rPr>
        <w:t xml:space="preserve"> </w:t>
      </w:r>
      <w:r w:rsidRPr="000D1DE6">
        <w:rPr>
          <w:rFonts w:asciiTheme="minorHAnsi" w:eastAsiaTheme="majorEastAsia" w:hAnsiTheme="minorHAnsi" w:cstheme="majorBidi"/>
          <w:lang w:val="es-MX"/>
        </w:rPr>
        <w:t xml:space="preserve">Plumas Atómicas, </w:t>
      </w:r>
      <w:hyperlink r:id="rId166" w:history="1">
        <w:r w:rsidRPr="000D1DE6">
          <w:rPr>
            <w:rStyle w:val="Hyperlink"/>
            <w:rFonts w:asciiTheme="minorHAnsi" w:eastAsiaTheme="majorEastAsia" w:hAnsiTheme="minorHAnsi" w:cstheme="majorBidi"/>
            <w:lang w:val="es-MX"/>
          </w:rPr>
          <w:t>Muxes fueron golpeadas en las calles de Oaxaca</w:t>
        </w:r>
      </w:hyperlink>
      <w:r w:rsidRPr="000D1DE6">
        <w:rPr>
          <w:rFonts w:asciiTheme="minorHAnsi" w:eastAsiaTheme="majorEastAsia" w:hAnsiTheme="minorHAnsi" w:cstheme="majorBidi"/>
          <w:lang w:val="es-MX"/>
        </w:rPr>
        <w:t xml:space="preserve">, 17 de mayo de 2021. </w:t>
      </w:r>
    </w:p>
  </w:footnote>
  <w:footnote w:id="224">
    <w:p w14:paraId="729626CD" w14:textId="665F42BF" w:rsidR="002F1A6A" w:rsidRPr="000D1DE6" w:rsidRDefault="002F1A6A" w:rsidP="00F46807">
      <w:pPr>
        <w:pStyle w:val="FootnoteText"/>
        <w:spacing w:after="120"/>
        <w:ind w:firstLine="720"/>
      </w:pPr>
      <w:r w:rsidRPr="000D1DE6">
        <w:rPr>
          <w:rStyle w:val="FootnoteReference"/>
        </w:rPr>
        <w:footnoteRef/>
      </w:r>
      <w:r w:rsidRPr="000D1DE6">
        <w:t xml:space="preserve"> </w:t>
      </w:r>
      <w:r w:rsidRPr="000D1DE6">
        <w:rPr>
          <w:rFonts w:asciiTheme="minorHAnsi" w:eastAsia="Cambria" w:hAnsiTheme="minorHAnsi" w:cs="Cambria"/>
          <w:color w:val="000000"/>
          <w:lang w:val="es-MX"/>
        </w:rPr>
        <w:t>Observaciones y comentarios del Estado de 24 de enero de 2022, pág</w:t>
      </w:r>
      <w:r w:rsidRPr="000D1DE6">
        <w:t xml:space="preserve"> 16.</w:t>
      </w:r>
    </w:p>
  </w:footnote>
  <w:footnote w:id="225">
    <w:p w14:paraId="25E049E2" w14:textId="07CA39BD" w:rsidR="000235D8" w:rsidRPr="000D1DE6" w:rsidRDefault="000235D8" w:rsidP="00F46807">
      <w:pPr>
        <w:pStyle w:val="FootnoteText"/>
        <w:spacing w:after="120"/>
        <w:ind w:firstLine="720"/>
        <w:rPr>
          <w:rFonts w:asciiTheme="minorHAnsi" w:hAnsiTheme="minorHAnsi"/>
        </w:rPr>
      </w:pPr>
      <w:r w:rsidRPr="000D1DE6">
        <w:rPr>
          <w:rStyle w:val="FootnoteReference"/>
          <w:rFonts w:asciiTheme="minorHAnsi" w:hAnsiTheme="minorHAnsi"/>
        </w:rPr>
        <w:footnoteRef/>
      </w:r>
      <w:r w:rsidRPr="000D1DE6">
        <w:rPr>
          <w:rFonts w:asciiTheme="minorHAnsi" w:hAnsiTheme="minorHAnsi"/>
        </w:rPr>
        <w:t xml:space="preserve"> </w:t>
      </w:r>
      <w:r w:rsidRPr="000D1DE6">
        <w:rPr>
          <w:rFonts w:asciiTheme="minorHAnsi" w:hAnsiTheme="minorHAnsi"/>
          <w:lang w:val="es-MX"/>
        </w:rPr>
        <w:t>Noveno Informe del Estado mexicano sobre el cumplimiento y seguimiento de las recomendaciones contenidas en el informe “Situación de los Derechos Humanos en México”, págs. 58 – 59.</w:t>
      </w:r>
    </w:p>
  </w:footnote>
  <w:footnote w:id="226">
    <w:p w14:paraId="3AED23BD" w14:textId="2B863EF7" w:rsidR="0050703C" w:rsidRPr="000D1DE6" w:rsidRDefault="0050703C" w:rsidP="00F46807">
      <w:pPr>
        <w:pStyle w:val="FootnoteText"/>
        <w:spacing w:after="120"/>
        <w:ind w:firstLine="720"/>
        <w:rPr>
          <w:rFonts w:asciiTheme="minorHAnsi" w:hAnsiTheme="minorHAnsi"/>
        </w:rPr>
      </w:pPr>
      <w:r w:rsidRPr="000D1DE6">
        <w:rPr>
          <w:rStyle w:val="FootnoteReference"/>
          <w:rFonts w:asciiTheme="minorHAnsi" w:hAnsiTheme="minorHAnsi"/>
        </w:rPr>
        <w:footnoteRef/>
      </w:r>
      <w:r w:rsidRPr="000D1DE6">
        <w:rPr>
          <w:rFonts w:asciiTheme="minorHAnsi" w:hAnsiTheme="minorHAnsi"/>
        </w:rPr>
        <w:t xml:space="preserve"> CIDH, </w:t>
      </w:r>
      <w:hyperlink r:id="rId167" w:history="1">
        <w:r w:rsidR="004F7280" w:rsidRPr="000D1DE6">
          <w:rPr>
            <w:rStyle w:val="Hyperlink"/>
            <w:rFonts w:asciiTheme="minorHAnsi" w:hAnsiTheme="minorHAnsi"/>
          </w:rPr>
          <w:t>Informe de la CNDH al SIMORE</w:t>
        </w:r>
      </w:hyperlink>
      <w:r w:rsidR="004F7280" w:rsidRPr="000D1DE6">
        <w:rPr>
          <w:rFonts w:asciiTheme="minorHAnsi" w:hAnsiTheme="minorHAnsi"/>
        </w:rPr>
        <w:t>, 17 de diciembre de 2021.</w:t>
      </w:r>
      <w:r w:rsidRPr="000D1DE6">
        <w:rPr>
          <w:rFonts w:asciiTheme="minorHAnsi" w:hAnsiTheme="minorHAnsi"/>
        </w:rPr>
        <w:t xml:space="preserve"> </w:t>
      </w:r>
    </w:p>
  </w:footnote>
  <w:footnote w:id="227">
    <w:p w14:paraId="61C43EFE" w14:textId="2AEC1E31" w:rsidR="000235D8" w:rsidRPr="000D1DE6" w:rsidRDefault="000235D8" w:rsidP="00F46807">
      <w:pPr>
        <w:pStyle w:val="FootnoteText"/>
        <w:spacing w:after="120"/>
        <w:ind w:firstLine="720"/>
        <w:rPr>
          <w:rFonts w:asciiTheme="minorHAnsi" w:hAnsiTheme="minorHAnsi"/>
        </w:rPr>
      </w:pPr>
      <w:r w:rsidRPr="000D1DE6">
        <w:rPr>
          <w:rStyle w:val="FootnoteReference"/>
          <w:rFonts w:asciiTheme="minorHAnsi" w:hAnsiTheme="minorHAnsi"/>
        </w:rPr>
        <w:footnoteRef/>
      </w:r>
      <w:r w:rsidRPr="000D1DE6">
        <w:rPr>
          <w:rFonts w:asciiTheme="minorHAnsi" w:hAnsiTheme="minorHAnsi"/>
        </w:rPr>
        <w:t xml:space="preserve"> CIDH, Violencia contra las personas LGBTI en las Américas, OEA/Ser.L/V/II. Rev.2.Doc. 36 (2015), párr. 16.</w:t>
      </w:r>
    </w:p>
  </w:footnote>
  <w:footnote w:id="228">
    <w:p w14:paraId="1A28E2BD" w14:textId="140DBA10" w:rsidR="00DD2C79" w:rsidRPr="000D1DE6" w:rsidRDefault="00DD2C79" w:rsidP="00F46807">
      <w:pPr>
        <w:pStyle w:val="FootnoteText"/>
        <w:spacing w:after="120"/>
        <w:ind w:firstLine="720"/>
        <w:rPr>
          <w:rFonts w:asciiTheme="minorHAnsi" w:hAnsiTheme="minorHAnsi"/>
          <w:lang w:val="es-US"/>
        </w:rPr>
      </w:pPr>
      <w:r w:rsidRPr="000D1DE6">
        <w:rPr>
          <w:rStyle w:val="FootnoteReference"/>
          <w:rFonts w:asciiTheme="minorHAnsi" w:hAnsiTheme="minorHAnsi"/>
        </w:rPr>
        <w:footnoteRef/>
      </w:r>
      <w:r w:rsidR="00F11F2D" w:rsidRPr="000D1DE6">
        <w:rPr>
          <w:rFonts w:asciiTheme="minorHAnsi" w:hAnsiTheme="minorHAnsi"/>
        </w:rPr>
        <w:t xml:space="preserve"> </w:t>
      </w:r>
      <w:r w:rsidRPr="000D1DE6">
        <w:rPr>
          <w:rFonts w:asciiTheme="minorHAnsi" w:hAnsiTheme="minorHAnsi"/>
          <w:lang w:val="es-MX"/>
        </w:rPr>
        <w:t>CIDH, </w:t>
      </w:r>
      <w:hyperlink r:id="rId168" w:tgtFrame="_blank" w:history="1">
        <w:r w:rsidRPr="000D1DE6">
          <w:rPr>
            <w:rStyle w:val="Hyperlink"/>
            <w:rFonts w:asciiTheme="minorHAnsi" w:hAnsiTheme="minorHAnsi"/>
            <w:lang w:val="es-MX"/>
          </w:rPr>
          <w:t>https://twitter.com/CIDH/status/1441405408791334914?s=20</w:t>
        </w:r>
      </w:hyperlink>
      <w:r w:rsidRPr="000D1DE6">
        <w:rPr>
          <w:rFonts w:asciiTheme="minorHAnsi" w:hAnsiTheme="minorHAnsi"/>
          <w:lang w:val="es-MX"/>
        </w:rPr>
        <w:t>, 24 de septiembre de 2021; CIDH, </w:t>
      </w:r>
      <w:hyperlink r:id="rId169" w:tgtFrame="_blank" w:history="1">
        <w:r w:rsidRPr="000D1DE6">
          <w:rPr>
            <w:rStyle w:val="Hyperlink"/>
            <w:rFonts w:asciiTheme="minorHAnsi" w:hAnsiTheme="minorHAnsi"/>
            <w:lang w:val="es-MX"/>
          </w:rPr>
          <w:t>https://twitter.com/CIDH/status/1431265577419649029?s=20</w:t>
        </w:r>
      </w:hyperlink>
      <w:r w:rsidRPr="000D1DE6">
        <w:rPr>
          <w:rFonts w:asciiTheme="minorHAnsi" w:hAnsiTheme="minorHAnsi"/>
          <w:lang w:val="es-MX"/>
        </w:rPr>
        <w:t>, 27 de agosto de 2021; Congreso de Sinaloa, </w:t>
      </w:r>
      <w:hyperlink r:id="rId170" w:tgtFrame="_blank" w:history="1">
        <w:r w:rsidRPr="000D1DE6">
          <w:rPr>
            <w:rStyle w:val="Hyperlink"/>
            <w:rFonts w:asciiTheme="minorHAnsi" w:hAnsiTheme="minorHAnsi"/>
            <w:lang w:val="es-MX"/>
          </w:rPr>
          <w:t>Sinaloa dice sí al matrimonio igualitario Extiende Congreso del Estado matrimonio y concubinato a personas del mismo sexo</w:t>
        </w:r>
      </w:hyperlink>
      <w:r w:rsidRPr="000D1DE6">
        <w:rPr>
          <w:rFonts w:asciiTheme="minorHAnsi" w:hAnsiTheme="minorHAnsi"/>
          <w:lang w:val="es-MX"/>
        </w:rPr>
        <w:t>, 15 de junio de 2021; Animal Político, </w:t>
      </w:r>
      <w:hyperlink r:id="rId171" w:tgtFrame="_blank" w:history="1">
        <w:r w:rsidRPr="000D1DE6">
          <w:rPr>
            <w:rStyle w:val="Hyperlink"/>
            <w:rFonts w:asciiTheme="minorHAnsi" w:hAnsiTheme="minorHAnsi"/>
            <w:lang w:val="es-MX"/>
          </w:rPr>
          <w:t>Congreso de Baja California también aprueba reforma para reconocer el matrimonio igualitario</w:t>
        </w:r>
      </w:hyperlink>
      <w:r w:rsidRPr="000D1DE6">
        <w:rPr>
          <w:rFonts w:asciiTheme="minorHAnsi" w:hAnsiTheme="minorHAnsi"/>
          <w:lang w:val="es-MX"/>
        </w:rPr>
        <w:t>, 16 de junio de 2021; El País, </w:t>
      </w:r>
      <w:hyperlink r:id="rId172" w:tgtFrame="_blank" w:history="1">
        <w:r w:rsidRPr="000D1DE6">
          <w:rPr>
            <w:rStyle w:val="Hyperlink"/>
            <w:rFonts w:asciiTheme="minorHAnsi" w:hAnsiTheme="minorHAnsi"/>
            <w:lang w:val="es-MX"/>
          </w:rPr>
          <w:t>El conservador Estado de Querétaro aprueba el matrimonio homosexual</w:t>
        </w:r>
      </w:hyperlink>
      <w:r w:rsidRPr="000D1DE6">
        <w:rPr>
          <w:rFonts w:asciiTheme="minorHAnsi" w:hAnsiTheme="minorHAnsi"/>
          <w:lang w:val="es-MX"/>
        </w:rPr>
        <w:t>, 22 de septiembre de 2021; Expansión Política, </w:t>
      </w:r>
      <w:hyperlink r:id="rId173" w:tgtFrame="_blank" w:history="1">
        <w:r w:rsidRPr="000D1DE6">
          <w:rPr>
            <w:rStyle w:val="Hyperlink"/>
            <w:rFonts w:asciiTheme="minorHAnsi" w:hAnsiTheme="minorHAnsi"/>
            <w:lang w:val="es-MX"/>
          </w:rPr>
          <w:t>El Congreso de Sonora le dice "Sí" al matrimonio igualitario</w:t>
        </w:r>
      </w:hyperlink>
      <w:r w:rsidRPr="000D1DE6">
        <w:rPr>
          <w:rFonts w:asciiTheme="minorHAnsi" w:hAnsiTheme="minorHAnsi"/>
          <w:lang w:val="es-MX"/>
        </w:rPr>
        <w:t>, 23 de septiembre de 2021; Expansión Política, </w:t>
      </w:r>
      <w:hyperlink r:id="rId174" w:tgtFrame="_blank" w:history="1">
        <w:r w:rsidRPr="000D1DE6">
          <w:rPr>
            <w:rStyle w:val="Hyperlink"/>
            <w:rFonts w:asciiTheme="minorHAnsi" w:hAnsiTheme="minorHAnsi"/>
            <w:lang w:val="es-MX"/>
          </w:rPr>
          <w:t>El Congreso de Yucatán aprueba el matrimonio igualitario</w:t>
        </w:r>
      </w:hyperlink>
      <w:r w:rsidRPr="000D1DE6">
        <w:rPr>
          <w:rFonts w:asciiTheme="minorHAnsi" w:hAnsiTheme="minorHAnsi"/>
          <w:lang w:val="es-MX"/>
        </w:rPr>
        <w:t xml:space="preserve">, 25 de agosto de 2021; Infobae, </w:t>
      </w:r>
      <w:hyperlink r:id="rId175" w:history="1">
        <w:r w:rsidR="00BA576B" w:rsidRPr="000D1DE6">
          <w:rPr>
            <w:rStyle w:val="Hyperlink"/>
            <w:rFonts w:asciiTheme="minorHAnsi" w:hAnsiTheme="minorHAnsi"/>
            <w:lang w:val="es-MX"/>
          </w:rPr>
          <w:t>Zacatecas se convirtió en el estado número 25 en reconocer el matrimonio igualitario</w:t>
        </w:r>
      </w:hyperlink>
      <w:r w:rsidR="00BA576B" w:rsidRPr="000D1DE6">
        <w:rPr>
          <w:rFonts w:asciiTheme="minorHAnsi" w:hAnsiTheme="minorHAnsi"/>
          <w:lang w:val="es-MX"/>
        </w:rPr>
        <w:t xml:space="preserve">, </w:t>
      </w:r>
      <w:r w:rsidR="006546F1" w:rsidRPr="000D1DE6">
        <w:rPr>
          <w:rFonts w:asciiTheme="minorHAnsi" w:hAnsiTheme="minorHAnsi"/>
          <w:lang w:val="es-MX"/>
        </w:rPr>
        <w:t>14 de diciembre de 2021.</w:t>
      </w:r>
    </w:p>
  </w:footnote>
  <w:footnote w:id="229">
    <w:p w14:paraId="0AB96651" w14:textId="796F83BA" w:rsidR="000235D8" w:rsidRPr="000D1DE6" w:rsidRDefault="000235D8" w:rsidP="00F46807">
      <w:pPr>
        <w:pStyle w:val="FootnoteText"/>
        <w:spacing w:after="120"/>
        <w:ind w:firstLine="720"/>
        <w:rPr>
          <w:rFonts w:asciiTheme="minorHAnsi" w:hAnsiTheme="minorHAnsi"/>
          <w:lang w:val="es-US"/>
        </w:rPr>
      </w:pPr>
      <w:r w:rsidRPr="000D1DE6">
        <w:rPr>
          <w:rStyle w:val="FootnoteReference"/>
          <w:rFonts w:asciiTheme="minorHAnsi" w:hAnsiTheme="minorHAnsi"/>
        </w:rPr>
        <w:footnoteRef/>
      </w:r>
      <w:r w:rsidR="001008C3" w:rsidRPr="000D1DE6">
        <w:rPr>
          <w:rFonts w:asciiTheme="minorHAnsi" w:hAnsiTheme="minorHAnsi"/>
        </w:rPr>
        <w:t xml:space="preserve"> </w:t>
      </w:r>
      <w:r w:rsidR="001008C3" w:rsidRPr="000D1DE6">
        <w:rPr>
          <w:rFonts w:asciiTheme="minorHAnsi" w:hAnsiTheme="minorHAnsi"/>
          <w:lang w:val="es-MX"/>
        </w:rPr>
        <w:t>El Financiero, </w:t>
      </w:r>
      <w:hyperlink r:id="rId176" w:tgtFrame="_blank" w:history="1">
        <w:r w:rsidR="001008C3" w:rsidRPr="000D1DE6">
          <w:rPr>
            <w:rStyle w:val="Hyperlink"/>
            <w:rFonts w:asciiTheme="minorHAnsi" w:hAnsiTheme="minorHAnsi"/>
            <w:lang w:val="es-MX"/>
          </w:rPr>
          <w:t>Congreso de Puebla avala 'Ley Agnes', que reconoce identidad de género autopercibida</w:t>
        </w:r>
      </w:hyperlink>
      <w:r w:rsidR="001008C3" w:rsidRPr="000D1DE6">
        <w:rPr>
          <w:rFonts w:asciiTheme="minorHAnsi" w:hAnsiTheme="minorHAnsi"/>
          <w:lang w:val="es-MX"/>
        </w:rPr>
        <w:t>, 25 de febrero de 2021; El Heraldo de México, </w:t>
      </w:r>
      <w:hyperlink r:id="rId177" w:tgtFrame="_blank" w:history="1">
        <w:r w:rsidR="001008C3" w:rsidRPr="000D1DE6">
          <w:rPr>
            <w:rStyle w:val="Hyperlink"/>
            <w:rFonts w:asciiTheme="minorHAnsi" w:hAnsiTheme="minorHAnsi"/>
            <w:lang w:val="es-MX"/>
          </w:rPr>
          <w:t>BCS aprueba ‘ley trans’ y tipifica como delito las ‘terapias de conversión’</w:t>
        </w:r>
      </w:hyperlink>
      <w:r w:rsidR="001008C3" w:rsidRPr="000D1DE6">
        <w:rPr>
          <w:rFonts w:asciiTheme="minorHAnsi" w:hAnsiTheme="minorHAnsi"/>
          <w:lang w:val="es-MX"/>
        </w:rPr>
        <w:t>, 29 de junio de 2021; Animal Político, </w:t>
      </w:r>
      <w:hyperlink r:id="rId178" w:tgtFrame="_blank" w:history="1">
        <w:r w:rsidR="001008C3" w:rsidRPr="000D1DE6">
          <w:rPr>
            <w:rStyle w:val="Hyperlink"/>
            <w:rFonts w:asciiTheme="minorHAnsi" w:hAnsiTheme="minorHAnsi"/>
            <w:lang w:val="es-MX"/>
          </w:rPr>
          <w:t>Congreso del Edomex aprueba ley trans por el derecho al cambio de identidad de género</w:t>
        </w:r>
      </w:hyperlink>
      <w:r w:rsidR="001008C3" w:rsidRPr="000D1DE6">
        <w:rPr>
          <w:rFonts w:asciiTheme="minorHAnsi" w:hAnsiTheme="minorHAnsi"/>
          <w:lang w:val="es-MX"/>
        </w:rPr>
        <w:t>, 20 de julio de 2021; Morelos 24, </w:t>
      </w:r>
      <w:hyperlink r:id="rId179" w:tgtFrame="_blank" w:history="1">
        <w:r w:rsidR="001008C3" w:rsidRPr="000D1DE6">
          <w:rPr>
            <w:rStyle w:val="Hyperlink"/>
            <w:rFonts w:asciiTheme="minorHAnsi" w:hAnsiTheme="minorHAnsi"/>
            <w:lang w:val="es-MX"/>
          </w:rPr>
          <w:t>Aprueban Ley de Identidad de Género en Congreso de Morelos</w:t>
        </w:r>
      </w:hyperlink>
      <w:r w:rsidR="001008C3" w:rsidRPr="000D1DE6">
        <w:rPr>
          <w:rFonts w:asciiTheme="minorHAnsi" w:hAnsiTheme="minorHAnsi"/>
          <w:lang w:val="es-MX"/>
        </w:rPr>
        <w:t>, 9 de septiembre de 2021.</w:t>
      </w:r>
    </w:p>
  </w:footnote>
  <w:footnote w:id="230">
    <w:p w14:paraId="76F21505" w14:textId="3E952BCD" w:rsidR="003B596B" w:rsidRPr="000D1DE6" w:rsidRDefault="003B596B" w:rsidP="00F46807">
      <w:pPr>
        <w:pStyle w:val="FootnoteText"/>
        <w:spacing w:after="120"/>
        <w:ind w:firstLine="720"/>
        <w:rPr>
          <w:rFonts w:asciiTheme="minorHAnsi" w:hAnsiTheme="minorHAnsi"/>
          <w:lang w:val="es-US"/>
        </w:rPr>
      </w:pPr>
      <w:r w:rsidRPr="000D1DE6">
        <w:rPr>
          <w:rStyle w:val="FootnoteReference"/>
          <w:rFonts w:asciiTheme="minorHAnsi" w:hAnsiTheme="minorHAnsi"/>
        </w:rPr>
        <w:footnoteRef/>
      </w:r>
      <w:r w:rsidR="00495342" w:rsidRPr="000D1DE6">
        <w:rPr>
          <w:rFonts w:asciiTheme="minorHAnsi" w:hAnsiTheme="minorHAnsi"/>
        </w:rPr>
        <w:t xml:space="preserve"> </w:t>
      </w:r>
      <w:r w:rsidR="00495342" w:rsidRPr="000D1DE6">
        <w:rPr>
          <w:rFonts w:asciiTheme="minorHAnsi" w:hAnsiTheme="minorHAnsi"/>
          <w:lang w:val="es-MX"/>
        </w:rPr>
        <w:t>Expansión Política, </w:t>
      </w:r>
      <w:hyperlink r:id="rId180" w:tgtFrame="_blank" w:history="1">
        <w:r w:rsidR="00495342" w:rsidRPr="000D1DE6">
          <w:rPr>
            <w:rStyle w:val="Hyperlink"/>
            <w:rFonts w:asciiTheme="minorHAnsi" w:hAnsiTheme="minorHAnsi"/>
            <w:lang w:val="es-MX"/>
          </w:rPr>
          <w:t>Oaxaca aprueba que menores de edad elijan su identidad de género</w:t>
        </w:r>
      </w:hyperlink>
      <w:r w:rsidR="00495342" w:rsidRPr="000D1DE6">
        <w:rPr>
          <w:rFonts w:asciiTheme="minorHAnsi" w:hAnsiTheme="minorHAnsi"/>
          <w:lang w:val="es-MX"/>
        </w:rPr>
        <w:t>, 5 de octubre de 2021.</w:t>
      </w:r>
      <w:r w:rsidR="00495342" w:rsidRPr="000D1DE6">
        <w:rPr>
          <w:rFonts w:asciiTheme="minorHAnsi" w:hAnsiTheme="minorHAnsi"/>
          <w:lang w:val="es-US"/>
        </w:rPr>
        <w:t> </w:t>
      </w:r>
    </w:p>
  </w:footnote>
  <w:footnote w:id="231">
    <w:p w14:paraId="54BD8F52" w14:textId="7B9EB74F" w:rsidR="00650B13" w:rsidRPr="000D1DE6" w:rsidRDefault="00650B13" w:rsidP="00F46807">
      <w:pPr>
        <w:pStyle w:val="FootnoteText"/>
        <w:spacing w:after="120"/>
        <w:ind w:firstLine="720"/>
        <w:rPr>
          <w:rFonts w:asciiTheme="minorHAnsi" w:hAnsiTheme="minorHAnsi"/>
          <w:lang w:val="es-US"/>
        </w:rPr>
      </w:pPr>
      <w:r w:rsidRPr="000D1DE6">
        <w:rPr>
          <w:rStyle w:val="FootnoteReference"/>
          <w:rFonts w:asciiTheme="minorHAnsi" w:hAnsiTheme="minorHAnsi"/>
        </w:rPr>
        <w:footnoteRef/>
      </w:r>
      <w:r w:rsidRPr="000D1DE6">
        <w:rPr>
          <w:rFonts w:asciiTheme="minorHAnsi" w:hAnsiTheme="minorHAnsi"/>
        </w:rPr>
        <w:t xml:space="preserve"> </w:t>
      </w:r>
      <w:r w:rsidRPr="000D1DE6">
        <w:rPr>
          <w:rFonts w:asciiTheme="minorHAnsi" w:hAnsiTheme="minorHAnsi"/>
          <w:lang w:val="es-US"/>
        </w:rPr>
        <w:t> </w:t>
      </w:r>
      <w:r w:rsidRPr="000D1DE6">
        <w:rPr>
          <w:rFonts w:asciiTheme="minorHAnsi" w:hAnsiTheme="minorHAnsi"/>
          <w:lang w:val="es-MX"/>
        </w:rPr>
        <w:t>El Heraldo de México, </w:t>
      </w:r>
      <w:hyperlink r:id="rId181" w:tgtFrame="_blank" w:history="1">
        <w:r w:rsidRPr="000D1DE6">
          <w:rPr>
            <w:rStyle w:val="Hyperlink"/>
            <w:rFonts w:asciiTheme="minorHAnsi" w:hAnsiTheme="minorHAnsi"/>
            <w:lang w:val="es-MX"/>
          </w:rPr>
          <w:t>BCS aprueba ‘ley trans’ y tipifica como delito las ‘terapias de conversión’</w:t>
        </w:r>
      </w:hyperlink>
      <w:r w:rsidRPr="000D1DE6">
        <w:rPr>
          <w:rFonts w:asciiTheme="minorHAnsi" w:hAnsiTheme="minorHAnsi"/>
          <w:lang w:val="es-MX"/>
        </w:rPr>
        <w:t>, 29 de junio de 2021; Expansión Política, </w:t>
      </w:r>
      <w:hyperlink r:id="rId182" w:tgtFrame="_blank" w:history="1">
        <w:r w:rsidRPr="000D1DE6">
          <w:rPr>
            <w:rStyle w:val="Hyperlink"/>
            <w:rFonts w:asciiTheme="minorHAnsi" w:hAnsiTheme="minorHAnsi"/>
            <w:lang w:val="es-MX"/>
          </w:rPr>
          <w:t>El Congreso de Yucatán aprueba el matrimonio igualitario</w:t>
        </w:r>
      </w:hyperlink>
      <w:r w:rsidRPr="000D1DE6">
        <w:rPr>
          <w:rFonts w:asciiTheme="minorHAnsi" w:hAnsiTheme="minorHAnsi"/>
          <w:lang w:val="es-MX"/>
        </w:rPr>
        <w:t>, 25 de agosto de 2021; CIDH, </w:t>
      </w:r>
      <w:hyperlink r:id="rId183" w:tgtFrame="_blank" w:history="1">
        <w:r w:rsidRPr="000D1DE6">
          <w:rPr>
            <w:rStyle w:val="Hyperlink"/>
            <w:rFonts w:asciiTheme="minorHAnsi" w:hAnsiTheme="minorHAnsi"/>
            <w:lang w:val="es-MX"/>
          </w:rPr>
          <w:t>https://twitter.com/CIDH/status/1431265577419649029?s=20</w:t>
        </w:r>
      </w:hyperlink>
      <w:r w:rsidRPr="000D1DE6">
        <w:rPr>
          <w:rFonts w:asciiTheme="minorHAnsi" w:hAnsiTheme="minorHAnsi"/>
          <w:lang w:val="es-MX"/>
        </w:rPr>
        <w:t>, 27 de agosto de 2021; La Tertulia, </w:t>
      </w:r>
      <w:hyperlink r:id="rId184" w:tgtFrame="_blank" w:history="1">
        <w:r w:rsidRPr="000D1DE6">
          <w:rPr>
            <w:rStyle w:val="Hyperlink"/>
            <w:rFonts w:asciiTheme="minorHAnsi" w:hAnsiTheme="minorHAnsi"/>
            <w:lang w:val="es-MX"/>
          </w:rPr>
          <w:t>Zacatecas prohíbe las terapias de conversión o los ecosig</w:t>
        </w:r>
      </w:hyperlink>
      <w:r w:rsidRPr="000D1DE6">
        <w:rPr>
          <w:rFonts w:asciiTheme="minorHAnsi" w:hAnsiTheme="minorHAnsi"/>
          <w:lang w:val="es-MX"/>
        </w:rPr>
        <w:t>, 30 de agosto de 2021; Contramuro, </w:t>
      </w:r>
      <w:hyperlink r:id="rId185" w:tgtFrame="_blank" w:history="1">
        <w:r w:rsidRPr="000D1DE6">
          <w:rPr>
            <w:rStyle w:val="Hyperlink"/>
            <w:rFonts w:asciiTheme="minorHAnsi" w:hAnsiTheme="minorHAnsi"/>
            <w:lang w:val="es-MX"/>
          </w:rPr>
          <w:t>Legisla Colima contra las terapias de conversión</w:t>
        </w:r>
      </w:hyperlink>
      <w:r w:rsidRPr="000D1DE6">
        <w:rPr>
          <w:rFonts w:asciiTheme="minorHAnsi" w:hAnsiTheme="minorHAnsi"/>
          <w:lang w:val="es-MX"/>
        </w:rPr>
        <w:t>, 28 de septiembre de 2021; Infobae, </w:t>
      </w:r>
      <w:hyperlink r:id="rId186" w:tgtFrame="_blank" w:history="1">
        <w:r w:rsidRPr="000D1DE6">
          <w:rPr>
            <w:rStyle w:val="Hyperlink"/>
            <w:rFonts w:asciiTheme="minorHAnsi" w:hAnsiTheme="minorHAnsi"/>
            <w:lang w:val="es-MX"/>
          </w:rPr>
          <w:t>Congreso de Tlaxcala aprobó castigar con cárcel las terapias de conversión</w:t>
        </w:r>
      </w:hyperlink>
      <w:r w:rsidRPr="000D1DE6">
        <w:rPr>
          <w:rFonts w:asciiTheme="minorHAnsi" w:hAnsiTheme="minorHAnsi"/>
          <w:lang w:val="es-MX"/>
        </w:rPr>
        <w:t>, 19 de octubre de 2021; </w:t>
      </w:r>
      <w:r w:rsidRPr="000D1DE6">
        <w:rPr>
          <w:rFonts w:asciiTheme="minorHAnsi" w:hAnsiTheme="minorHAnsi"/>
          <w:lang w:val="es-US"/>
        </w:rPr>
        <w:t> </w:t>
      </w:r>
    </w:p>
  </w:footnote>
  <w:footnote w:id="232">
    <w:p w14:paraId="28B864D2" w14:textId="02A629CC" w:rsidR="00F11F2D" w:rsidRPr="000D1DE6" w:rsidRDefault="00F11F2D" w:rsidP="00F46807">
      <w:pPr>
        <w:pStyle w:val="FootnoteText"/>
        <w:spacing w:after="120"/>
        <w:ind w:firstLine="720"/>
        <w:rPr>
          <w:rFonts w:asciiTheme="minorHAnsi" w:hAnsiTheme="minorHAnsi"/>
          <w:lang w:val="es-US"/>
        </w:rPr>
      </w:pPr>
      <w:r w:rsidRPr="000D1DE6">
        <w:rPr>
          <w:rStyle w:val="FootnoteReference"/>
          <w:rFonts w:asciiTheme="minorHAnsi" w:hAnsiTheme="minorHAnsi"/>
        </w:rPr>
        <w:footnoteRef/>
      </w:r>
      <w:r w:rsidRPr="000D1DE6">
        <w:rPr>
          <w:rFonts w:asciiTheme="minorHAnsi" w:hAnsiTheme="minorHAnsi"/>
        </w:rPr>
        <w:t xml:space="preserve"> </w:t>
      </w:r>
      <w:r w:rsidRPr="000D1DE6">
        <w:rPr>
          <w:rFonts w:asciiTheme="minorHAnsi" w:hAnsiTheme="minorHAnsi"/>
          <w:lang w:val="es-MX"/>
        </w:rPr>
        <w:t>Anodis, </w:t>
      </w:r>
      <w:hyperlink r:id="rId187" w:tgtFrame="_blank" w:history="1">
        <w:r w:rsidRPr="000D1DE6">
          <w:rPr>
            <w:rStyle w:val="Hyperlink"/>
            <w:rFonts w:asciiTheme="minorHAnsi" w:hAnsiTheme="minorHAnsi"/>
            <w:lang w:val="es-MX"/>
          </w:rPr>
          <w:t>Presenta Diputada del PRI iniciativa sobre cupo laboral trans en CDMX</w:t>
        </w:r>
      </w:hyperlink>
      <w:r w:rsidRPr="000D1DE6">
        <w:rPr>
          <w:rFonts w:asciiTheme="minorHAnsi" w:hAnsiTheme="minorHAnsi"/>
          <w:lang w:val="es-MX"/>
        </w:rPr>
        <w:t>, 2 de diciembre de 2021. </w:t>
      </w:r>
    </w:p>
  </w:footnote>
  <w:footnote w:id="233">
    <w:p w14:paraId="75A516D2" w14:textId="4117DCFC" w:rsidR="000235D8" w:rsidRPr="000D1DE6" w:rsidRDefault="000235D8" w:rsidP="00F46807">
      <w:pPr>
        <w:pStyle w:val="FootnoteText"/>
        <w:spacing w:after="120"/>
        <w:ind w:firstLine="720"/>
        <w:rPr>
          <w:rFonts w:asciiTheme="minorHAnsi" w:hAnsiTheme="minorHAnsi"/>
          <w:lang w:val="es-MX"/>
        </w:rPr>
      </w:pPr>
      <w:r w:rsidRPr="000D1DE6">
        <w:rPr>
          <w:rStyle w:val="FootnoteReference"/>
          <w:rFonts w:asciiTheme="minorHAnsi" w:hAnsiTheme="minorHAnsi"/>
          <w:lang w:val="es-MX"/>
        </w:rPr>
        <w:footnoteRef/>
      </w:r>
      <w:r w:rsidRPr="000D1DE6">
        <w:rPr>
          <w:rFonts w:asciiTheme="minorHAnsi" w:hAnsiTheme="minorHAnsi"/>
          <w:lang w:val="es-MX"/>
        </w:rPr>
        <w:t xml:space="preserve"> Noveno Informe del Estado mexicano sobre el cumplimiento y seguimiento de las recomendaciones contenidas en el informe “Situación de los Derechos Humanos en México”, pág. 61.</w:t>
      </w:r>
    </w:p>
  </w:footnote>
  <w:footnote w:id="234">
    <w:p w14:paraId="59697657" w14:textId="6B5962FD" w:rsidR="000235D8" w:rsidRPr="000D1DE6" w:rsidRDefault="000235D8" w:rsidP="00F46807">
      <w:pPr>
        <w:spacing w:after="120" w:line="240" w:lineRule="auto"/>
        <w:ind w:firstLine="720"/>
        <w:jc w:val="both"/>
        <w:rPr>
          <w:rFonts w:asciiTheme="minorHAnsi" w:eastAsia="Cambria" w:hAnsiTheme="minorHAnsi" w:cs="Cambria"/>
          <w:sz w:val="18"/>
          <w:szCs w:val="18"/>
          <w:lang w:val="es-MX"/>
        </w:rPr>
      </w:pPr>
      <w:r w:rsidRPr="000D1DE6">
        <w:rPr>
          <w:rStyle w:val="FootnoteReference"/>
          <w:rFonts w:asciiTheme="minorHAnsi" w:hAnsiTheme="minorHAnsi"/>
          <w:sz w:val="18"/>
          <w:szCs w:val="18"/>
          <w:lang w:val="es-MX"/>
        </w:rPr>
        <w:footnoteRef/>
      </w:r>
      <w:r w:rsidRPr="000D1DE6">
        <w:rPr>
          <w:rFonts w:asciiTheme="minorHAnsi" w:eastAsia="Cambria" w:hAnsiTheme="minorHAnsi" w:cs="Cambria"/>
          <w:sz w:val="18"/>
          <w:szCs w:val="18"/>
          <w:lang w:val="es-MX"/>
        </w:rPr>
        <w:t xml:space="preserve"> </w:t>
      </w:r>
      <w:r w:rsidRPr="000D1DE6">
        <w:rPr>
          <w:rFonts w:asciiTheme="minorHAnsi" w:hAnsiTheme="minorHAnsi"/>
          <w:sz w:val="18"/>
          <w:szCs w:val="18"/>
          <w:lang w:val="es-MX"/>
        </w:rPr>
        <w:t>Estado mexicano, Informe del Estado mexicano para el Informe Anual 2021 de la CIDH, 17 de septiembre de 2021, remitido mediante Nota Diplomática OEA304 Exp. 4.8.0.1., 18 de septiembre de 2021. [En adelante “Informe del Estado mexicano. Capítulo IV. 18 de septiembre de 2021”].</w:t>
      </w:r>
    </w:p>
  </w:footnote>
  <w:footnote w:id="235">
    <w:p w14:paraId="3DEDD1C8" w14:textId="2EE8BB38" w:rsidR="000235D8" w:rsidRPr="000D1DE6" w:rsidRDefault="000235D8" w:rsidP="00F46807">
      <w:pPr>
        <w:spacing w:after="120" w:line="240" w:lineRule="auto"/>
        <w:ind w:firstLine="720"/>
        <w:jc w:val="both"/>
        <w:rPr>
          <w:rFonts w:asciiTheme="minorHAnsi" w:eastAsia="Cambria" w:hAnsiTheme="minorHAnsi" w:cs="Cambria"/>
          <w:sz w:val="18"/>
          <w:szCs w:val="18"/>
          <w:lang w:val="es-MX"/>
        </w:rPr>
      </w:pPr>
      <w:r w:rsidRPr="000D1DE6">
        <w:rPr>
          <w:rStyle w:val="FootnoteReference"/>
          <w:rFonts w:asciiTheme="minorHAnsi" w:hAnsiTheme="minorHAnsi"/>
          <w:sz w:val="18"/>
          <w:szCs w:val="18"/>
          <w:lang w:val="es-MX"/>
        </w:rPr>
        <w:footnoteRef/>
      </w:r>
      <w:r w:rsidRPr="000D1DE6">
        <w:rPr>
          <w:rFonts w:asciiTheme="minorHAnsi" w:eastAsia="Cambria" w:hAnsiTheme="minorHAnsi" w:cs="Cambria"/>
          <w:sz w:val="18"/>
          <w:szCs w:val="18"/>
          <w:lang w:val="es-MX"/>
        </w:rPr>
        <w:t xml:space="preserve"> </w:t>
      </w:r>
      <w:r w:rsidRPr="000D1DE6">
        <w:rPr>
          <w:rFonts w:asciiTheme="minorHAnsi" w:hAnsiTheme="minorHAnsi"/>
          <w:sz w:val="18"/>
          <w:szCs w:val="18"/>
          <w:lang w:val="es-MX"/>
        </w:rPr>
        <w:t xml:space="preserve">Informe del Estado mexicano. Capítulo IV. 18 de septiembre de 2021, </w:t>
      </w:r>
      <w:r w:rsidRPr="000D1DE6">
        <w:rPr>
          <w:rFonts w:asciiTheme="minorHAnsi" w:eastAsia="Cambria" w:hAnsiTheme="minorHAnsi" w:cs="Cambria"/>
          <w:sz w:val="18"/>
          <w:szCs w:val="18"/>
          <w:lang w:val="es-MX"/>
        </w:rPr>
        <w:t>párr. 127.</w:t>
      </w:r>
    </w:p>
  </w:footnote>
  <w:footnote w:id="236">
    <w:p w14:paraId="6795A7E4" w14:textId="3B9E1E73" w:rsidR="000235D8" w:rsidRPr="000D1DE6" w:rsidRDefault="000235D8" w:rsidP="00F46807">
      <w:pPr>
        <w:pStyle w:val="FootnoteText"/>
        <w:spacing w:after="120"/>
        <w:ind w:firstLine="720"/>
        <w:rPr>
          <w:rFonts w:asciiTheme="minorHAnsi" w:hAnsiTheme="minorHAnsi"/>
          <w:lang w:val="es-MX"/>
        </w:rPr>
      </w:pPr>
      <w:r w:rsidRPr="000D1DE6">
        <w:rPr>
          <w:rStyle w:val="FootnoteReference"/>
          <w:rFonts w:asciiTheme="minorHAnsi" w:hAnsiTheme="minorHAnsi"/>
          <w:lang w:val="es-MX"/>
        </w:rPr>
        <w:footnoteRef/>
      </w:r>
      <w:r w:rsidRPr="000D1DE6">
        <w:rPr>
          <w:rFonts w:asciiTheme="minorHAnsi" w:hAnsiTheme="minorHAnsi"/>
          <w:lang w:val="es-MX"/>
        </w:rPr>
        <w:t xml:space="preserve"> Secretaría de Gobernación, </w:t>
      </w:r>
      <w:hyperlink r:id="rId188" w:history="1">
        <w:r w:rsidRPr="000D1DE6">
          <w:rPr>
            <w:rStyle w:val="Hyperlink"/>
            <w:rFonts w:asciiTheme="minorHAnsi" w:hAnsiTheme="minorHAnsi"/>
            <w:lang w:val="es-MX"/>
          </w:rPr>
          <w:t>Inaugura Gobernación Centro de Justicia para las Mujeres en San Luis Potosí</w:t>
        </w:r>
      </w:hyperlink>
      <w:r w:rsidRPr="000D1DE6">
        <w:rPr>
          <w:rFonts w:asciiTheme="minorHAnsi" w:hAnsiTheme="minorHAnsi"/>
          <w:lang w:val="es-MX"/>
        </w:rPr>
        <w:t>, 15 de julio de 2021</w:t>
      </w:r>
      <w:r w:rsidR="00DD4A85">
        <w:rPr>
          <w:rFonts w:asciiTheme="minorHAnsi" w:hAnsiTheme="minorHAnsi"/>
          <w:lang w:val="es-MX"/>
        </w:rPr>
        <w:t>.</w:t>
      </w:r>
    </w:p>
  </w:footnote>
  <w:footnote w:id="237">
    <w:p w14:paraId="7356C58B" w14:textId="3C02E31E" w:rsidR="000235D8" w:rsidRPr="000D1DE6" w:rsidRDefault="000235D8" w:rsidP="00F46807">
      <w:pPr>
        <w:pStyle w:val="FootnoteText"/>
        <w:spacing w:after="120"/>
        <w:ind w:firstLine="720"/>
        <w:rPr>
          <w:rFonts w:asciiTheme="minorHAnsi" w:hAnsiTheme="minorHAnsi"/>
          <w:lang w:val="es-MX"/>
        </w:rPr>
      </w:pPr>
      <w:r w:rsidRPr="000D1DE6">
        <w:rPr>
          <w:rStyle w:val="FootnoteReference"/>
          <w:rFonts w:asciiTheme="minorHAnsi" w:hAnsiTheme="minorHAnsi"/>
          <w:lang w:val="es-MX"/>
        </w:rPr>
        <w:footnoteRef/>
      </w:r>
      <w:r w:rsidRPr="000D1DE6">
        <w:rPr>
          <w:rFonts w:asciiTheme="minorHAnsi" w:hAnsiTheme="minorHAnsi"/>
          <w:lang w:val="es-MX"/>
        </w:rPr>
        <w:t xml:space="preserve"> CONAVIM. </w:t>
      </w:r>
      <w:hyperlink r:id="rId189" w:history="1">
        <w:r w:rsidRPr="000D1DE6">
          <w:rPr>
            <w:rStyle w:val="Hyperlink"/>
            <w:rFonts w:asciiTheme="minorHAnsi" w:hAnsiTheme="minorHAnsi"/>
            <w:lang w:val="es-MX"/>
          </w:rPr>
          <w:t>Se inaugura Centro de Justicia Integral para las Mujeres en Uruapan, Michoacán</w:t>
        </w:r>
      </w:hyperlink>
      <w:r w:rsidRPr="000D1DE6">
        <w:rPr>
          <w:rFonts w:asciiTheme="minorHAnsi" w:hAnsiTheme="minorHAnsi"/>
          <w:lang w:val="es-MX"/>
        </w:rPr>
        <w:t>, 15 de octubre de 2021</w:t>
      </w:r>
      <w:r w:rsidR="00DD4A85">
        <w:rPr>
          <w:rFonts w:asciiTheme="minorHAnsi" w:hAnsiTheme="minorHAnsi"/>
          <w:lang w:val="es-MX"/>
        </w:rPr>
        <w:t>.</w:t>
      </w:r>
    </w:p>
  </w:footnote>
  <w:footnote w:id="238">
    <w:p w14:paraId="62E55F07" w14:textId="55CFCF5D" w:rsidR="000235D8" w:rsidRPr="000D1DE6" w:rsidRDefault="000235D8" w:rsidP="00F46807">
      <w:pPr>
        <w:spacing w:after="120" w:line="240" w:lineRule="auto"/>
        <w:ind w:firstLine="720"/>
        <w:jc w:val="both"/>
        <w:rPr>
          <w:rFonts w:asciiTheme="minorHAnsi" w:eastAsia="Cambria" w:hAnsiTheme="minorHAnsi" w:cs="Cambria"/>
          <w:sz w:val="18"/>
          <w:szCs w:val="18"/>
          <w:lang w:val="es-MX"/>
        </w:rPr>
      </w:pPr>
      <w:r w:rsidRPr="000D1DE6">
        <w:rPr>
          <w:rStyle w:val="FootnoteReference"/>
          <w:rFonts w:asciiTheme="minorHAnsi" w:hAnsiTheme="minorHAnsi"/>
          <w:sz w:val="18"/>
          <w:szCs w:val="18"/>
          <w:lang w:val="es-MX"/>
        </w:rPr>
        <w:footnoteRef/>
      </w:r>
      <w:r w:rsidRPr="000D1DE6">
        <w:rPr>
          <w:rFonts w:asciiTheme="minorHAnsi" w:eastAsia="Cambria" w:hAnsiTheme="minorHAnsi" w:cs="Cambria"/>
          <w:sz w:val="18"/>
          <w:szCs w:val="18"/>
          <w:lang w:val="es-MX"/>
        </w:rPr>
        <w:t xml:space="preserve"> Fiscalía General de Justicia de la Ciudad de México.</w:t>
      </w:r>
      <w:hyperlink r:id="rId190">
        <w:r w:rsidRPr="000D1DE6">
          <w:rPr>
            <w:rFonts w:asciiTheme="minorHAnsi" w:eastAsia="Cambria" w:hAnsiTheme="minorHAnsi" w:cs="Cambria"/>
            <w:color w:val="1155CC"/>
            <w:sz w:val="18"/>
            <w:szCs w:val="18"/>
            <w:u w:val="single"/>
            <w:lang w:val="es-MX"/>
          </w:rPr>
          <w:t xml:space="preserve"> Centros de Justicia para las Mujeres</w:t>
        </w:r>
      </w:hyperlink>
      <w:r w:rsidRPr="000D1DE6">
        <w:rPr>
          <w:rFonts w:asciiTheme="minorHAnsi" w:eastAsia="Cambria" w:hAnsiTheme="minorHAnsi" w:cs="Cambria"/>
          <w:sz w:val="18"/>
          <w:szCs w:val="18"/>
          <w:lang w:val="es-MX"/>
        </w:rPr>
        <w:t>, consultado el 2 de diciembre de 2021</w:t>
      </w:r>
      <w:r w:rsidR="00DD4A85">
        <w:rPr>
          <w:rFonts w:asciiTheme="minorHAnsi" w:eastAsia="Cambria" w:hAnsiTheme="minorHAnsi" w:cs="Cambria"/>
          <w:sz w:val="18"/>
          <w:szCs w:val="18"/>
          <w:lang w:val="es-MX"/>
        </w:rPr>
        <w:t>.</w:t>
      </w:r>
    </w:p>
  </w:footnote>
  <w:footnote w:id="239">
    <w:p w14:paraId="147B815D" w14:textId="3CA5F168" w:rsidR="000235D8" w:rsidRPr="000D1DE6" w:rsidRDefault="000235D8" w:rsidP="00F46807">
      <w:pPr>
        <w:pStyle w:val="FootnoteText"/>
        <w:spacing w:after="120"/>
        <w:ind w:firstLine="720"/>
        <w:rPr>
          <w:rFonts w:asciiTheme="minorHAnsi" w:hAnsiTheme="minorHAnsi"/>
          <w:lang w:val="es-MX"/>
        </w:rPr>
      </w:pPr>
      <w:r w:rsidRPr="000D1DE6">
        <w:rPr>
          <w:rStyle w:val="FootnoteReference"/>
          <w:rFonts w:asciiTheme="minorHAnsi" w:hAnsiTheme="minorHAnsi"/>
          <w:lang w:val="es-MX"/>
        </w:rPr>
        <w:footnoteRef/>
      </w:r>
      <w:r w:rsidRPr="000D1DE6">
        <w:rPr>
          <w:rFonts w:asciiTheme="minorHAnsi" w:hAnsiTheme="minorHAnsi"/>
          <w:lang w:val="es-MX"/>
        </w:rPr>
        <w:t xml:space="preserve"> Noveno Informe del Estado mexicano sobre el cumplimiento y seguimiento de las recomendaciones contenidas en el informe “Situación de los Derechos Humanos en México”, pág. 61. </w:t>
      </w:r>
    </w:p>
  </w:footnote>
  <w:footnote w:id="240">
    <w:p w14:paraId="611E7CE3" w14:textId="77777777" w:rsidR="000235D8" w:rsidRPr="000D1DE6" w:rsidRDefault="000235D8" w:rsidP="00F46807">
      <w:pPr>
        <w:pStyle w:val="FootnoteText"/>
        <w:spacing w:after="120"/>
        <w:ind w:firstLine="720"/>
        <w:rPr>
          <w:rFonts w:asciiTheme="minorHAnsi" w:hAnsiTheme="minorHAnsi"/>
          <w:lang w:val="es-MX"/>
        </w:rPr>
      </w:pPr>
      <w:r w:rsidRPr="000D1DE6">
        <w:rPr>
          <w:rStyle w:val="FootnoteReference"/>
          <w:rFonts w:asciiTheme="minorHAnsi" w:hAnsiTheme="minorHAnsi"/>
          <w:lang w:val="es-MX"/>
        </w:rPr>
        <w:footnoteRef/>
      </w:r>
      <w:r w:rsidRPr="000D1DE6">
        <w:rPr>
          <w:rFonts w:asciiTheme="minorHAnsi" w:hAnsiTheme="minorHAnsi"/>
          <w:lang w:val="es-MX"/>
        </w:rPr>
        <w:t xml:space="preserve"> La Comisión advierte que el mecanismo de AVGM es el conjunto de acciones gubernamentales de emergencia para enfrentar y erradicar la violencia feminicida en un territorio determinado, ya sea ejercida por individuos o por la propia comunidad. Congreso General de los estados Unidos Mexicanos. </w:t>
      </w:r>
      <w:hyperlink r:id="rId191" w:history="1">
        <w:r w:rsidRPr="000D1DE6">
          <w:rPr>
            <w:rStyle w:val="Hyperlink"/>
            <w:rFonts w:asciiTheme="minorHAnsi" w:hAnsiTheme="minorHAnsi"/>
            <w:lang w:val="es-MX"/>
          </w:rPr>
          <w:t>Ley General de Acceso de las Mujeres a una Vida Libre de Violencia</w:t>
        </w:r>
      </w:hyperlink>
      <w:r w:rsidRPr="000D1DE6">
        <w:rPr>
          <w:rFonts w:asciiTheme="minorHAnsi" w:hAnsiTheme="minorHAnsi"/>
          <w:lang w:val="es-MX"/>
        </w:rPr>
        <w:t>, art. 22</w:t>
      </w:r>
    </w:p>
  </w:footnote>
  <w:footnote w:id="241">
    <w:p w14:paraId="69AA01D4" w14:textId="08594906" w:rsidR="000235D8" w:rsidRPr="000D1DE6" w:rsidRDefault="000235D8" w:rsidP="00F46807">
      <w:pPr>
        <w:spacing w:after="120" w:line="240" w:lineRule="auto"/>
        <w:ind w:firstLine="720"/>
        <w:jc w:val="both"/>
        <w:rPr>
          <w:rFonts w:asciiTheme="minorHAnsi" w:eastAsia="Cambria" w:hAnsiTheme="minorHAnsi" w:cs="Cambria"/>
          <w:sz w:val="18"/>
          <w:szCs w:val="18"/>
          <w:lang w:val="es-MX"/>
        </w:rPr>
      </w:pPr>
      <w:r w:rsidRPr="000D1DE6">
        <w:rPr>
          <w:rStyle w:val="FootnoteReference"/>
          <w:rFonts w:asciiTheme="minorHAnsi" w:hAnsiTheme="minorHAnsi"/>
          <w:sz w:val="18"/>
          <w:szCs w:val="18"/>
          <w:lang w:val="es-MX"/>
        </w:rPr>
        <w:footnoteRef/>
      </w:r>
      <w:r w:rsidRPr="000D1DE6">
        <w:rPr>
          <w:rFonts w:asciiTheme="minorHAnsi" w:eastAsia="Cambria" w:hAnsiTheme="minorHAnsi" w:cs="Cambria"/>
          <w:sz w:val="18"/>
          <w:szCs w:val="18"/>
          <w:lang w:val="es-MX"/>
        </w:rPr>
        <w:t xml:space="preserve"> </w:t>
      </w:r>
      <w:r w:rsidRPr="000D1DE6">
        <w:rPr>
          <w:rFonts w:asciiTheme="minorHAnsi" w:hAnsiTheme="minorHAnsi"/>
          <w:sz w:val="18"/>
          <w:szCs w:val="18"/>
          <w:lang w:val="es-MX"/>
        </w:rPr>
        <w:t>Informe del Estado mexicano. Capítulo IV. 18 de septiembre de 202</w:t>
      </w:r>
      <w:r w:rsidRPr="000D1DE6">
        <w:rPr>
          <w:rFonts w:asciiTheme="minorHAnsi" w:eastAsia="Cambria" w:hAnsiTheme="minorHAnsi" w:cs="Cambria"/>
          <w:sz w:val="18"/>
          <w:szCs w:val="18"/>
          <w:lang w:val="es-MX"/>
        </w:rPr>
        <w:t xml:space="preserve">1, párr. 131. </w:t>
      </w:r>
    </w:p>
  </w:footnote>
  <w:footnote w:id="242">
    <w:p w14:paraId="3A151B66" w14:textId="7336CBBE" w:rsidR="000235D8" w:rsidRPr="000D1DE6" w:rsidRDefault="000235D8" w:rsidP="00F46807">
      <w:pPr>
        <w:spacing w:after="120" w:line="240" w:lineRule="auto"/>
        <w:ind w:firstLine="720"/>
        <w:jc w:val="both"/>
        <w:rPr>
          <w:rFonts w:asciiTheme="minorHAnsi" w:eastAsia="Cambria" w:hAnsiTheme="minorHAnsi" w:cs="Cambria"/>
          <w:sz w:val="18"/>
          <w:szCs w:val="18"/>
          <w:lang w:val="es-MX"/>
        </w:rPr>
      </w:pPr>
      <w:r w:rsidRPr="000D1DE6">
        <w:rPr>
          <w:rStyle w:val="FootnoteReference"/>
          <w:rFonts w:asciiTheme="minorHAnsi" w:hAnsiTheme="minorHAnsi"/>
          <w:sz w:val="18"/>
          <w:szCs w:val="18"/>
          <w:lang w:val="es-MX"/>
        </w:rPr>
        <w:footnoteRef/>
      </w:r>
      <w:r w:rsidRPr="000D1DE6">
        <w:rPr>
          <w:rFonts w:asciiTheme="minorHAnsi" w:eastAsia="Cambria" w:hAnsiTheme="minorHAnsi" w:cs="Cambria"/>
          <w:sz w:val="18"/>
          <w:szCs w:val="18"/>
          <w:lang w:val="es-MX"/>
        </w:rPr>
        <w:t xml:space="preserve"> </w:t>
      </w:r>
      <w:r w:rsidRPr="000D1DE6">
        <w:rPr>
          <w:rFonts w:asciiTheme="minorHAnsi" w:hAnsiTheme="minorHAnsi"/>
          <w:sz w:val="18"/>
          <w:szCs w:val="18"/>
          <w:lang w:val="es-MX"/>
        </w:rPr>
        <w:t>Informe del Estado mexicano. Capítulo IV. 18 de septiembre de 202</w:t>
      </w:r>
      <w:r w:rsidRPr="000D1DE6">
        <w:rPr>
          <w:rFonts w:asciiTheme="minorHAnsi" w:eastAsia="Cambria" w:hAnsiTheme="minorHAnsi" w:cs="Cambria"/>
          <w:sz w:val="18"/>
          <w:szCs w:val="18"/>
          <w:lang w:val="es-MX"/>
        </w:rPr>
        <w:t>1, párr. 131.</w:t>
      </w:r>
    </w:p>
  </w:footnote>
  <w:footnote w:id="243">
    <w:p w14:paraId="56C8FBC8" w14:textId="5A3A3892" w:rsidR="000235D8" w:rsidRPr="000D1DE6" w:rsidRDefault="000235D8" w:rsidP="00F46807">
      <w:pPr>
        <w:spacing w:after="120" w:line="240" w:lineRule="auto"/>
        <w:ind w:firstLine="720"/>
        <w:jc w:val="both"/>
        <w:rPr>
          <w:rFonts w:asciiTheme="minorHAnsi" w:eastAsia="Cambria" w:hAnsiTheme="minorHAnsi" w:cs="Cambria"/>
          <w:sz w:val="18"/>
          <w:szCs w:val="18"/>
          <w:lang w:val="es-MX"/>
        </w:rPr>
      </w:pPr>
      <w:r w:rsidRPr="000D1DE6">
        <w:rPr>
          <w:rStyle w:val="FootnoteReference"/>
          <w:rFonts w:asciiTheme="minorHAnsi" w:hAnsiTheme="minorHAnsi"/>
          <w:sz w:val="18"/>
          <w:szCs w:val="18"/>
          <w:lang w:val="es-MX"/>
        </w:rPr>
        <w:footnoteRef/>
      </w:r>
      <w:r w:rsidRPr="000D1DE6">
        <w:rPr>
          <w:rFonts w:asciiTheme="minorHAnsi" w:eastAsia="Cambria" w:hAnsiTheme="minorHAnsi" w:cs="Cambria"/>
          <w:sz w:val="18"/>
          <w:szCs w:val="18"/>
          <w:lang w:val="es-MX"/>
        </w:rPr>
        <w:t xml:space="preserve"> </w:t>
      </w:r>
      <w:r w:rsidRPr="000D1DE6">
        <w:rPr>
          <w:rFonts w:asciiTheme="minorHAnsi" w:hAnsiTheme="minorHAnsi"/>
          <w:sz w:val="18"/>
          <w:szCs w:val="18"/>
          <w:lang w:val="es-MX"/>
        </w:rPr>
        <w:t>Informe del Estado mexicano. Capítulo IV. 18 de septiembre de 202</w:t>
      </w:r>
      <w:r w:rsidRPr="000D1DE6">
        <w:rPr>
          <w:rFonts w:asciiTheme="minorHAnsi" w:eastAsia="Cambria" w:hAnsiTheme="minorHAnsi" w:cs="Cambria"/>
          <w:sz w:val="18"/>
          <w:szCs w:val="18"/>
          <w:lang w:val="es-MX"/>
        </w:rPr>
        <w:t>1, párr. 130.</w:t>
      </w:r>
    </w:p>
  </w:footnote>
  <w:footnote w:id="244">
    <w:p w14:paraId="77701ECA" w14:textId="74829F0C" w:rsidR="000235D8" w:rsidRPr="000D1DE6" w:rsidRDefault="000235D8" w:rsidP="00F46807">
      <w:pPr>
        <w:spacing w:after="120" w:line="240" w:lineRule="auto"/>
        <w:ind w:firstLine="720"/>
        <w:jc w:val="both"/>
        <w:rPr>
          <w:rFonts w:asciiTheme="minorHAnsi" w:eastAsia="Cambria" w:hAnsiTheme="minorHAnsi" w:cs="Cambria"/>
          <w:sz w:val="18"/>
          <w:szCs w:val="18"/>
          <w:lang w:val="es-MX"/>
        </w:rPr>
      </w:pPr>
      <w:r w:rsidRPr="000D1DE6">
        <w:rPr>
          <w:rStyle w:val="FootnoteReference"/>
          <w:rFonts w:asciiTheme="minorHAnsi" w:hAnsiTheme="minorHAnsi"/>
          <w:sz w:val="18"/>
          <w:szCs w:val="18"/>
          <w:lang w:val="es-MX"/>
        </w:rPr>
        <w:footnoteRef/>
      </w:r>
      <w:r w:rsidRPr="000D1DE6">
        <w:rPr>
          <w:rFonts w:asciiTheme="minorHAnsi" w:eastAsia="Cambria" w:hAnsiTheme="minorHAnsi" w:cs="Cambria"/>
          <w:sz w:val="18"/>
          <w:szCs w:val="18"/>
          <w:lang w:val="es-MX"/>
        </w:rPr>
        <w:t xml:space="preserve"> </w:t>
      </w:r>
      <w:r w:rsidRPr="000D1DE6">
        <w:rPr>
          <w:rFonts w:asciiTheme="minorHAnsi" w:hAnsiTheme="minorHAnsi"/>
          <w:sz w:val="18"/>
          <w:szCs w:val="18"/>
          <w:lang w:val="es-MX"/>
        </w:rPr>
        <w:t>Informe del Estado mexicano. Capítulo IV. 18 de septiembre de 202</w:t>
      </w:r>
      <w:r w:rsidRPr="000D1DE6">
        <w:rPr>
          <w:rFonts w:asciiTheme="minorHAnsi" w:eastAsia="Cambria" w:hAnsiTheme="minorHAnsi" w:cs="Cambria"/>
          <w:sz w:val="18"/>
          <w:szCs w:val="18"/>
          <w:lang w:val="es-MX"/>
        </w:rPr>
        <w:t>1, párr. 257.</w:t>
      </w:r>
    </w:p>
  </w:footnote>
  <w:footnote w:id="245">
    <w:p w14:paraId="235A243F" w14:textId="68584AA2" w:rsidR="000235D8" w:rsidRPr="000D1DE6" w:rsidRDefault="000235D8" w:rsidP="00F46807">
      <w:pPr>
        <w:pStyle w:val="FootnoteText"/>
        <w:spacing w:after="120"/>
        <w:ind w:firstLine="720"/>
        <w:rPr>
          <w:rFonts w:asciiTheme="minorHAnsi" w:hAnsiTheme="minorHAnsi"/>
          <w:lang w:val="es-MX"/>
        </w:rPr>
      </w:pPr>
      <w:r w:rsidRPr="000D1DE6">
        <w:rPr>
          <w:rStyle w:val="FootnoteReference"/>
          <w:rFonts w:asciiTheme="minorHAnsi" w:hAnsiTheme="minorHAnsi"/>
          <w:lang w:val="es-MX"/>
        </w:rPr>
        <w:footnoteRef/>
      </w:r>
      <w:r w:rsidRPr="000D1DE6">
        <w:rPr>
          <w:rFonts w:asciiTheme="minorHAnsi" w:hAnsiTheme="minorHAnsi"/>
          <w:lang w:val="es-MX"/>
        </w:rPr>
        <w:t xml:space="preserve"> Noveno Informe del Estado mexicano sobre el cumplimiento y seguimiento de las recomendaciones contenidas en el informe “Situación de los Derechos Humanos en México”, pág. 62. </w:t>
      </w:r>
    </w:p>
  </w:footnote>
  <w:footnote w:id="246">
    <w:p w14:paraId="542D37E9" w14:textId="65DF5178" w:rsidR="000235D8" w:rsidRPr="000D1DE6" w:rsidRDefault="000235D8" w:rsidP="00F46807">
      <w:pPr>
        <w:spacing w:after="120" w:line="240" w:lineRule="auto"/>
        <w:ind w:firstLine="720"/>
        <w:jc w:val="both"/>
        <w:rPr>
          <w:rFonts w:asciiTheme="minorHAnsi" w:eastAsia="Cambria" w:hAnsiTheme="minorHAnsi" w:cs="Cambria"/>
          <w:sz w:val="18"/>
          <w:szCs w:val="18"/>
          <w:lang w:val="es-MX"/>
        </w:rPr>
      </w:pPr>
      <w:r w:rsidRPr="000D1DE6">
        <w:rPr>
          <w:rStyle w:val="FootnoteReference"/>
          <w:rFonts w:asciiTheme="minorHAnsi" w:hAnsiTheme="minorHAnsi"/>
          <w:sz w:val="18"/>
          <w:szCs w:val="18"/>
          <w:lang w:val="es-MX"/>
        </w:rPr>
        <w:footnoteRef/>
      </w:r>
      <w:r w:rsidRPr="000D1DE6">
        <w:rPr>
          <w:rFonts w:asciiTheme="minorHAnsi" w:eastAsia="Cambria" w:hAnsiTheme="minorHAnsi" w:cs="Cambria"/>
          <w:sz w:val="18"/>
          <w:szCs w:val="18"/>
          <w:lang w:val="es-MX"/>
        </w:rPr>
        <w:t xml:space="preserve"> </w:t>
      </w:r>
      <w:r w:rsidRPr="000D1DE6">
        <w:rPr>
          <w:rFonts w:asciiTheme="minorHAnsi" w:hAnsiTheme="minorHAnsi"/>
          <w:sz w:val="18"/>
          <w:szCs w:val="18"/>
          <w:lang w:val="es-MX"/>
        </w:rPr>
        <w:t>Informe del Estado mexicano. Capítulo IV. 18 de septiembre de 202</w:t>
      </w:r>
      <w:r w:rsidRPr="000D1DE6">
        <w:rPr>
          <w:rFonts w:asciiTheme="minorHAnsi" w:eastAsia="Cambria" w:hAnsiTheme="minorHAnsi" w:cs="Cambria"/>
          <w:sz w:val="18"/>
          <w:szCs w:val="18"/>
          <w:lang w:val="es-MX"/>
        </w:rPr>
        <w:t>1, párr. 148.</w:t>
      </w:r>
    </w:p>
  </w:footnote>
  <w:footnote w:id="247">
    <w:p w14:paraId="3E20EAD2" w14:textId="1BAB8B2A" w:rsidR="000235D8" w:rsidRPr="000D1DE6" w:rsidRDefault="000235D8" w:rsidP="00F46807">
      <w:pPr>
        <w:spacing w:after="120" w:line="240" w:lineRule="auto"/>
        <w:ind w:firstLine="720"/>
        <w:jc w:val="both"/>
        <w:rPr>
          <w:rFonts w:asciiTheme="minorHAnsi" w:eastAsia="Cambria" w:hAnsiTheme="minorHAnsi" w:cs="Cambria"/>
          <w:sz w:val="18"/>
          <w:szCs w:val="18"/>
          <w:lang w:val="es-MX"/>
        </w:rPr>
      </w:pPr>
      <w:r w:rsidRPr="000D1DE6">
        <w:rPr>
          <w:rStyle w:val="FootnoteReference"/>
          <w:rFonts w:asciiTheme="minorHAnsi" w:hAnsiTheme="minorHAnsi"/>
          <w:sz w:val="18"/>
          <w:szCs w:val="18"/>
          <w:lang w:val="es-MX"/>
        </w:rPr>
        <w:footnoteRef/>
      </w:r>
      <w:r w:rsidRPr="000D1DE6">
        <w:rPr>
          <w:rFonts w:asciiTheme="minorHAnsi" w:eastAsia="Cambria" w:hAnsiTheme="minorHAnsi" w:cs="Cambria"/>
          <w:sz w:val="18"/>
          <w:szCs w:val="18"/>
          <w:lang w:val="es-MX"/>
        </w:rPr>
        <w:t xml:space="preserve"> </w:t>
      </w:r>
      <w:r w:rsidRPr="000D1DE6">
        <w:rPr>
          <w:rFonts w:asciiTheme="minorHAnsi" w:hAnsiTheme="minorHAnsi"/>
          <w:sz w:val="18"/>
          <w:szCs w:val="18"/>
          <w:lang w:val="es-MX"/>
        </w:rPr>
        <w:t>Informe del Estado mexicano. Capítulo IV. 18 de septiembre de 202</w:t>
      </w:r>
      <w:r w:rsidRPr="000D1DE6">
        <w:rPr>
          <w:rFonts w:asciiTheme="minorHAnsi" w:eastAsia="Cambria" w:hAnsiTheme="minorHAnsi" w:cs="Cambria"/>
          <w:sz w:val="18"/>
          <w:szCs w:val="18"/>
          <w:lang w:val="es-MX"/>
        </w:rPr>
        <w:t>1, párr. 122.</w:t>
      </w:r>
    </w:p>
  </w:footnote>
  <w:footnote w:id="248">
    <w:p w14:paraId="717211E4" w14:textId="61BF0D54" w:rsidR="000235D8" w:rsidRPr="000D1DE6" w:rsidRDefault="000235D8" w:rsidP="00F46807">
      <w:pPr>
        <w:pStyle w:val="FootnoteText"/>
        <w:spacing w:after="120"/>
        <w:ind w:firstLine="720"/>
        <w:rPr>
          <w:rFonts w:asciiTheme="minorHAnsi" w:hAnsiTheme="minorHAnsi"/>
        </w:rPr>
      </w:pPr>
      <w:r w:rsidRPr="000D1DE6">
        <w:rPr>
          <w:rStyle w:val="FootnoteReference"/>
          <w:rFonts w:asciiTheme="minorHAnsi" w:hAnsiTheme="minorHAnsi"/>
        </w:rPr>
        <w:footnoteRef/>
      </w:r>
      <w:r w:rsidRPr="000D1DE6">
        <w:rPr>
          <w:rFonts w:asciiTheme="minorHAnsi" w:hAnsiTheme="minorHAnsi"/>
        </w:rPr>
        <w:t xml:space="preserve"> El Estado informó que el marco de la Iniciativa Spotlight México, en conjunto con la Organización de las Naciones Unidas en México y la Sociedad Civil Organizada - se realizaron acciones incluyendo la evaluación de las AVGM; la publicación de un manual para periodistas con perspectiva de género; la implementación del Programa Alojamiento Seguro para involucrar hoteles en el resguardo de mujeres víctimas de violencia y sus hijos e hijas; la asesoría para el fortalecimiento del Banco Nacional de Datos e Información sobre Casos de Violencia contra las Mujeres; la capacitación a personas primeras respondientes, personas funcionarias públicas y organizaciones de la sociedad civil y; el acompañamiento al Congreso de la Unión y al Congreso del estado de Chihuahua en iniciativas de reformas legislativas para eliminar disposiciones jurídicas discriminatorias contra mujeres y niñas</w:t>
      </w:r>
    </w:p>
  </w:footnote>
  <w:footnote w:id="249">
    <w:p w14:paraId="0BF51C34" w14:textId="2A001FD1" w:rsidR="000235D8" w:rsidRPr="000D1DE6" w:rsidRDefault="000235D8" w:rsidP="00F46807">
      <w:pPr>
        <w:spacing w:after="120" w:line="240" w:lineRule="auto"/>
        <w:ind w:firstLine="720"/>
        <w:jc w:val="both"/>
        <w:rPr>
          <w:rFonts w:asciiTheme="minorHAnsi" w:hAnsiTheme="minorHAnsi"/>
          <w:sz w:val="18"/>
          <w:szCs w:val="18"/>
          <w:lang w:val="es-MX"/>
        </w:rPr>
      </w:pPr>
      <w:r w:rsidRPr="000D1DE6">
        <w:rPr>
          <w:rStyle w:val="FootnoteReference"/>
          <w:rFonts w:asciiTheme="minorHAnsi" w:hAnsiTheme="minorHAnsi"/>
          <w:sz w:val="18"/>
          <w:szCs w:val="18"/>
          <w:lang w:val="es-MX"/>
        </w:rPr>
        <w:footnoteRef/>
      </w:r>
      <w:r w:rsidRPr="000D1DE6">
        <w:rPr>
          <w:rFonts w:asciiTheme="minorHAnsi" w:hAnsiTheme="minorHAnsi"/>
          <w:sz w:val="18"/>
          <w:szCs w:val="18"/>
          <w:lang w:val="es-MX"/>
        </w:rPr>
        <w:t xml:space="preserve"> </w:t>
      </w:r>
      <w:r w:rsidRPr="000D1DE6">
        <w:rPr>
          <w:rFonts w:asciiTheme="minorHAnsi" w:eastAsia="Cambria" w:hAnsiTheme="minorHAnsi" w:cs="Cambria"/>
          <w:sz w:val="18"/>
          <w:szCs w:val="18"/>
          <w:lang w:val="es-MX"/>
        </w:rPr>
        <w:t xml:space="preserve">Diario Oficial de la Federación, </w:t>
      </w:r>
      <w:hyperlink r:id="rId192">
        <w:r w:rsidRPr="000D1DE6">
          <w:rPr>
            <w:rFonts w:asciiTheme="minorHAnsi" w:eastAsia="Cambria" w:hAnsiTheme="minorHAnsi" w:cs="Cambria"/>
            <w:color w:val="1155CC"/>
            <w:sz w:val="18"/>
            <w:szCs w:val="18"/>
            <w:u w:val="single"/>
            <w:lang w:val="es-MX"/>
          </w:rPr>
          <w:t>Decreto por el que se reforman y adicionan diversas disposiciones de la Ley General de Acceso de las Mujeres a una Vida Libre de Violencia</w:t>
        </w:r>
      </w:hyperlink>
      <w:r w:rsidRPr="000D1DE6">
        <w:rPr>
          <w:rFonts w:asciiTheme="minorHAnsi" w:eastAsia="Cambria" w:hAnsiTheme="minorHAnsi" w:cs="Cambria"/>
          <w:sz w:val="18"/>
          <w:szCs w:val="18"/>
          <w:lang w:val="es-MX"/>
        </w:rPr>
        <w:t xml:space="preserve">, 18 de marzo de 2021; Diario Oficial de la Federación, </w:t>
      </w:r>
      <w:hyperlink r:id="rId193">
        <w:r w:rsidRPr="000D1DE6">
          <w:rPr>
            <w:rFonts w:asciiTheme="minorHAnsi" w:eastAsia="Cambria" w:hAnsiTheme="minorHAnsi" w:cs="Cambria"/>
            <w:color w:val="1155CC"/>
            <w:sz w:val="18"/>
            <w:szCs w:val="18"/>
            <w:u w:val="single"/>
            <w:lang w:val="es-MX"/>
          </w:rPr>
          <w:t>DECRETO por el que se adicionan diversas disposiciones a la Ley General de Acceso de las Mujeres a una Vida Libre de Violencia y al Código Penal Federal,</w:t>
        </w:r>
      </w:hyperlink>
      <w:r w:rsidRPr="000D1DE6">
        <w:rPr>
          <w:rFonts w:asciiTheme="minorHAnsi" w:eastAsia="Cambria" w:hAnsiTheme="minorHAnsi" w:cs="Cambria"/>
          <w:sz w:val="18"/>
          <w:szCs w:val="18"/>
          <w:lang w:val="es-MX"/>
        </w:rPr>
        <w:t xml:space="preserve"> 1 de junio de 2021</w:t>
      </w:r>
      <w:r w:rsidR="00DD4A85">
        <w:rPr>
          <w:rFonts w:asciiTheme="minorHAnsi" w:eastAsia="Cambria" w:hAnsiTheme="minorHAnsi" w:cs="Cambria"/>
          <w:sz w:val="18"/>
          <w:szCs w:val="18"/>
          <w:lang w:val="es-MX"/>
        </w:rPr>
        <w:t>.</w:t>
      </w:r>
    </w:p>
  </w:footnote>
  <w:footnote w:id="250">
    <w:p w14:paraId="5547B169" w14:textId="61D16147" w:rsidR="000235D8" w:rsidRPr="000D1DE6" w:rsidRDefault="000235D8" w:rsidP="00F46807">
      <w:pPr>
        <w:spacing w:after="120" w:line="240" w:lineRule="auto"/>
        <w:ind w:firstLine="720"/>
        <w:jc w:val="both"/>
        <w:rPr>
          <w:rFonts w:asciiTheme="minorHAnsi" w:hAnsiTheme="minorHAnsi"/>
          <w:sz w:val="18"/>
          <w:szCs w:val="18"/>
          <w:lang w:val="es-MX"/>
        </w:rPr>
      </w:pPr>
      <w:r w:rsidRPr="000D1DE6">
        <w:rPr>
          <w:rStyle w:val="FootnoteReference"/>
          <w:rFonts w:asciiTheme="minorHAnsi" w:hAnsiTheme="minorHAnsi"/>
          <w:sz w:val="18"/>
          <w:szCs w:val="18"/>
          <w:lang w:val="es-MX"/>
        </w:rPr>
        <w:footnoteRef/>
      </w:r>
      <w:r w:rsidRPr="000D1DE6">
        <w:rPr>
          <w:rFonts w:asciiTheme="minorHAnsi" w:eastAsia="Cambria" w:hAnsiTheme="minorHAnsi" w:cs="Cambria"/>
          <w:sz w:val="18"/>
          <w:szCs w:val="18"/>
          <w:lang w:val="es-MX"/>
        </w:rPr>
        <w:t xml:space="preserve"> Diario Oficial de la Federación, </w:t>
      </w:r>
      <w:hyperlink r:id="rId194">
        <w:r w:rsidRPr="000D1DE6">
          <w:rPr>
            <w:rFonts w:asciiTheme="minorHAnsi" w:eastAsia="Cambria" w:hAnsiTheme="minorHAnsi" w:cs="Cambria"/>
            <w:color w:val="1155CC"/>
            <w:sz w:val="18"/>
            <w:szCs w:val="18"/>
            <w:u w:val="single"/>
            <w:lang w:val="es-MX"/>
          </w:rPr>
          <w:t>DECRETO por el que se adicionan diversas disposiciones a la Ley General de Acceso de las Mujeres a una Vida Libre de Violencia y al Código Penal Federal</w:t>
        </w:r>
      </w:hyperlink>
      <w:r w:rsidRPr="000D1DE6">
        <w:rPr>
          <w:rFonts w:asciiTheme="minorHAnsi" w:eastAsia="Cambria" w:hAnsiTheme="minorHAnsi" w:cs="Cambria"/>
          <w:sz w:val="18"/>
          <w:szCs w:val="18"/>
          <w:lang w:val="es-MX"/>
        </w:rPr>
        <w:t>, 1 de junio de 2021</w:t>
      </w:r>
      <w:r w:rsidR="00DD4A85">
        <w:rPr>
          <w:rFonts w:asciiTheme="minorHAnsi" w:eastAsia="Cambria" w:hAnsiTheme="minorHAnsi" w:cs="Cambria"/>
          <w:sz w:val="18"/>
          <w:szCs w:val="18"/>
          <w:lang w:val="es-MX"/>
        </w:rPr>
        <w:t>.</w:t>
      </w:r>
    </w:p>
  </w:footnote>
  <w:footnote w:id="251">
    <w:p w14:paraId="3A6DDDAA" w14:textId="2052F7FB" w:rsidR="000235D8" w:rsidRPr="000D1DE6" w:rsidRDefault="000235D8" w:rsidP="00F46807">
      <w:pPr>
        <w:spacing w:after="120" w:line="240" w:lineRule="auto"/>
        <w:ind w:firstLine="720"/>
        <w:jc w:val="both"/>
        <w:rPr>
          <w:rFonts w:asciiTheme="minorHAnsi" w:hAnsiTheme="minorHAnsi"/>
          <w:sz w:val="18"/>
          <w:szCs w:val="18"/>
          <w:lang w:val="es-MX"/>
        </w:rPr>
      </w:pPr>
      <w:r w:rsidRPr="000D1DE6">
        <w:rPr>
          <w:rStyle w:val="FootnoteReference"/>
          <w:rFonts w:asciiTheme="minorHAnsi" w:hAnsiTheme="minorHAnsi"/>
          <w:sz w:val="18"/>
          <w:szCs w:val="18"/>
          <w:lang w:val="es-MX"/>
        </w:rPr>
        <w:footnoteRef/>
      </w:r>
      <w:r w:rsidRPr="000D1DE6">
        <w:rPr>
          <w:rFonts w:asciiTheme="minorHAnsi" w:hAnsiTheme="minorHAnsi"/>
          <w:sz w:val="18"/>
          <w:szCs w:val="18"/>
          <w:lang w:val="es-MX"/>
        </w:rPr>
        <w:t xml:space="preserve"> </w:t>
      </w:r>
      <w:r w:rsidRPr="000D1DE6">
        <w:rPr>
          <w:rFonts w:asciiTheme="minorHAnsi" w:eastAsia="Cambria" w:hAnsiTheme="minorHAnsi" w:cs="Cambria"/>
          <w:sz w:val="18"/>
          <w:szCs w:val="18"/>
          <w:lang w:val="es-MX"/>
        </w:rPr>
        <w:t>Congreso del Estado de Chihuahua.</w:t>
      </w:r>
      <w:hyperlink r:id="rId195">
        <w:r w:rsidRPr="000D1DE6">
          <w:rPr>
            <w:rFonts w:asciiTheme="minorHAnsi" w:eastAsia="Cambria" w:hAnsiTheme="minorHAnsi" w:cs="Cambria"/>
            <w:color w:val="1155CC"/>
            <w:sz w:val="18"/>
            <w:szCs w:val="18"/>
            <w:u w:val="single"/>
            <w:lang w:val="es-MX"/>
          </w:rPr>
          <w:t xml:space="preserve"> Integra Congreso de Chihuahua el feminicidio a delitos que son imprescriptibles</w:t>
        </w:r>
      </w:hyperlink>
      <w:r w:rsidRPr="000D1DE6">
        <w:rPr>
          <w:rFonts w:asciiTheme="minorHAnsi" w:eastAsia="Cambria" w:hAnsiTheme="minorHAnsi" w:cs="Cambria"/>
          <w:sz w:val="18"/>
          <w:szCs w:val="18"/>
          <w:lang w:val="es-MX"/>
        </w:rPr>
        <w:t>, 8 de abril de 2021</w:t>
      </w:r>
      <w:r w:rsidR="00DD4A85">
        <w:rPr>
          <w:rFonts w:asciiTheme="minorHAnsi" w:eastAsia="Cambria" w:hAnsiTheme="minorHAnsi" w:cs="Cambria"/>
          <w:sz w:val="18"/>
          <w:szCs w:val="18"/>
          <w:lang w:val="es-MX"/>
        </w:rPr>
        <w:t>.</w:t>
      </w:r>
    </w:p>
  </w:footnote>
  <w:footnote w:id="252">
    <w:p w14:paraId="23DD9867" w14:textId="388DBE28" w:rsidR="000235D8" w:rsidRPr="000D1DE6" w:rsidRDefault="000235D8" w:rsidP="00F46807">
      <w:pPr>
        <w:spacing w:after="120" w:line="240" w:lineRule="auto"/>
        <w:ind w:firstLine="720"/>
        <w:jc w:val="both"/>
        <w:rPr>
          <w:rFonts w:asciiTheme="minorHAnsi" w:eastAsia="Cambria" w:hAnsiTheme="minorHAnsi" w:cs="Cambria"/>
          <w:sz w:val="18"/>
          <w:szCs w:val="18"/>
          <w:lang w:val="es-MX"/>
        </w:rPr>
      </w:pPr>
      <w:r w:rsidRPr="000D1DE6">
        <w:rPr>
          <w:rStyle w:val="FootnoteReference"/>
          <w:rFonts w:asciiTheme="minorHAnsi" w:hAnsiTheme="minorHAnsi"/>
          <w:sz w:val="18"/>
          <w:szCs w:val="18"/>
          <w:lang w:val="es-MX"/>
        </w:rPr>
        <w:footnoteRef/>
      </w:r>
      <w:r w:rsidRPr="000D1DE6">
        <w:rPr>
          <w:rFonts w:asciiTheme="minorHAnsi" w:eastAsia="Cambria" w:hAnsiTheme="minorHAnsi" w:cs="Cambria"/>
          <w:sz w:val="18"/>
          <w:szCs w:val="18"/>
          <w:lang w:val="es-MX"/>
        </w:rPr>
        <w:t xml:space="preserve"> Secretaria de Seguridad Ciudadana. </w:t>
      </w:r>
      <w:hyperlink r:id="rId196">
        <w:r w:rsidRPr="000D1DE6">
          <w:rPr>
            <w:rFonts w:asciiTheme="minorHAnsi" w:eastAsia="Cambria" w:hAnsiTheme="minorHAnsi" w:cs="Cambria"/>
            <w:color w:val="1155CC"/>
            <w:sz w:val="18"/>
            <w:szCs w:val="18"/>
            <w:u w:val="single"/>
            <w:lang w:val="es-MX"/>
          </w:rPr>
          <w:t>Incidencia Delictiva del Fuero Común 2021, Instrumento para el Registro, Clasificación y Reporte de Delitos y las Víctimas CNSP/38/15</w:t>
        </w:r>
      </w:hyperlink>
      <w:r w:rsidRPr="000D1DE6">
        <w:rPr>
          <w:rFonts w:asciiTheme="minorHAnsi" w:eastAsia="Cambria" w:hAnsiTheme="minorHAnsi" w:cs="Cambria"/>
          <w:sz w:val="18"/>
          <w:szCs w:val="18"/>
          <w:lang w:val="es-MX"/>
        </w:rPr>
        <w:t>, 20 de noviembre de 2021</w:t>
      </w:r>
      <w:r w:rsidR="00DD4A85">
        <w:rPr>
          <w:rFonts w:asciiTheme="minorHAnsi" w:eastAsia="Cambria" w:hAnsiTheme="minorHAnsi" w:cs="Cambria"/>
          <w:sz w:val="18"/>
          <w:szCs w:val="18"/>
          <w:lang w:val="es-MX"/>
        </w:rPr>
        <w:t>.</w:t>
      </w:r>
    </w:p>
  </w:footnote>
  <w:footnote w:id="253">
    <w:p w14:paraId="072C7280" w14:textId="6AFB298F" w:rsidR="000235D8" w:rsidRPr="000D1DE6" w:rsidRDefault="000235D8" w:rsidP="00F46807">
      <w:pPr>
        <w:spacing w:after="120" w:line="240" w:lineRule="auto"/>
        <w:ind w:firstLine="720"/>
        <w:jc w:val="both"/>
        <w:rPr>
          <w:rFonts w:asciiTheme="minorHAnsi" w:eastAsia="Cambria" w:hAnsiTheme="minorHAnsi" w:cs="Cambria"/>
          <w:sz w:val="18"/>
          <w:szCs w:val="18"/>
          <w:lang w:val="es-MX"/>
        </w:rPr>
      </w:pPr>
      <w:r w:rsidRPr="000D1DE6">
        <w:rPr>
          <w:rStyle w:val="FootnoteReference"/>
          <w:rFonts w:asciiTheme="minorHAnsi" w:hAnsiTheme="minorHAnsi"/>
          <w:sz w:val="18"/>
          <w:szCs w:val="18"/>
          <w:lang w:val="es-MX"/>
        </w:rPr>
        <w:footnoteRef/>
      </w:r>
      <w:r w:rsidRPr="000D1DE6">
        <w:rPr>
          <w:rFonts w:asciiTheme="minorHAnsi" w:eastAsia="Cambria" w:hAnsiTheme="minorHAnsi" w:cs="Cambria"/>
          <w:sz w:val="18"/>
          <w:szCs w:val="18"/>
          <w:lang w:val="es-MX"/>
        </w:rPr>
        <w:t xml:space="preserve"> Secretaria de Seguridad Ciudadana. </w:t>
      </w:r>
      <w:hyperlink r:id="rId197">
        <w:r w:rsidRPr="000D1DE6">
          <w:rPr>
            <w:rFonts w:asciiTheme="minorHAnsi" w:eastAsia="Cambria" w:hAnsiTheme="minorHAnsi" w:cs="Cambria"/>
            <w:color w:val="1155CC"/>
            <w:sz w:val="18"/>
            <w:szCs w:val="18"/>
            <w:u w:val="single"/>
            <w:lang w:val="es-MX"/>
          </w:rPr>
          <w:t>Información sobre violencia contra las mujeres</w:t>
        </w:r>
      </w:hyperlink>
      <w:r w:rsidRPr="000D1DE6">
        <w:rPr>
          <w:rFonts w:asciiTheme="minorHAnsi" w:eastAsia="Cambria" w:hAnsiTheme="minorHAnsi" w:cs="Cambria"/>
          <w:sz w:val="18"/>
          <w:szCs w:val="18"/>
          <w:lang w:val="es-MX"/>
        </w:rPr>
        <w:t>. Información con corte al 31 de octubre de 2021</w:t>
      </w:r>
      <w:r w:rsidR="002F1A6A" w:rsidRPr="000D1DE6">
        <w:rPr>
          <w:rFonts w:asciiTheme="minorHAnsi" w:eastAsia="Cambria" w:hAnsiTheme="minorHAnsi" w:cs="Cambria"/>
          <w:sz w:val="18"/>
          <w:szCs w:val="18"/>
          <w:lang w:val="es-MX"/>
        </w:rPr>
        <w:t>.</w:t>
      </w:r>
    </w:p>
  </w:footnote>
  <w:footnote w:id="254">
    <w:p w14:paraId="14A624D5" w14:textId="535A8829" w:rsidR="002F1A6A" w:rsidRPr="000D1DE6" w:rsidRDefault="002F1A6A" w:rsidP="00F46807">
      <w:pPr>
        <w:pStyle w:val="FootnoteText"/>
        <w:spacing w:after="120"/>
        <w:ind w:firstLine="720"/>
      </w:pPr>
      <w:r w:rsidRPr="000D1DE6">
        <w:rPr>
          <w:rStyle w:val="FootnoteReference"/>
        </w:rPr>
        <w:footnoteRef/>
      </w:r>
      <w:r w:rsidRPr="000D1DE6">
        <w:t xml:space="preserve"> En sus observaciones al proyecto del presente informe, el Estado hizo referencia a la elaboración d</w:t>
      </w:r>
      <w:r w:rsidRPr="000D1DE6">
        <w:rPr>
          <w:rFonts w:eastAsia="Cambria" w:cs="Cambria"/>
          <w:lang w:val="es-MX"/>
        </w:rPr>
        <w:t xml:space="preserve">el Programa Integral para Prevenir, Atender, Sancionar y Erradicar la Violencia contra las Mujeres 2021-2024 (PIPASEVM), publicado en el Diario Oficial de la Federación el 30 de diciembre de 2021. Análogamente, se destinó para el ejercicio fiscal 2021, 121 millones de pesos, con el objetivo de apoyar a las entidades federativas y municipios que tienen Declaración de Alerta de Violencia de Género contra las Mujeres, a través de acciones de coadyuvancia en justicia, seguridad y prevención. </w:t>
      </w:r>
      <w:r w:rsidRPr="000D1DE6">
        <w:rPr>
          <w:rFonts w:asciiTheme="minorHAnsi" w:eastAsia="Cambria" w:hAnsiTheme="minorHAnsi" w:cs="Cambria"/>
          <w:color w:val="000000"/>
          <w:lang w:val="es-MX"/>
        </w:rPr>
        <w:t>Observaciones y comentarios del Estado de 24 de enero de 2022, pág</w:t>
      </w:r>
      <w:r w:rsidRPr="000D1DE6">
        <w:t xml:space="preserve"> 18.</w:t>
      </w:r>
    </w:p>
  </w:footnote>
  <w:footnote w:id="255">
    <w:p w14:paraId="4F314C20" w14:textId="5E6407D4" w:rsidR="000235D8" w:rsidRPr="000D1DE6" w:rsidRDefault="000235D8" w:rsidP="00F46807">
      <w:pPr>
        <w:pStyle w:val="FootnoteText"/>
        <w:spacing w:after="120"/>
        <w:ind w:firstLine="720"/>
        <w:rPr>
          <w:rFonts w:asciiTheme="minorHAnsi" w:hAnsiTheme="minorHAnsi"/>
          <w:lang w:val="es-MX"/>
        </w:rPr>
      </w:pPr>
      <w:r w:rsidRPr="000D1DE6">
        <w:rPr>
          <w:rStyle w:val="FootnoteReference"/>
          <w:rFonts w:asciiTheme="minorHAnsi" w:hAnsiTheme="minorHAnsi"/>
          <w:lang w:val="es-MX"/>
        </w:rPr>
        <w:footnoteRef/>
      </w:r>
      <w:r w:rsidRPr="000D1DE6">
        <w:rPr>
          <w:rFonts w:asciiTheme="minorHAnsi" w:hAnsiTheme="minorHAnsi"/>
          <w:lang w:val="es-MX"/>
        </w:rPr>
        <w:t xml:space="preserve"> CIDH. </w:t>
      </w:r>
      <w:hyperlink r:id="rId198">
        <w:r w:rsidRPr="000D1DE6">
          <w:rPr>
            <w:rFonts w:asciiTheme="minorHAnsi" w:hAnsiTheme="minorHAnsi"/>
            <w:lang w:val="es-MX"/>
          </w:rPr>
          <w:t>Audiencia sobre la situación de los derechos humanos de mujeres y niñas en el contexto de las protestas en México, Periodo de Sesiones No.181</w:t>
        </w:r>
      </w:hyperlink>
      <w:r w:rsidRPr="000D1DE6">
        <w:rPr>
          <w:rFonts w:asciiTheme="minorHAnsi" w:hAnsiTheme="minorHAnsi"/>
          <w:lang w:val="es-MX"/>
        </w:rPr>
        <w:t xml:space="preserve">, 27 de octubre de 2021; Amnistía Internacional, CEJIL, Círculo Feminista de Análisis Jurídico, Espacio OSC, Front Line Defenders, Instituto de Justicia Procesal Penal, Luchadoras, RNDDHMX, Solicitud de audiencia temática sobre la represión de la protesta social y la libre expresión de mujeres en México, Periodo de Sesión No. 180. Página 3. En archivo de la CIDH; Milenio, </w:t>
      </w:r>
      <w:hyperlink r:id="rId199">
        <w:r w:rsidRPr="000D1DE6">
          <w:rPr>
            <w:rFonts w:asciiTheme="minorHAnsi" w:hAnsiTheme="minorHAnsi"/>
            <w:lang w:val="es-MX"/>
          </w:rPr>
          <w:t>Video muestra detención de mujer con bebé en brazos en Jalisco; sale libre horas después</w:t>
        </w:r>
      </w:hyperlink>
      <w:r w:rsidRPr="000D1DE6">
        <w:rPr>
          <w:rFonts w:asciiTheme="minorHAnsi" w:hAnsiTheme="minorHAnsi"/>
          <w:lang w:val="es-MX"/>
        </w:rPr>
        <w:t xml:space="preserve">, 10 de julio de 2021; Animal Político. </w:t>
      </w:r>
      <w:hyperlink r:id="rId200">
        <w:r w:rsidRPr="000D1DE6">
          <w:rPr>
            <w:rFonts w:asciiTheme="minorHAnsi" w:hAnsiTheme="minorHAnsi"/>
            <w:lang w:val="es-MX"/>
          </w:rPr>
          <w:t>Movimiento feminista busca perjudicarme, es conservador, dice Amlo</w:t>
        </w:r>
      </w:hyperlink>
      <w:r w:rsidRPr="000D1DE6">
        <w:rPr>
          <w:rFonts w:asciiTheme="minorHAnsi" w:hAnsiTheme="minorHAnsi"/>
          <w:lang w:val="es-MX"/>
        </w:rPr>
        <w:t>, 29 de septiembre de 2021</w:t>
      </w:r>
      <w:r w:rsidR="002F1A6A" w:rsidRPr="000D1DE6">
        <w:rPr>
          <w:rFonts w:asciiTheme="minorHAnsi" w:hAnsiTheme="minorHAnsi"/>
          <w:lang w:val="es-MX"/>
        </w:rPr>
        <w:t>.</w:t>
      </w:r>
    </w:p>
  </w:footnote>
  <w:footnote w:id="256">
    <w:p w14:paraId="6BFD9C3E" w14:textId="0F738939" w:rsidR="002F1A6A" w:rsidRPr="000D1DE6" w:rsidRDefault="002F1A6A" w:rsidP="00F46807">
      <w:pPr>
        <w:pStyle w:val="FootnoteText"/>
        <w:spacing w:after="120"/>
        <w:ind w:firstLine="720"/>
      </w:pPr>
      <w:r w:rsidRPr="000D1DE6">
        <w:rPr>
          <w:rStyle w:val="FootnoteReference"/>
        </w:rPr>
        <w:footnoteRef/>
      </w:r>
      <w:r w:rsidRPr="000D1DE6">
        <w:t xml:space="preserve"> </w:t>
      </w:r>
      <w:r w:rsidRPr="000D1DE6">
        <w:rPr>
          <w:rFonts w:asciiTheme="minorHAnsi" w:eastAsia="Cambria" w:hAnsiTheme="minorHAnsi" w:cs="Cambria"/>
          <w:color w:val="000000"/>
          <w:lang w:val="es-MX"/>
        </w:rPr>
        <w:t>Observaciones y comentarios del Estado de 24 de enero de 2022, pág</w:t>
      </w:r>
      <w:r w:rsidRPr="000D1DE6">
        <w:t xml:space="preserve"> 18.</w:t>
      </w:r>
    </w:p>
  </w:footnote>
  <w:footnote w:id="257">
    <w:p w14:paraId="16A69A8A" w14:textId="7714258F" w:rsidR="000235D8" w:rsidRPr="000D1DE6" w:rsidRDefault="000235D8" w:rsidP="00F46807">
      <w:pPr>
        <w:pStyle w:val="FootnoteText"/>
        <w:spacing w:after="120"/>
        <w:ind w:firstLine="720"/>
        <w:rPr>
          <w:rFonts w:asciiTheme="minorHAnsi" w:hAnsiTheme="minorHAnsi"/>
          <w:lang w:val="es-MX"/>
        </w:rPr>
      </w:pPr>
      <w:r w:rsidRPr="000D1DE6">
        <w:rPr>
          <w:rStyle w:val="FootnoteReference"/>
          <w:rFonts w:asciiTheme="minorHAnsi" w:hAnsiTheme="minorHAnsi"/>
          <w:lang w:val="es-MX"/>
        </w:rPr>
        <w:footnoteRef/>
      </w:r>
      <w:r w:rsidRPr="000D1DE6">
        <w:rPr>
          <w:rFonts w:asciiTheme="minorHAnsi" w:hAnsiTheme="minorHAnsi"/>
          <w:lang w:val="es-MX"/>
        </w:rPr>
        <w:t xml:space="preserve"> Noveno Informe del Estado mexicano sobre el cumplimiento y seguimiento de las recomendaciones contenidas en el informe “Situación de los Derechos Humanos en México”, pág. 60 – 62; Informe del Estado mexicano. Capítulo IV. 18 de septiembre de 2021, pág. 68. </w:t>
      </w:r>
    </w:p>
  </w:footnote>
  <w:footnote w:id="258">
    <w:p w14:paraId="10836944" w14:textId="189B7E4B" w:rsidR="000235D8" w:rsidRPr="000D1DE6" w:rsidRDefault="000235D8" w:rsidP="00F46807">
      <w:pPr>
        <w:spacing w:after="120" w:line="240" w:lineRule="auto"/>
        <w:ind w:firstLine="720"/>
        <w:jc w:val="both"/>
        <w:rPr>
          <w:rFonts w:asciiTheme="minorHAnsi" w:eastAsia="Cambria" w:hAnsiTheme="minorHAnsi" w:cs="Cambria"/>
          <w:sz w:val="18"/>
          <w:szCs w:val="18"/>
          <w:lang w:val="es-MX"/>
        </w:rPr>
      </w:pPr>
      <w:r w:rsidRPr="000D1DE6">
        <w:rPr>
          <w:rStyle w:val="FootnoteReference"/>
          <w:rFonts w:asciiTheme="minorHAnsi" w:hAnsiTheme="minorHAnsi"/>
          <w:sz w:val="18"/>
          <w:szCs w:val="18"/>
          <w:lang w:val="es-MX"/>
        </w:rPr>
        <w:footnoteRef/>
      </w:r>
      <w:r w:rsidRPr="000D1DE6">
        <w:rPr>
          <w:rFonts w:asciiTheme="minorHAnsi" w:eastAsia="Cambria" w:hAnsiTheme="minorHAnsi" w:cs="Cambria"/>
          <w:sz w:val="18"/>
          <w:szCs w:val="18"/>
          <w:lang w:val="es-MX"/>
        </w:rPr>
        <w:t xml:space="preserve"> </w:t>
      </w:r>
      <w:r w:rsidRPr="000D1DE6">
        <w:rPr>
          <w:rFonts w:asciiTheme="minorHAnsi" w:hAnsiTheme="minorHAnsi"/>
          <w:sz w:val="18"/>
          <w:szCs w:val="18"/>
          <w:lang w:val="es-MX"/>
        </w:rPr>
        <w:t>Informe del Estado mexicano. Capítulo IV. 18 de septiembre de 202</w:t>
      </w:r>
      <w:r w:rsidRPr="000D1DE6">
        <w:rPr>
          <w:rFonts w:asciiTheme="minorHAnsi" w:eastAsia="Cambria" w:hAnsiTheme="minorHAnsi" w:cs="Cambria"/>
          <w:sz w:val="18"/>
          <w:szCs w:val="18"/>
          <w:lang w:val="es-MX"/>
        </w:rPr>
        <w:t xml:space="preserve">1, párr. 43- 44, 46-49, y 241. </w:t>
      </w:r>
    </w:p>
  </w:footnote>
  <w:footnote w:id="259">
    <w:p w14:paraId="1C6A13F9" w14:textId="528273ED" w:rsidR="000235D8" w:rsidRPr="000D1DE6" w:rsidRDefault="000235D8" w:rsidP="00F46807">
      <w:pPr>
        <w:pStyle w:val="FootnoteText"/>
        <w:spacing w:after="120"/>
        <w:ind w:firstLine="720"/>
        <w:rPr>
          <w:rFonts w:asciiTheme="minorHAnsi" w:hAnsiTheme="minorHAnsi"/>
          <w:lang w:val="es-MX"/>
        </w:rPr>
      </w:pPr>
      <w:r w:rsidRPr="000D1DE6">
        <w:rPr>
          <w:rStyle w:val="FootnoteReference"/>
          <w:rFonts w:asciiTheme="minorHAnsi" w:hAnsiTheme="minorHAnsi"/>
          <w:lang w:val="es-MX"/>
        </w:rPr>
        <w:footnoteRef/>
      </w:r>
      <w:r w:rsidRPr="000D1DE6">
        <w:rPr>
          <w:rFonts w:asciiTheme="minorHAnsi" w:hAnsiTheme="minorHAnsi"/>
          <w:lang w:val="es-MX"/>
        </w:rPr>
        <w:t xml:space="preserve"> Informe del Estado mexicano. Capítulo IV. 18 de septiembre de 202</w:t>
      </w:r>
      <w:r w:rsidRPr="000D1DE6">
        <w:rPr>
          <w:rFonts w:asciiTheme="minorHAnsi" w:eastAsia="Cambria" w:hAnsiTheme="minorHAnsi" w:cs="Cambria"/>
          <w:lang w:val="es-MX"/>
        </w:rPr>
        <w:t xml:space="preserve">1, párr. 95-96. </w:t>
      </w:r>
    </w:p>
  </w:footnote>
  <w:footnote w:id="260">
    <w:p w14:paraId="2C8CE8C3" w14:textId="2A205041" w:rsidR="000235D8" w:rsidRPr="000D1DE6" w:rsidRDefault="000235D8" w:rsidP="00F46807">
      <w:pPr>
        <w:spacing w:after="120" w:line="240" w:lineRule="auto"/>
        <w:ind w:firstLine="720"/>
        <w:jc w:val="both"/>
        <w:rPr>
          <w:rFonts w:asciiTheme="minorHAnsi" w:eastAsia="Cambria" w:hAnsiTheme="minorHAnsi" w:cs="Cambria"/>
          <w:sz w:val="18"/>
          <w:szCs w:val="18"/>
          <w:lang w:val="es-MX"/>
        </w:rPr>
      </w:pPr>
      <w:r w:rsidRPr="000D1DE6">
        <w:rPr>
          <w:rStyle w:val="FootnoteReference"/>
          <w:rFonts w:asciiTheme="minorHAnsi" w:hAnsiTheme="minorHAnsi"/>
          <w:sz w:val="18"/>
          <w:szCs w:val="18"/>
          <w:lang w:val="es-MX"/>
        </w:rPr>
        <w:footnoteRef/>
      </w:r>
      <w:r w:rsidRPr="000D1DE6">
        <w:rPr>
          <w:rFonts w:asciiTheme="minorHAnsi" w:eastAsia="Cambria" w:hAnsiTheme="minorHAnsi" w:cs="Cambria"/>
          <w:sz w:val="18"/>
          <w:szCs w:val="18"/>
          <w:lang w:val="es-MX"/>
        </w:rPr>
        <w:t xml:space="preserve"> </w:t>
      </w:r>
      <w:r w:rsidRPr="000D1DE6">
        <w:rPr>
          <w:rFonts w:asciiTheme="minorHAnsi" w:hAnsiTheme="minorHAnsi"/>
          <w:sz w:val="18"/>
          <w:szCs w:val="18"/>
          <w:lang w:val="es-MX"/>
        </w:rPr>
        <w:t>Informe del Estado mexicano. Capítulo IV. 18 de septiembre de 202</w:t>
      </w:r>
      <w:r w:rsidRPr="000D1DE6">
        <w:rPr>
          <w:rFonts w:asciiTheme="minorHAnsi" w:eastAsia="Cambria" w:hAnsiTheme="minorHAnsi" w:cs="Cambria"/>
          <w:sz w:val="18"/>
          <w:szCs w:val="18"/>
          <w:lang w:val="es-MX"/>
        </w:rPr>
        <w:t xml:space="preserve">1, párr. 144. </w:t>
      </w:r>
    </w:p>
  </w:footnote>
  <w:footnote w:id="261">
    <w:p w14:paraId="34CA483F" w14:textId="7047BFC9" w:rsidR="000235D8" w:rsidRPr="000D1DE6" w:rsidRDefault="000235D8" w:rsidP="00F46807">
      <w:pPr>
        <w:spacing w:after="120" w:line="240" w:lineRule="auto"/>
        <w:ind w:firstLine="720"/>
        <w:jc w:val="both"/>
        <w:rPr>
          <w:rFonts w:asciiTheme="minorHAnsi" w:eastAsia="Cambria" w:hAnsiTheme="minorHAnsi" w:cs="Cambria"/>
          <w:sz w:val="18"/>
          <w:szCs w:val="18"/>
          <w:lang w:val="es-MX"/>
        </w:rPr>
      </w:pPr>
      <w:r w:rsidRPr="000D1DE6">
        <w:rPr>
          <w:rStyle w:val="FootnoteReference"/>
          <w:rFonts w:asciiTheme="minorHAnsi" w:hAnsiTheme="minorHAnsi"/>
          <w:sz w:val="18"/>
          <w:szCs w:val="18"/>
          <w:lang w:val="es-MX"/>
        </w:rPr>
        <w:footnoteRef/>
      </w:r>
      <w:r w:rsidRPr="000D1DE6">
        <w:rPr>
          <w:rFonts w:asciiTheme="minorHAnsi" w:eastAsia="Cambria" w:hAnsiTheme="minorHAnsi" w:cs="Cambria"/>
          <w:sz w:val="18"/>
          <w:szCs w:val="18"/>
          <w:lang w:val="es-MX"/>
        </w:rPr>
        <w:t xml:space="preserve"> </w:t>
      </w:r>
      <w:r w:rsidRPr="000D1DE6">
        <w:rPr>
          <w:rFonts w:asciiTheme="minorHAnsi" w:hAnsiTheme="minorHAnsi"/>
          <w:sz w:val="18"/>
          <w:szCs w:val="18"/>
          <w:lang w:val="es-MX"/>
        </w:rPr>
        <w:t>Informe del Estado mexicano. Capítulo IV. 18 de septiembre de 202</w:t>
      </w:r>
      <w:r w:rsidRPr="000D1DE6">
        <w:rPr>
          <w:rFonts w:asciiTheme="minorHAnsi" w:eastAsia="Cambria" w:hAnsiTheme="minorHAnsi" w:cs="Cambria"/>
          <w:sz w:val="18"/>
          <w:szCs w:val="18"/>
          <w:lang w:val="es-MX"/>
        </w:rPr>
        <w:t xml:space="preserve">1, párr. 140 y 145. </w:t>
      </w:r>
    </w:p>
  </w:footnote>
  <w:footnote w:id="262">
    <w:p w14:paraId="4F4276B2" w14:textId="56E2BF41" w:rsidR="000235D8" w:rsidRPr="000D1DE6" w:rsidRDefault="000235D8" w:rsidP="00F46807">
      <w:pPr>
        <w:spacing w:after="120" w:line="240" w:lineRule="auto"/>
        <w:ind w:firstLine="720"/>
        <w:jc w:val="both"/>
        <w:rPr>
          <w:rFonts w:asciiTheme="minorHAnsi" w:eastAsia="Cambria" w:hAnsiTheme="minorHAnsi" w:cs="Cambria"/>
          <w:sz w:val="18"/>
          <w:szCs w:val="18"/>
          <w:lang w:val="es-MX"/>
        </w:rPr>
      </w:pPr>
      <w:r w:rsidRPr="000D1DE6">
        <w:rPr>
          <w:rStyle w:val="FootnoteReference"/>
          <w:rFonts w:asciiTheme="minorHAnsi" w:hAnsiTheme="minorHAnsi"/>
          <w:sz w:val="18"/>
          <w:szCs w:val="18"/>
          <w:lang w:val="es-MX"/>
        </w:rPr>
        <w:footnoteRef/>
      </w:r>
      <w:r w:rsidRPr="000D1DE6">
        <w:rPr>
          <w:rFonts w:asciiTheme="minorHAnsi" w:eastAsia="Cambria" w:hAnsiTheme="minorHAnsi" w:cs="Cambria"/>
          <w:sz w:val="18"/>
          <w:szCs w:val="18"/>
          <w:lang w:val="es-MX"/>
        </w:rPr>
        <w:t xml:space="preserve"> </w:t>
      </w:r>
      <w:r w:rsidRPr="000D1DE6">
        <w:rPr>
          <w:rFonts w:asciiTheme="minorHAnsi" w:hAnsiTheme="minorHAnsi"/>
          <w:sz w:val="18"/>
          <w:szCs w:val="18"/>
          <w:lang w:val="es-MX"/>
        </w:rPr>
        <w:t>Informe del Estado mexicano. Capítulo IV. 18 de septiembre de 202</w:t>
      </w:r>
      <w:r w:rsidRPr="000D1DE6">
        <w:rPr>
          <w:rFonts w:asciiTheme="minorHAnsi" w:eastAsia="Cambria" w:hAnsiTheme="minorHAnsi" w:cs="Cambria"/>
          <w:sz w:val="18"/>
          <w:szCs w:val="18"/>
          <w:lang w:val="es-MX"/>
        </w:rPr>
        <w:t xml:space="preserve">1, párr. 151-152. </w:t>
      </w:r>
    </w:p>
  </w:footnote>
  <w:footnote w:id="263">
    <w:p w14:paraId="43D07463" w14:textId="3108999D" w:rsidR="000235D8" w:rsidRPr="000D1DE6" w:rsidRDefault="000235D8" w:rsidP="00F46807">
      <w:pPr>
        <w:pStyle w:val="FootnoteText"/>
        <w:spacing w:after="120"/>
        <w:ind w:firstLine="720"/>
        <w:rPr>
          <w:rFonts w:asciiTheme="minorHAnsi" w:hAnsiTheme="minorHAnsi"/>
          <w:lang w:val="es-MX"/>
        </w:rPr>
      </w:pPr>
      <w:r w:rsidRPr="000D1DE6">
        <w:rPr>
          <w:rStyle w:val="FootnoteReference"/>
          <w:rFonts w:asciiTheme="minorHAnsi" w:hAnsiTheme="minorHAnsi"/>
          <w:lang w:val="es-MX"/>
        </w:rPr>
        <w:footnoteRef/>
      </w:r>
      <w:r w:rsidRPr="000D1DE6">
        <w:rPr>
          <w:rFonts w:asciiTheme="minorHAnsi" w:hAnsiTheme="minorHAnsi"/>
          <w:lang w:val="es-MX"/>
        </w:rPr>
        <w:t xml:space="preserve"> Noveno Informe del Estado mexicano sobre el cumplimiento y seguimiento de las recomendaciones contenidas en el informe “Situación de los Derechos Humanos en México”, pág. 60 – 62.</w:t>
      </w:r>
    </w:p>
  </w:footnote>
  <w:footnote w:id="264">
    <w:p w14:paraId="7D2A0677" w14:textId="0968CB2F" w:rsidR="002F1A6A" w:rsidRPr="000D1DE6" w:rsidRDefault="002F1A6A" w:rsidP="00F46807">
      <w:pPr>
        <w:pStyle w:val="FootnoteText"/>
        <w:spacing w:after="120"/>
        <w:ind w:firstLine="720"/>
      </w:pPr>
      <w:r w:rsidRPr="000D1DE6">
        <w:rPr>
          <w:rStyle w:val="FootnoteReference"/>
        </w:rPr>
        <w:footnoteRef/>
      </w:r>
      <w:r w:rsidRPr="000D1DE6">
        <w:t xml:space="preserve"> </w:t>
      </w:r>
      <w:r w:rsidRPr="000D1DE6">
        <w:rPr>
          <w:rFonts w:asciiTheme="minorHAnsi" w:eastAsia="Cambria" w:hAnsiTheme="minorHAnsi" w:cs="Cambria"/>
          <w:color w:val="000000"/>
          <w:lang w:val="es-MX"/>
        </w:rPr>
        <w:t>Observaciones y comentarios del Estado de 24 de enero de 2022, pág</w:t>
      </w:r>
      <w:r w:rsidRPr="000D1DE6">
        <w:t xml:space="preserve"> 18.</w:t>
      </w:r>
    </w:p>
  </w:footnote>
  <w:footnote w:id="265">
    <w:p w14:paraId="1B24615F" w14:textId="2360F2DC" w:rsidR="000235D8" w:rsidRPr="000D1DE6" w:rsidRDefault="000235D8" w:rsidP="00F46807">
      <w:pPr>
        <w:pStyle w:val="FootnoteText"/>
        <w:spacing w:after="120"/>
        <w:ind w:firstLine="720"/>
        <w:rPr>
          <w:rFonts w:asciiTheme="minorHAnsi" w:hAnsiTheme="minorHAnsi"/>
          <w:lang w:val="es-MX"/>
        </w:rPr>
      </w:pPr>
      <w:r w:rsidRPr="000D1DE6">
        <w:rPr>
          <w:rStyle w:val="FootnoteReference"/>
          <w:rFonts w:asciiTheme="minorHAnsi" w:hAnsiTheme="minorHAnsi"/>
          <w:lang w:val="es-MX"/>
        </w:rPr>
        <w:footnoteRef/>
      </w:r>
      <w:r w:rsidRPr="000D1DE6">
        <w:rPr>
          <w:rFonts w:asciiTheme="minorHAnsi" w:hAnsiTheme="minorHAnsi"/>
          <w:lang w:val="es-MX"/>
        </w:rPr>
        <w:t xml:space="preserve"> Noveno Informe del Estado mexicano sobre el cumplimiento y seguimiento de las recomendaciones contenidas en el informe “Situación de los Derechos Humanos en México”, pág. 60 – 62.</w:t>
      </w:r>
    </w:p>
  </w:footnote>
  <w:footnote w:id="266">
    <w:p w14:paraId="4838FD3A" w14:textId="0A50343E" w:rsidR="002F1A6A" w:rsidRPr="000D1DE6" w:rsidRDefault="002F1A6A" w:rsidP="00F46807">
      <w:pPr>
        <w:pStyle w:val="FootnoteText"/>
        <w:spacing w:after="120"/>
        <w:ind w:firstLine="720"/>
      </w:pPr>
      <w:r w:rsidRPr="000D1DE6">
        <w:rPr>
          <w:rStyle w:val="FootnoteReference"/>
        </w:rPr>
        <w:footnoteRef/>
      </w:r>
      <w:r w:rsidRPr="000D1DE6">
        <w:t xml:space="preserve"> </w:t>
      </w:r>
      <w:r w:rsidRPr="000D1DE6">
        <w:rPr>
          <w:rFonts w:asciiTheme="minorHAnsi" w:eastAsia="Cambria" w:hAnsiTheme="minorHAnsi" w:cs="Cambria"/>
          <w:color w:val="000000"/>
          <w:lang w:val="es-MX"/>
        </w:rPr>
        <w:t>Observaciones y comentarios del Estado de 24 de enero de 2022, pág</w:t>
      </w:r>
      <w:r w:rsidRPr="000D1DE6">
        <w:t xml:space="preserve"> 18.</w:t>
      </w:r>
    </w:p>
  </w:footnote>
  <w:footnote w:id="267">
    <w:p w14:paraId="2F0DDF1F" w14:textId="6CC7A9BE" w:rsidR="000235D8" w:rsidRPr="000D1DE6" w:rsidRDefault="000235D8" w:rsidP="00F46807">
      <w:pPr>
        <w:spacing w:after="120" w:line="240" w:lineRule="auto"/>
        <w:ind w:firstLine="720"/>
        <w:jc w:val="both"/>
        <w:rPr>
          <w:rFonts w:asciiTheme="minorHAnsi" w:hAnsiTheme="minorHAnsi"/>
          <w:sz w:val="18"/>
          <w:szCs w:val="18"/>
          <w:lang w:val="es-MX"/>
        </w:rPr>
      </w:pPr>
      <w:r w:rsidRPr="000D1DE6">
        <w:rPr>
          <w:rStyle w:val="FootnoteReference"/>
          <w:rFonts w:asciiTheme="minorHAnsi" w:hAnsiTheme="minorHAnsi"/>
          <w:sz w:val="18"/>
          <w:szCs w:val="18"/>
          <w:lang w:val="es-MX"/>
        </w:rPr>
        <w:footnoteRef/>
      </w:r>
      <w:r w:rsidRPr="000D1DE6">
        <w:rPr>
          <w:rFonts w:asciiTheme="minorHAnsi" w:hAnsiTheme="minorHAnsi"/>
          <w:sz w:val="18"/>
          <w:szCs w:val="18"/>
          <w:lang w:val="es-MX"/>
        </w:rPr>
        <w:t xml:space="preserve"> </w:t>
      </w:r>
      <w:r w:rsidRPr="000D1DE6">
        <w:rPr>
          <w:rFonts w:asciiTheme="minorHAnsi" w:eastAsia="Cambria" w:hAnsiTheme="minorHAnsi" w:cs="Cambria"/>
          <w:color w:val="000000"/>
          <w:sz w:val="18"/>
          <w:szCs w:val="18"/>
          <w:lang w:val="es-MX"/>
        </w:rPr>
        <w:t xml:space="preserve">Noveno Informe del Estado mexicano sobre el cumplimiento y seguimiento de las recomendaciones contenidas en el informe “Situación de los Derechos Humanos en México”, </w:t>
      </w:r>
      <w:r w:rsidRPr="000D1DE6">
        <w:rPr>
          <w:rFonts w:asciiTheme="minorHAnsi" w:eastAsia="Cambria" w:hAnsiTheme="minorHAnsi" w:cs="Cambria"/>
          <w:sz w:val="18"/>
          <w:szCs w:val="18"/>
          <w:lang w:val="es-MX"/>
        </w:rPr>
        <w:t xml:space="preserve">pág. 63; </w:t>
      </w:r>
      <w:r w:rsidRPr="000D1DE6">
        <w:rPr>
          <w:rFonts w:asciiTheme="minorHAnsi" w:hAnsiTheme="minorHAnsi"/>
          <w:sz w:val="18"/>
          <w:szCs w:val="18"/>
          <w:lang w:val="es-MX"/>
        </w:rPr>
        <w:t>Informe del Estado mexicano. Capítulo IV. 18 de septiembre de 202</w:t>
      </w:r>
      <w:r w:rsidRPr="000D1DE6">
        <w:rPr>
          <w:rFonts w:asciiTheme="minorHAnsi" w:eastAsia="Cambria" w:hAnsiTheme="minorHAnsi" w:cs="Cambria"/>
          <w:sz w:val="18"/>
          <w:szCs w:val="18"/>
          <w:lang w:val="es-MX"/>
        </w:rPr>
        <w:t xml:space="preserve">1, párr. 120-121. </w:t>
      </w:r>
    </w:p>
  </w:footnote>
  <w:footnote w:id="268">
    <w:p w14:paraId="423563FB" w14:textId="77777777" w:rsidR="000235D8" w:rsidRPr="000D1DE6" w:rsidRDefault="000235D8" w:rsidP="00F46807">
      <w:pPr>
        <w:pStyle w:val="FootnoteText"/>
        <w:spacing w:after="120"/>
        <w:ind w:firstLine="720"/>
        <w:rPr>
          <w:rFonts w:asciiTheme="minorHAnsi" w:hAnsiTheme="minorHAnsi"/>
          <w:lang w:val="es-MX"/>
        </w:rPr>
      </w:pPr>
      <w:r w:rsidRPr="000D1DE6">
        <w:rPr>
          <w:rStyle w:val="FootnoteReference"/>
          <w:rFonts w:asciiTheme="minorHAnsi" w:hAnsiTheme="minorHAnsi"/>
          <w:lang w:val="es-MX"/>
        </w:rPr>
        <w:footnoteRef/>
      </w:r>
      <w:r w:rsidRPr="000D1DE6">
        <w:rPr>
          <w:rFonts w:asciiTheme="minorHAnsi" w:hAnsiTheme="minorHAnsi"/>
          <w:lang w:val="es-MX"/>
        </w:rPr>
        <w:t xml:space="preserve"> </w:t>
      </w:r>
      <w:r w:rsidRPr="000D1DE6">
        <w:rPr>
          <w:rFonts w:asciiTheme="minorHAnsi" w:eastAsia="Cambria" w:hAnsiTheme="minorHAnsi" w:cs="Cambria"/>
          <w:lang w:val="es-MX"/>
        </w:rPr>
        <w:t xml:space="preserve">Animal Político por el Centro Prodh, </w:t>
      </w:r>
      <w:hyperlink r:id="rId201">
        <w:r w:rsidRPr="000D1DE6">
          <w:rPr>
            <w:rFonts w:asciiTheme="minorHAnsi" w:eastAsia="Cambria" w:hAnsiTheme="minorHAnsi" w:cs="Cambria"/>
            <w:color w:val="1155CC"/>
            <w:u w:val="single"/>
            <w:lang w:val="es-MX"/>
          </w:rPr>
          <w:t>La deuda del Estado con las mujeres de Atenco</w:t>
        </w:r>
      </w:hyperlink>
      <w:r w:rsidRPr="000D1DE6">
        <w:rPr>
          <w:rFonts w:asciiTheme="minorHAnsi" w:eastAsia="Cambria" w:hAnsiTheme="minorHAnsi" w:cs="Cambria"/>
          <w:lang w:val="es-MX"/>
        </w:rPr>
        <w:t>, 5 de mayo de 2021</w:t>
      </w:r>
    </w:p>
  </w:footnote>
  <w:footnote w:id="269">
    <w:p w14:paraId="1549651C" w14:textId="77777777" w:rsidR="000235D8" w:rsidRPr="000D1DE6" w:rsidRDefault="000235D8" w:rsidP="00F46807">
      <w:pPr>
        <w:pStyle w:val="FootnoteText"/>
        <w:spacing w:after="120"/>
        <w:ind w:firstLine="720"/>
        <w:rPr>
          <w:rFonts w:asciiTheme="minorHAnsi" w:hAnsiTheme="minorHAnsi"/>
          <w:lang w:val="es-MX"/>
        </w:rPr>
      </w:pPr>
      <w:r w:rsidRPr="000D1DE6">
        <w:rPr>
          <w:rStyle w:val="FootnoteReference"/>
          <w:rFonts w:asciiTheme="minorHAnsi" w:hAnsiTheme="minorHAnsi"/>
          <w:lang w:val="es-MX"/>
        </w:rPr>
        <w:footnoteRef/>
      </w:r>
      <w:r w:rsidRPr="000D1DE6">
        <w:rPr>
          <w:rFonts w:asciiTheme="minorHAnsi" w:hAnsiTheme="minorHAnsi"/>
          <w:lang w:val="es-MX"/>
        </w:rPr>
        <w:t xml:space="preserve"> Centro Prodh. </w:t>
      </w:r>
      <w:hyperlink r:id="rId202" w:history="1">
        <w:r w:rsidRPr="000D1DE6">
          <w:rPr>
            <w:rStyle w:val="Hyperlink"/>
            <w:rFonts w:asciiTheme="minorHAnsi" w:hAnsiTheme="minorHAnsi"/>
            <w:lang w:val="es-MX"/>
          </w:rPr>
          <w:t>Fiscalía del Estado de México deberá remitir a FGR la investigación del caso Mujeres de Atenc</w:t>
        </w:r>
      </w:hyperlink>
      <w:r w:rsidRPr="000D1DE6">
        <w:rPr>
          <w:rFonts w:asciiTheme="minorHAnsi" w:hAnsiTheme="minorHAnsi"/>
          <w:lang w:val="es-MX"/>
        </w:rPr>
        <w:t xml:space="preserve">o, 19 de septiembre de 2021. </w:t>
      </w:r>
    </w:p>
  </w:footnote>
  <w:footnote w:id="270">
    <w:p w14:paraId="3BB89D3E" w14:textId="77777777" w:rsidR="000235D8" w:rsidRPr="000D1DE6" w:rsidRDefault="000235D8" w:rsidP="00F46807">
      <w:pPr>
        <w:pStyle w:val="FootnoteText"/>
        <w:spacing w:after="120"/>
        <w:ind w:firstLine="720"/>
        <w:rPr>
          <w:rFonts w:asciiTheme="minorHAnsi" w:hAnsiTheme="minorHAnsi"/>
          <w:lang w:val="es-MX"/>
        </w:rPr>
      </w:pPr>
      <w:r w:rsidRPr="000D1DE6">
        <w:rPr>
          <w:rStyle w:val="FootnoteReference"/>
          <w:rFonts w:asciiTheme="minorHAnsi" w:hAnsiTheme="minorHAnsi"/>
          <w:lang w:val="es-MX"/>
        </w:rPr>
        <w:footnoteRef/>
      </w:r>
      <w:r w:rsidRPr="000D1DE6">
        <w:rPr>
          <w:rFonts w:asciiTheme="minorHAnsi" w:hAnsiTheme="minorHAnsi"/>
          <w:lang w:val="es-MX"/>
        </w:rPr>
        <w:t xml:space="preserve"> Corte IDH. </w:t>
      </w:r>
      <w:hyperlink r:id="rId203" w:history="1">
        <w:r w:rsidRPr="000D1DE6">
          <w:rPr>
            <w:rStyle w:val="Hyperlink"/>
            <w:rFonts w:asciiTheme="minorHAnsi" w:hAnsiTheme="minorHAnsi"/>
            <w:lang w:val="es-MX"/>
          </w:rPr>
          <w:t>Caso González y otras (“Campo Algodonero”) Vs. México.</w:t>
        </w:r>
      </w:hyperlink>
      <w:r w:rsidRPr="000D1DE6">
        <w:rPr>
          <w:rFonts w:asciiTheme="minorHAnsi" w:hAnsiTheme="minorHAnsi"/>
          <w:lang w:val="es-MX"/>
        </w:rPr>
        <w:t xml:space="preserve"> Excepción Preliminar, Fondo, Reparaciones y Costas. Sentencia del 16 de noviembre de 2009. Serie C No. 205, párr. 455</w:t>
      </w:r>
    </w:p>
  </w:footnote>
  <w:footnote w:id="271">
    <w:p w14:paraId="34752499" w14:textId="77777777" w:rsidR="000235D8" w:rsidRPr="000D1DE6" w:rsidRDefault="000235D8" w:rsidP="00F46807">
      <w:pPr>
        <w:pStyle w:val="FootnoteText"/>
        <w:spacing w:after="120"/>
        <w:ind w:firstLine="720"/>
        <w:rPr>
          <w:rFonts w:asciiTheme="minorHAnsi" w:hAnsiTheme="minorHAnsi"/>
          <w:lang w:val="es-MX"/>
        </w:rPr>
      </w:pPr>
      <w:r w:rsidRPr="000D1DE6">
        <w:rPr>
          <w:rStyle w:val="FootnoteReference"/>
          <w:rFonts w:asciiTheme="minorHAnsi" w:hAnsiTheme="minorHAnsi"/>
          <w:lang w:val="es-MX"/>
        </w:rPr>
        <w:footnoteRef/>
      </w:r>
      <w:r w:rsidRPr="000D1DE6">
        <w:rPr>
          <w:rFonts w:asciiTheme="minorHAnsi" w:hAnsiTheme="minorHAnsi"/>
          <w:lang w:val="es-MX"/>
        </w:rPr>
        <w:t xml:space="preserve"> Corte IDH. </w:t>
      </w:r>
      <w:hyperlink r:id="rId204" w:history="1">
        <w:r w:rsidRPr="000D1DE6">
          <w:rPr>
            <w:rStyle w:val="Hyperlink"/>
            <w:rFonts w:asciiTheme="minorHAnsi" w:hAnsiTheme="minorHAnsi"/>
            <w:lang w:val="es-MX"/>
          </w:rPr>
          <w:t>Caso Mujeres Víctimas de Tortura Sexual en Atenco Vs. México</w:t>
        </w:r>
      </w:hyperlink>
      <w:r w:rsidRPr="000D1DE6">
        <w:rPr>
          <w:rFonts w:asciiTheme="minorHAnsi" w:hAnsiTheme="minorHAnsi"/>
          <w:lang w:val="es-MX"/>
        </w:rPr>
        <w:t>. Excepción Preliminar, Fondo, Reparaciones y Costas. Sentencia de 28 de noviembre de 2018. Serie C No. 371, párr. 338</w:t>
      </w:r>
    </w:p>
  </w:footnote>
  <w:footnote w:id="272">
    <w:p w14:paraId="0F32C412" w14:textId="41F0DD0E" w:rsidR="002F1A6A" w:rsidRPr="000D1DE6" w:rsidRDefault="002F1A6A" w:rsidP="00F46807">
      <w:pPr>
        <w:pStyle w:val="FootnoteText"/>
        <w:spacing w:after="120"/>
        <w:ind w:firstLine="720"/>
      </w:pPr>
      <w:r w:rsidRPr="000D1DE6">
        <w:rPr>
          <w:rStyle w:val="FootnoteReference"/>
        </w:rPr>
        <w:footnoteRef/>
      </w:r>
      <w:r w:rsidRPr="000D1DE6">
        <w:t xml:space="preserve"> </w:t>
      </w:r>
      <w:r w:rsidRPr="000D1DE6">
        <w:rPr>
          <w:rFonts w:eastAsia="Cambria" w:cs="Cambria"/>
          <w:lang w:val="es-MX"/>
        </w:rPr>
        <w:t xml:space="preserve">En sus observaciones al proyecto del presente informe, el Estado informó que durante el mes de octubre y noviembre del 2021,  la SEGOB  en colaboración con la CEAV realizó una jornada de trabajo para aplicar encuestas a mujeres privadas de la libertad en Centros Estatales de Readaptación Social. Los trabajos contemplaron la visita a 66 penales estatales y a un penal federal, cubriendo las 32 entidades federativas del país. </w:t>
      </w:r>
      <w:r w:rsidRPr="000D1DE6">
        <w:rPr>
          <w:rFonts w:asciiTheme="minorHAnsi" w:eastAsia="Cambria" w:hAnsiTheme="minorHAnsi" w:cs="Cambria"/>
          <w:color w:val="000000"/>
          <w:lang w:val="es-MX"/>
        </w:rPr>
        <w:t>Observaciones y comentarios del Estado de 24 de enero de 2022, pág</w:t>
      </w:r>
      <w:r w:rsidRPr="000D1DE6">
        <w:t xml:space="preserve"> 18.</w:t>
      </w:r>
    </w:p>
  </w:footnote>
  <w:footnote w:id="273">
    <w:p w14:paraId="0D09C997" w14:textId="1DD38214" w:rsidR="000235D8" w:rsidRPr="000D1DE6" w:rsidRDefault="000235D8" w:rsidP="00F46807">
      <w:pPr>
        <w:spacing w:after="120" w:line="240" w:lineRule="auto"/>
        <w:ind w:firstLine="720"/>
        <w:jc w:val="both"/>
        <w:rPr>
          <w:rFonts w:asciiTheme="minorHAnsi" w:hAnsiTheme="minorHAnsi"/>
          <w:sz w:val="18"/>
          <w:szCs w:val="18"/>
          <w:lang w:val="es-MX"/>
        </w:rPr>
      </w:pPr>
      <w:r w:rsidRPr="000D1DE6">
        <w:rPr>
          <w:rStyle w:val="FootnoteReference"/>
          <w:rFonts w:asciiTheme="minorHAnsi" w:hAnsiTheme="minorHAnsi"/>
          <w:sz w:val="18"/>
          <w:szCs w:val="18"/>
          <w:lang w:val="es-MX"/>
        </w:rPr>
        <w:footnoteRef/>
      </w:r>
      <w:r w:rsidRPr="000D1DE6">
        <w:rPr>
          <w:rFonts w:asciiTheme="minorHAnsi" w:hAnsiTheme="minorHAnsi"/>
          <w:sz w:val="18"/>
          <w:szCs w:val="18"/>
          <w:lang w:val="es-MX"/>
        </w:rPr>
        <w:t xml:space="preserve"> </w:t>
      </w:r>
      <w:r w:rsidRPr="000D1DE6">
        <w:rPr>
          <w:rFonts w:asciiTheme="minorHAnsi" w:eastAsia="Cambria" w:hAnsiTheme="minorHAnsi" w:cs="Cambria"/>
          <w:color w:val="000000"/>
          <w:sz w:val="18"/>
          <w:szCs w:val="18"/>
          <w:lang w:val="es-MX"/>
        </w:rPr>
        <w:t xml:space="preserve">Noveno Informe del Estado mexicano sobre el cumplimiento y seguimiento de las recomendaciones contenidas en el informe “Situación de los Derechos Humanos en México”, </w:t>
      </w:r>
      <w:r w:rsidRPr="000D1DE6">
        <w:rPr>
          <w:rFonts w:asciiTheme="minorHAnsi" w:eastAsia="Cambria" w:hAnsiTheme="minorHAnsi" w:cs="Cambria"/>
          <w:sz w:val="18"/>
          <w:szCs w:val="18"/>
          <w:lang w:val="es-MX"/>
        </w:rPr>
        <w:t xml:space="preserve">pág. 64; México. </w:t>
      </w:r>
      <w:r w:rsidRPr="000D1DE6">
        <w:rPr>
          <w:rFonts w:asciiTheme="minorHAnsi" w:hAnsiTheme="minorHAnsi"/>
          <w:sz w:val="18"/>
          <w:szCs w:val="18"/>
          <w:lang w:val="es-MX"/>
        </w:rPr>
        <w:t>Informe del Estado mexicano. Capítulo IV. 18 de septiembre de 202</w:t>
      </w:r>
      <w:r w:rsidRPr="000D1DE6">
        <w:rPr>
          <w:rFonts w:asciiTheme="minorHAnsi" w:eastAsia="Cambria" w:hAnsiTheme="minorHAnsi" w:cs="Cambria"/>
          <w:sz w:val="18"/>
          <w:szCs w:val="18"/>
          <w:lang w:val="es-MX"/>
        </w:rPr>
        <w:t xml:space="preserve">1, Anexo 5, Pág. 64,; SCJN, </w:t>
      </w:r>
      <w:hyperlink r:id="rId205">
        <w:r w:rsidRPr="000D1DE6">
          <w:rPr>
            <w:rFonts w:asciiTheme="minorHAnsi" w:eastAsia="Cambria" w:hAnsiTheme="minorHAnsi" w:cs="Cambria"/>
            <w:color w:val="1155CC"/>
            <w:sz w:val="18"/>
            <w:szCs w:val="18"/>
            <w:u w:val="single"/>
            <w:lang w:val="es-MX"/>
          </w:rPr>
          <w:t>Protocolo para Juzgar con Perspectiva de Género</w:t>
        </w:r>
      </w:hyperlink>
      <w:r w:rsidRPr="000D1DE6">
        <w:rPr>
          <w:rFonts w:asciiTheme="minorHAnsi" w:eastAsia="Cambria" w:hAnsiTheme="minorHAnsi" w:cs="Cambria"/>
          <w:sz w:val="18"/>
          <w:szCs w:val="18"/>
          <w:lang w:val="es-MX"/>
        </w:rPr>
        <w:t xml:space="preserve">, 2020. </w:t>
      </w:r>
    </w:p>
  </w:footnote>
  <w:footnote w:id="274">
    <w:p w14:paraId="4B876EAF" w14:textId="3BC156A4" w:rsidR="000235D8" w:rsidRPr="000D1DE6" w:rsidRDefault="000235D8" w:rsidP="00F46807">
      <w:pPr>
        <w:spacing w:after="120" w:line="240" w:lineRule="auto"/>
        <w:ind w:firstLine="720"/>
        <w:jc w:val="both"/>
        <w:rPr>
          <w:rFonts w:asciiTheme="minorHAnsi" w:eastAsia="Cambria" w:hAnsiTheme="minorHAnsi" w:cs="Cambria"/>
          <w:sz w:val="18"/>
          <w:szCs w:val="18"/>
          <w:lang w:val="es-MX"/>
        </w:rPr>
      </w:pPr>
      <w:r w:rsidRPr="000D1DE6">
        <w:rPr>
          <w:rStyle w:val="FootnoteReference"/>
          <w:rFonts w:asciiTheme="minorHAnsi" w:hAnsiTheme="minorHAnsi"/>
          <w:sz w:val="18"/>
          <w:szCs w:val="18"/>
          <w:lang w:val="es-MX"/>
        </w:rPr>
        <w:footnoteRef/>
      </w:r>
      <w:r w:rsidRPr="000D1DE6">
        <w:rPr>
          <w:rFonts w:asciiTheme="minorHAnsi" w:eastAsia="Cambria" w:hAnsiTheme="minorHAnsi" w:cs="Cambria"/>
          <w:sz w:val="18"/>
          <w:szCs w:val="18"/>
          <w:lang w:val="es-MX"/>
        </w:rPr>
        <w:t xml:space="preserve"> </w:t>
      </w:r>
      <w:r w:rsidRPr="000D1DE6">
        <w:rPr>
          <w:rFonts w:asciiTheme="minorHAnsi" w:eastAsia="Cambria" w:hAnsiTheme="minorHAnsi" w:cs="Cambria"/>
          <w:color w:val="000000"/>
          <w:sz w:val="18"/>
          <w:szCs w:val="18"/>
          <w:lang w:val="es-MX"/>
        </w:rPr>
        <w:t xml:space="preserve">Noveno Informe del Estado mexicano sobre el cumplimiento y seguimiento de las recomendaciones contenidas en el informe “Situación de los Derechos Humanos en México”, </w:t>
      </w:r>
      <w:r w:rsidRPr="000D1DE6">
        <w:rPr>
          <w:rFonts w:asciiTheme="minorHAnsi" w:eastAsia="Cambria" w:hAnsiTheme="minorHAnsi" w:cs="Cambria"/>
          <w:sz w:val="18"/>
          <w:szCs w:val="18"/>
          <w:lang w:val="es-MX"/>
        </w:rPr>
        <w:t>pág. 64 – 65.</w:t>
      </w:r>
    </w:p>
  </w:footnote>
  <w:footnote w:id="275">
    <w:p w14:paraId="25AE1EB2" w14:textId="3DF7B6DD" w:rsidR="000235D8" w:rsidRPr="000D1DE6" w:rsidRDefault="000235D8" w:rsidP="00F46807">
      <w:pPr>
        <w:spacing w:after="120" w:line="240" w:lineRule="auto"/>
        <w:ind w:firstLine="720"/>
        <w:jc w:val="both"/>
        <w:rPr>
          <w:rFonts w:asciiTheme="minorHAnsi" w:eastAsia="Cambria" w:hAnsiTheme="minorHAnsi" w:cs="Cambria"/>
          <w:sz w:val="18"/>
          <w:szCs w:val="18"/>
          <w:lang w:val="es-MX"/>
        </w:rPr>
      </w:pPr>
      <w:r w:rsidRPr="000D1DE6">
        <w:rPr>
          <w:rFonts w:asciiTheme="minorHAnsi" w:eastAsia="Cambria" w:hAnsiTheme="minorHAnsi" w:cs="Cambria"/>
          <w:color w:val="000000"/>
          <w:sz w:val="18"/>
          <w:szCs w:val="18"/>
          <w:lang w:val="es-MX"/>
        </w:rPr>
        <w:t xml:space="preserve">Noveno Informe del Estado mexicano sobre el cumplimiento y seguimiento de las recomendaciones contenidas en el informe “Situación de los Derechos Humanos en México”, </w:t>
      </w:r>
      <w:r w:rsidRPr="000D1DE6">
        <w:rPr>
          <w:rFonts w:asciiTheme="minorHAnsi" w:eastAsia="Cambria" w:hAnsiTheme="minorHAnsi" w:cs="Cambria"/>
          <w:sz w:val="18"/>
          <w:szCs w:val="18"/>
          <w:lang w:val="es-MX"/>
        </w:rPr>
        <w:t xml:space="preserve">pág. 64-65. </w:t>
      </w:r>
    </w:p>
  </w:footnote>
  <w:footnote w:id="276">
    <w:p w14:paraId="23DC5474" w14:textId="62F770B9" w:rsidR="000235D8" w:rsidRPr="000D1DE6" w:rsidRDefault="000235D8" w:rsidP="00F46807">
      <w:pPr>
        <w:spacing w:after="120" w:line="240" w:lineRule="auto"/>
        <w:ind w:firstLine="720"/>
        <w:jc w:val="both"/>
        <w:rPr>
          <w:rFonts w:asciiTheme="minorHAnsi" w:hAnsiTheme="minorHAnsi"/>
          <w:sz w:val="18"/>
          <w:szCs w:val="18"/>
          <w:lang w:val="es-MX"/>
        </w:rPr>
      </w:pPr>
      <w:r w:rsidRPr="000D1DE6">
        <w:rPr>
          <w:rStyle w:val="FootnoteReference"/>
          <w:rFonts w:asciiTheme="minorHAnsi" w:hAnsiTheme="minorHAnsi"/>
          <w:sz w:val="18"/>
          <w:szCs w:val="18"/>
          <w:lang w:val="es-MX"/>
        </w:rPr>
        <w:footnoteRef/>
      </w:r>
      <w:r w:rsidRPr="000D1DE6">
        <w:rPr>
          <w:rFonts w:asciiTheme="minorHAnsi" w:hAnsiTheme="minorHAnsi"/>
          <w:sz w:val="18"/>
          <w:szCs w:val="18"/>
          <w:lang w:val="es-MX"/>
        </w:rPr>
        <w:t xml:space="preserve"> Informe del Estado mexicano. Capítulo IV. 18 de septiembre de 202</w:t>
      </w:r>
      <w:r w:rsidRPr="000D1DE6">
        <w:rPr>
          <w:rFonts w:asciiTheme="minorHAnsi" w:eastAsia="Cambria" w:hAnsiTheme="minorHAnsi" w:cs="Cambria"/>
          <w:sz w:val="18"/>
          <w:szCs w:val="18"/>
          <w:lang w:val="es-MX"/>
        </w:rPr>
        <w:t>1,</w:t>
      </w:r>
      <w:r w:rsidRPr="000D1DE6">
        <w:rPr>
          <w:rFonts w:asciiTheme="minorHAnsi" w:hAnsiTheme="minorHAnsi"/>
          <w:sz w:val="18"/>
          <w:szCs w:val="18"/>
          <w:lang w:val="es-MX"/>
        </w:rPr>
        <w:t xml:space="preserve"> párr. 306; </w:t>
      </w:r>
      <w:r w:rsidRPr="000D1DE6">
        <w:rPr>
          <w:rFonts w:asciiTheme="minorHAnsi" w:eastAsia="Cambria" w:hAnsiTheme="minorHAnsi" w:cs="Cambria"/>
          <w:sz w:val="18"/>
          <w:szCs w:val="18"/>
          <w:lang w:val="es-MX"/>
        </w:rPr>
        <w:t xml:space="preserve">Diario Oficial de la Federación, </w:t>
      </w:r>
      <w:r w:rsidRPr="000D1DE6">
        <w:rPr>
          <w:rFonts w:asciiTheme="minorHAnsi" w:hAnsiTheme="minorHAnsi"/>
          <w:sz w:val="18"/>
          <w:szCs w:val="18"/>
          <w:lang w:val="es-MX"/>
        </w:rPr>
        <w:t xml:space="preserve">Extracto del acuerdo por el que se expide el </w:t>
      </w:r>
      <w:hyperlink r:id="rId206">
        <w:r w:rsidRPr="000D1DE6">
          <w:rPr>
            <w:rStyle w:val="Hyperlink"/>
            <w:rFonts w:asciiTheme="minorHAnsi" w:hAnsiTheme="minorHAnsi"/>
            <w:sz w:val="18"/>
            <w:szCs w:val="18"/>
            <w:lang w:val="es-MX"/>
          </w:rPr>
          <w:t>Protocolo Nacional de Atención Integral a Niñas, Niños y Adolescentes en condición de orfandad</w:t>
        </w:r>
      </w:hyperlink>
      <w:r w:rsidRPr="000D1DE6">
        <w:rPr>
          <w:rFonts w:asciiTheme="minorHAnsi" w:hAnsiTheme="minorHAnsi"/>
          <w:sz w:val="18"/>
          <w:szCs w:val="18"/>
          <w:lang w:val="es-MX"/>
        </w:rPr>
        <w:t xml:space="preserve">, 4 de agosto de 2021. </w:t>
      </w:r>
    </w:p>
  </w:footnote>
  <w:footnote w:id="277">
    <w:p w14:paraId="56A0AC0C" w14:textId="3965DF56" w:rsidR="000235D8" w:rsidRPr="000D1DE6" w:rsidRDefault="000235D8" w:rsidP="00F46807">
      <w:pPr>
        <w:spacing w:after="120" w:line="240" w:lineRule="auto"/>
        <w:ind w:firstLine="720"/>
        <w:jc w:val="both"/>
        <w:rPr>
          <w:rFonts w:asciiTheme="minorHAnsi" w:eastAsia="Cambria" w:hAnsiTheme="minorHAnsi" w:cs="Cambria"/>
          <w:sz w:val="18"/>
          <w:szCs w:val="18"/>
          <w:lang w:val="es-MX"/>
        </w:rPr>
      </w:pPr>
      <w:r w:rsidRPr="000D1DE6">
        <w:rPr>
          <w:rFonts w:asciiTheme="minorHAnsi" w:eastAsia="Cambria" w:hAnsiTheme="minorHAnsi" w:cs="Cambria"/>
          <w:color w:val="000000"/>
          <w:sz w:val="18"/>
          <w:szCs w:val="18"/>
          <w:lang w:val="es-MX"/>
        </w:rPr>
        <w:t xml:space="preserve">Noveno Informe del Estado mexicano sobre el cumplimiento y seguimiento de las recomendaciones contenidas en el informe “Situación de los Derechos Humanos en México”, </w:t>
      </w:r>
      <w:r w:rsidRPr="000D1DE6">
        <w:rPr>
          <w:rFonts w:asciiTheme="minorHAnsi" w:eastAsia="Cambria" w:hAnsiTheme="minorHAnsi" w:cs="Cambria"/>
          <w:sz w:val="18"/>
          <w:szCs w:val="18"/>
          <w:lang w:val="es-MX"/>
        </w:rPr>
        <w:t xml:space="preserve">pág. 65. </w:t>
      </w:r>
    </w:p>
  </w:footnote>
  <w:footnote w:id="278">
    <w:p w14:paraId="6CF53441" w14:textId="6F87D319" w:rsidR="000235D8" w:rsidRPr="000D1DE6" w:rsidRDefault="000235D8" w:rsidP="00F46807">
      <w:pPr>
        <w:spacing w:after="120" w:line="240" w:lineRule="auto"/>
        <w:ind w:firstLine="720"/>
        <w:jc w:val="both"/>
        <w:rPr>
          <w:rFonts w:asciiTheme="minorHAnsi" w:hAnsiTheme="minorHAnsi"/>
          <w:sz w:val="18"/>
          <w:szCs w:val="18"/>
          <w:lang w:val="es-MX"/>
        </w:rPr>
      </w:pPr>
      <w:r w:rsidRPr="000D1DE6">
        <w:rPr>
          <w:rStyle w:val="FootnoteReference"/>
          <w:rFonts w:asciiTheme="minorHAnsi" w:hAnsiTheme="minorHAnsi"/>
          <w:sz w:val="18"/>
          <w:szCs w:val="18"/>
          <w:lang w:val="es-MX"/>
        </w:rPr>
        <w:footnoteRef/>
      </w:r>
      <w:r w:rsidRPr="000D1DE6">
        <w:rPr>
          <w:rFonts w:asciiTheme="minorHAnsi" w:hAnsiTheme="minorHAnsi"/>
          <w:sz w:val="18"/>
          <w:szCs w:val="18"/>
          <w:lang w:val="es-MX"/>
        </w:rPr>
        <w:t xml:space="preserve"> </w:t>
      </w:r>
      <w:r w:rsidRPr="000D1DE6">
        <w:rPr>
          <w:rFonts w:asciiTheme="minorHAnsi" w:eastAsia="Cambria" w:hAnsiTheme="minorHAnsi" w:cs="Cambria"/>
          <w:color w:val="000000"/>
          <w:sz w:val="18"/>
          <w:szCs w:val="18"/>
          <w:lang w:val="es-MX"/>
        </w:rPr>
        <w:t>Noveno Informe del Estado mexicano sobre el cumplimiento y seguimiento de las recomendaciones contenidas en el informe “Situación de los Derechos Humanos en México”,</w:t>
      </w:r>
      <w:r w:rsidRPr="000D1DE6">
        <w:rPr>
          <w:rFonts w:asciiTheme="minorHAnsi" w:eastAsia="Cambria" w:hAnsiTheme="minorHAnsi" w:cs="Cambria"/>
          <w:sz w:val="18"/>
          <w:szCs w:val="18"/>
          <w:lang w:val="es-MX"/>
        </w:rPr>
        <w:t xml:space="preserve"> pág. 65. </w:t>
      </w:r>
    </w:p>
  </w:footnote>
  <w:footnote w:id="279">
    <w:p w14:paraId="15E29109" w14:textId="4F2C9CF9" w:rsidR="000235D8" w:rsidRPr="000D1DE6" w:rsidRDefault="000235D8" w:rsidP="00F46807">
      <w:pPr>
        <w:spacing w:after="120" w:line="240" w:lineRule="auto"/>
        <w:ind w:firstLine="720"/>
        <w:jc w:val="both"/>
        <w:rPr>
          <w:rFonts w:asciiTheme="minorHAnsi" w:eastAsia="Cambria" w:hAnsiTheme="minorHAnsi" w:cs="Cambria"/>
          <w:sz w:val="18"/>
          <w:szCs w:val="18"/>
          <w:lang w:val="es-MX"/>
        </w:rPr>
      </w:pPr>
      <w:r w:rsidRPr="000D1DE6">
        <w:rPr>
          <w:rStyle w:val="FootnoteReference"/>
          <w:rFonts w:asciiTheme="minorHAnsi" w:hAnsiTheme="minorHAnsi"/>
          <w:sz w:val="18"/>
          <w:szCs w:val="18"/>
          <w:lang w:val="es-MX"/>
        </w:rPr>
        <w:footnoteRef/>
      </w:r>
      <w:r w:rsidRPr="000D1DE6">
        <w:rPr>
          <w:rFonts w:asciiTheme="minorHAnsi" w:eastAsia="Cambria" w:hAnsiTheme="minorHAnsi" w:cs="Cambria"/>
          <w:sz w:val="18"/>
          <w:szCs w:val="18"/>
          <w:lang w:val="es-MX"/>
        </w:rPr>
        <w:t xml:space="preserve"> </w:t>
      </w:r>
      <w:r w:rsidRPr="000D1DE6">
        <w:rPr>
          <w:rFonts w:asciiTheme="minorHAnsi" w:eastAsia="Cambria" w:hAnsiTheme="minorHAnsi" w:cs="Cambria"/>
          <w:color w:val="000000"/>
          <w:sz w:val="18"/>
          <w:szCs w:val="18"/>
          <w:lang w:val="es-MX"/>
        </w:rPr>
        <w:t xml:space="preserve">Noveno Informe del Estado mexicano sobre el cumplimiento y seguimiento de las recomendaciones contenidas en el informe “Situación de los Derechos Humanos en México”, </w:t>
      </w:r>
      <w:r w:rsidRPr="000D1DE6">
        <w:rPr>
          <w:rFonts w:asciiTheme="minorHAnsi" w:eastAsia="Cambria" w:hAnsiTheme="minorHAnsi" w:cs="Cambria"/>
          <w:sz w:val="18"/>
          <w:szCs w:val="18"/>
          <w:lang w:val="es-MX"/>
        </w:rPr>
        <w:t xml:space="preserve">pág. 66; </w:t>
      </w:r>
      <w:r w:rsidRPr="000D1DE6">
        <w:rPr>
          <w:rFonts w:asciiTheme="minorHAnsi" w:hAnsiTheme="minorHAnsi"/>
          <w:sz w:val="18"/>
          <w:szCs w:val="18"/>
          <w:lang w:val="es-MX"/>
        </w:rPr>
        <w:t xml:space="preserve">CEPAL. </w:t>
      </w:r>
      <w:hyperlink w:history="1">
        <w:r w:rsidRPr="000D1DE6">
          <w:rPr>
            <w:rStyle w:val="Hyperlink"/>
            <w:rFonts w:asciiTheme="minorHAnsi" w:hAnsiTheme="minorHAnsi"/>
            <w:sz w:val="18"/>
            <w:szCs w:val="18"/>
            <w:lang w:val="es-MX"/>
          </w:rPr>
          <w:t>Inclusión financiera sin discriminación: hacia un protocolo de trato incluyente en sucursales bancarias de México</w:t>
        </w:r>
      </w:hyperlink>
      <w:r w:rsidRPr="000D1DE6">
        <w:rPr>
          <w:rFonts w:asciiTheme="minorHAnsi" w:hAnsiTheme="minorHAnsi"/>
          <w:sz w:val="18"/>
          <w:szCs w:val="18"/>
          <w:lang w:val="es-MX"/>
        </w:rPr>
        <w:t>, octubre de 2021</w:t>
      </w:r>
    </w:p>
  </w:footnote>
  <w:footnote w:id="280">
    <w:p w14:paraId="2FE2BDA5" w14:textId="6599C17F" w:rsidR="000235D8" w:rsidRPr="000D1DE6" w:rsidRDefault="000235D8" w:rsidP="00F46807">
      <w:pPr>
        <w:spacing w:after="120" w:line="240" w:lineRule="auto"/>
        <w:ind w:firstLine="720"/>
        <w:jc w:val="both"/>
        <w:rPr>
          <w:rFonts w:asciiTheme="minorHAnsi" w:hAnsiTheme="minorHAnsi"/>
          <w:sz w:val="18"/>
          <w:szCs w:val="18"/>
          <w:lang w:val="es-MX"/>
        </w:rPr>
      </w:pPr>
      <w:r w:rsidRPr="000D1DE6">
        <w:rPr>
          <w:rStyle w:val="FootnoteReference"/>
          <w:rFonts w:asciiTheme="minorHAnsi" w:hAnsiTheme="minorHAnsi"/>
          <w:sz w:val="18"/>
          <w:szCs w:val="18"/>
          <w:lang w:val="es-MX"/>
        </w:rPr>
        <w:footnoteRef/>
      </w:r>
      <w:r w:rsidRPr="000D1DE6">
        <w:rPr>
          <w:rFonts w:asciiTheme="minorHAnsi" w:hAnsiTheme="minorHAnsi"/>
          <w:sz w:val="18"/>
          <w:szCs w:val="18"/>
          <w:lang w:val="es-MX"/>
        </w:rPr>
        <w:t xml:space="preserve"> </w:t>
      </w:r>
      <w:r w:rsidRPr="000D1DE6">
        <w:rPr>
          <w:rFonts w:asciiTheme="minorHAnsi" w:eastAsia="Cambria" w:hAnsiTheme="minorHAnsi" w:cs="Cambria"/>
          <w:color w:val="000000"/>
          <w:sz w:val="18"/>
          <w:szCs w:val="18"/>
          <w:lang w:val="es-MX"/>
        </w:rPr>
        <w:t xml:space="preserve">Noveno Informe del Estado mexicano sobre el cumplimiento y seguimiento de las recomendaciones contenidas en el informe “Situación de los Derechos Humanos en México”, </w:t>
      </w:r>
      <w:r w:rsidRPr="000D1DE6">
        <w:rPr>
          <w:rFonts w:asciiTheme="minorHAnsi" w:eastAsia="Cambria" w:hAnsiTheme="minorHAnsi" w:cs="Cambria"/>
          <w:sz w:val="18"/>
          <w:szCs w:val="18"/>
          <w:lang w:val="es-MX"/>
        </w:rPr>
        <w:t xml:space="preserve">pág. 66-67; CONAPRED, </w:t>
      </w:r>
      <w:hyperlink r:id="rId207" w:history="1">
        <w:r w:rsidRPr="000D1DE6">
          <w:rPr>
            <w:rStyle w:val="Hyperlink"/>
            <w:rFonts w:asciiTheme="minorHAnsi" w:eastAsia="Cambria" w:hAnsiTheme="minorHAnsi" w:cs="Cambria"/>
            <w:sz w:val="18"/>
            <w:szCs w:val="18"/>
            <w:lang w:val="es-MX"/>
          </w:rPr>
          <w:t>Diversidad y discriminación en las empresas del sector de servicios de la Ciudad de México</w:t>
        </w:r>
      </w:hyperlink>
      <w:r w:rsidRPr="000D1DE6">
        <w:rPr>
          <w:rFonts w:asciiTheme="minorHAnsi" w:eastAsia="Cambria" w:hAnsiTheme="minorHAnsi" w:cs="Cambria"/>
          <w:sz w:val="18"/>
          <w:szCs w:val="18"/>
          <w:lang w:val="es-MX"/>
        </w:rPr>
        <w:t>, noviembre de 2019</w:t>
      </w:r>
    </w:p>
  </w:footnote>
  <w:footnote w:id="281">
    <w:p w14:paraId="28921F56" w14:textId="73428986" w:rsidR="000235D8" w:rsidRPr="000D1DE6" w:rsidRDefault="000235D8" w:rsidP="00F46807">
      <w:pPr>
        <w:spacing w:after="120" w:line="240" w:lineRule="auto"/>
        <w:ind w:firstLine="720"/>
        <w:jc w:val="both"/>
        <w:rPr>
          <w:rFonts w:asciiTheme="minorHAnsi" w:eastAsia="Cambria" w:hAnsiTheme="minorHAnsi" w:cs="Cambria"/>
          <w:sz w:val="18"/>
          <w:szCs w:val="18"/>
          <w:lang w:val="es-MX"/>
        </w:rPr>
      </w:pPr>
      <w:r w:rsidRPr="000D1DE6">
        <w:rPr>
          <w:rStyle w:val="FootnoteReference"/>
          <w:rFonts w:asciiTheme="minorHAnsi" w:hAnsiTheme="minorHAnsi"/>
          <w:sz w:val="18"/>
          <w:szCs w:val="18"/>
          <w:lang w:val="es-MX"/>
        </w:rPr>
        <w:footnoteRef/>
      </w:r>
      <w:r w:rsidRPr="000D1DE6">
        <w:rPr>
          <w:rFonts w:asciiTheme="minorHAnsi" w:eastAsia="Cambria" w:hAnsiTheme="minorHAnsi" w:cs="Cambria"/>
          <w:sz w:val="18"/>
          <w:szCs w:val="18"/>
          <w:lang w:val="es-MX"/>
        </w:rPr>
        <w:t xml:space="preserve"> </w:t>
      </w:r>
      <w:r w:rsidRPr="000D1DE6">
        <w:rPr>
          <w:rFonts w:asciiTheme="minorHAnsi" w:hAnsiTheme="minorHAnsi"/>
          <w:sz w:val="18"/>
          <w:szCs w:val="18"/>
          <w:lang w:val="es-MX"/>
        </w:rPr>
        <w:t>Informe del Estado mexicano. Capítulo IV. 18 de septiembre de 202</w:t>
      </w:r>
      <w:r w:rsidRPr="000D1DE6">
        <w:rPr>
          <w:rFonts w:asciiTheme="minorHAnsi" w:eastAsia="Cambria" w:hAnsiTheme="minorHAnsi" w:cs="Cambria"/>
          <w:sz w:val="18"/>
          <w:szCs w:val="18"/>
          <w:lang w:val="es-MX"/>
        </w:rPr>
        <w:t xml:space="preserve">1, párr. 137 y 141. </w:t>
      </w:r>
    </w:p>
  </w:footnote>
  <w:footnote w:id="282">
    <w:p w14:paraId="08C8E928" w14:textId="5F79B1D5" w:rsidR="000235D8" w:rsidRPr="000D1DE6" w:rsidRDefault="000235D8" w:rsidP="00F46807">
      <w:pPr>
        <w:spacing w:after="120" w:line="240" w:lineRule="auto"/>
        <w:ind w:firstLine="720"/>
        <w:jc w:val="both"/>
        <w:rPr>
          <w:rFonts w:asciiTheme="minorHAnsi" w:eastAsia="Cambria" w:hAnsiTheme="minorHAnsi" w:cs="Cambria"/>
          <w:sz w:val="18"/>
          <w:szCs w:val="18"/>
          <w:lang w:val="es-MX"/>
        </w:rPr>
      </w:pPr>
      <w:r w:rsidRPr="000D1DE6">
        <w:rPr>
          <w:rStyle w:val="FootnoteReference"/>
          <w:rFonts w:asciiTheme="minorHAnsi" w:hAnsiTheme="minorHAnsi"/>
          <w:sz w:val="18"/>
          <w:szCs w:val="18"/>
          <w:lang w:val="es-MX"/>
        </w:rPr>
        <w:footnoteRef/>
      </w:r>
      <w:r w:rsidRPr="000D1DE6">
        <w:rPr>
          <w:rFonts w:asciiTheme="minorHAnsi" w:eastAsia="Cambria" w:hAnsiTheme="minorHAnsi" w:cs="Cambria"/>
          <w:sz w:val="18"/>
          <w:szCs w:val="18"/>
          <w:lang w:val="es-MX"/>
        </w:rPr>
        <w:t xml:space="preserve"> </w:t>
      </w:r>
      <w:r w:rsidRPr="000D1DE6">
        <w:rPr>
          <w:rFonts w:asciiTheme="minorHAnsi" w:hAnsiTheme="minorHAnsi"/>
          <w:sz w:val="18"/>
          <w:szCs w:val="18"/>
          <w:lang w:val="es-MX"/>
        </w:rPr>
        <w:t>Informe del Estado mexicano. Capítulo IV. 18 de septiembre de 202</w:t>
      </w:r>
      <w:r w:rsidRPr="000D1DE6">
        <w:rPr>
          <w:rFonts w:asciiTheme="minorHAnsi" w:eastAsia="Cambria" w:hAnsiTheme="minorHAnsi" w:cs="Cambria"/>
          <w:sz w:val="18"/>
          <w:szCs w:val="18"/>
          <w:lang w:val="es-MX"/>
        </w:rPr>
        <w:t xml:space="preserve">1, párr. 138-140 y 142. </w:t>
      </w:r>
    </w:p>
  </w:footnote>
  <w:footnote w:id="283">
    <w:p w14:paraId="1EA55EE0" w14:textId="317A5D23" w:rsidR="000235D8" w:rsidRPr="000D1DE6" w:rsidRDefault="000235D8" w:rsidP="00F46807">
      <w:pPr>
        <w:spacing w:after="120" w:line="240" w:lineRule="auto"/>
        <w:ind w:firstLine="720"/>
        <w:jc w:val="both"/>
        <w:rPr>
          <w:rFonts w:asciiTheme="minorHAnsi" w:eastAsia="Cambria" w:hAnsiTheme="minorHAnsi" w:cs="Cambria"/>
          <w:sz w:val="18"/>
          <w:szCs w:val="18"/>
          <w:lang w:val="es-MX"/>
        </w:rPr>
      </w:pPr>
      <w:r w:rsidRPr="000D1DE6">
        <w:rPr>
          <w:rStyle w:val="FootnoteReference"/>
          <w:rFonts w:asciiTheme="minorHAnsi" w:hAnsiTheme="minorHAnsi"/>
          <w:sz w:val="18"/>
          <w:szCs w:val="18"/>
          <w:lang w:val="es-MX"/>
        </w:rPr>
        <w:footnoteRef/>
      </w:r>
      <w:r w:rsidRPr="000D1DE6">
        <w:rPr>
          <w:rFonts w:asciiTheme="minorHAnsi" w:eastAsia="Cambria" w:hAnsiTheme="minorHAnsi" w:cs="Cambria"/>
          <w:sz w:val="18"/>
          <w:szCs w:val="18"/>
          <w:lang w:val="es-MX"/>
        </w:rPr>
        <w:t xml:space="preserve"> </w:t>
      </w:r>
      <w:r w:rsidRPr="000D1DE6">
        <w:rPr>
          <w:rFonts w:asciiTheme="minorHAnsi" w:hAnsiTheme="minorHAnsi"/>
          <w:sz w:val="18"/>
          <w:szCs w:val="18"/>
          <w:lang w:val="es-MX"/>
        </w:rPr>
        <w:t>Informe del Estado mexicano. Capítulo IV. 18 de septiembre de 202</w:t>
      </w:r>
      <w:r w:rsidRPr="000D1DE6">
        <w:rPr>
          <w:rFonts w:asciiTheme="minorHAnsi" w:eastAsia="Cambria" w:hAnsiTheme="minorHAnsi" w:cs="Cambria"/>
          <w:sz w:val="18"/>
          <w:szCs w:val="18"/>
          <w:lang w:val="es-MX"/>
        </w:rPr>
        <w:t>1, párr. 226-227 y 230.</w:t>
      </w:r>
    </w:p>
  </w:footnote>
  <w:footnote w:id="284">
    <w:p w14:paraId="32CB32D2" w14:textId="71F98122" w:rsidR="0027531B" w:rsidRPr="000D1DE6" w:rsidRDefault="0027531B" w:rsidP="00F46807">
      <w:pPr>
        <w:pStyle w:val="FootnoteText"/>
        <w:spacing w:after="120"/>
        <w:ind w:firstLine="720"/>
        <w:rPr>
          <w:rFonts w:asciiTheme="minorHAnsi" w:hAnsiTheme="minorHAnsi"/>
        </w:rPr>
      </w:pPr>
      <w:r w:rsidRPr="000D1DE6">
        <w:rPr>
          <w:rStyle w:val="FootnoteReference"/>
          <w:rFonts w:asciiTheme="minorHAnsi" w:hAnsiTheme="minorHAnsi"/>
        </w:rPr>
        <w:footnoteRef/>
      </w:r>
      <w:r w:rsidRPr="000D1DE6">
        <w:rPr>
          <w:rFonts w:asciiTheme="minorHAnsi" w:hAnsiTheme="minorHAnsi"/>
        </w:rPr>
        <w:t xml:space="preserve"> CIDH, </w:t>
      </w:r>
      <w:hyperlink r:id="rId208" w:history="1">
        <w:r w:rsidRPr="000D1DE6">
          <w:rPr>
            <w:rStyle w:val="Hyperlink"/>
            <w:rFonts w:asciiTheme="minorHAnsi" w:hAnsiTheme="minorHAnsi"/>
          </w:rPr>
          <w:t>Informe de la CNDH al SIMORE</w:t>
        </w:r>
      </w:hyperlink>
      <w:r w:rsidRPr="000D1DE6">
        <w:rPr>
          <w:rFonts w:asciiTheme="minorHAnsi" w:hAnsiTheme="minorHAnsi"/>
        </w:rPr>
        <w:t xml:space="preserve">, 17 de diciembre de 2021. </w:t>
      </w:r>
    </w:p>
  </w:footnote>
  <w:footnote w:id="285">
    <w:p w14:paraId="2641C5F7" w14:textId="1C656CF8" w:rsidR="000235D8" w:rsidRPr="000D1DE6" w:rsidRDefault="000235D8" w:rsidP="00F46807">
      <w:pPr>
        <w:pStyle w:val="FootnoteText"/>
        <w:spacing w:after="120"/>
        <w:ind w:firstLine="720"/>
        <w:rPr>
          <w:rFonts w:asciiTheme="minorHAnsi" w:hAnsiTheme="minorHAnsi"/>
          <w:lang w:val="es-MX"/>
        </w:rPr>
      </w:pPr>
      <w:r w:rsidRPr="000D1DE6">
        <w:rPr>
          <w:rStyle w:val="FootnoteReference"/>
          <w:rFonts w:asciiTheme="minorHAnsi" w:hAnsiTheme="minorHAnsi"/>
          <w:lang w:val="es-MX"/>
        </w:rPr>
        <w:footnoteRef/>
      </w:r>
      <w:r w:rsidRPr="000D1DE6">
        <w:rPr>
          <w:rFonts w:asciiTheme="minorHAnsi" w:hAnsiTheme="minorHAnsi"/>
          <w:lang w:val="es-MX"/>
        </w:rPr>
        <w:t xml:space="preserve"> Noveno Informe del Estado mexicano sobre el cumplimiento y seguimiento de las recomendaciones contenidas en el informe “Situación de los Derechos Humanos en México”, pág. 67. </w:t>
      </w:r>
    </w:p>
  </w:footnote>
  <w:footnote w:id="286">
    <w:p w14:paraId="445463EE" w14:textId="653CF263" w:rsidR="000235D8" w:rsidRPr="000D1DE6" w:rsidRDefault="000235D8" w:rsidP="00F46807">
      <w:pPr>
        <w:pStyle w:val="FootnoteText"/>
        <w:spacing w:after="120"/>
        <w:ind w:firstLine="720"/>
        <w:rPr>
          <w:rFonts w:asciiTheme="minorHAnsi" w:hAnsiTheme="minorHAnsi"/>
          <w:lang w:val="es-MX"/>
        </w:rPr>
      </w:pPr>
      <w:r w:rsidRPr="000D1DE6">
        <w:rPr>
          <w:rStyle w:val="FootnoteReference"/>
          <w:rFonts w:asciiTheme="minorHAnsi" w:hAnsiTheme="minorHAnsi"/>
          <w:lang w:val="es-MX"/>
        </w:rPr>
        <w:footnoteRef/>
      </w:r>
      <w:r w:rsidRPr="000D1DE6">
        <w:rPr>
          <w:rFonts w:asciiTheme="minorHAnsi" w:hAnsiTheme="minorHAnsi"/>
          <w:lang w:val="es-MX"/>
        </w:rPr>
        <w:t xml:space="preserve"> Noveno Informe del Estado mexicano sobre el cumplimiento y seguimiento de las recomendaciones contenidas en el informe “Situación de los Derechos Humanos en México”, pág. 67 – 68. </w:t>
      </w:r>
    </w:p>
  </w:footnote>
  <w:footnote w:id="287">
    <w:p w14:paraId="748A7B13" w14:textId="02BE09C2" w:rsidR="000235D8" w:rsidRPr="000D1DE6" w:rsidRDefault="000235D8" w:rsidP="00F46807">
      <w:pPr>
        <w:spacing w:after="120" w:line="240" w:lineRule="auto"/>
        <w:ind w:firstLine="720"/>
        <w:jc w:val="both"/>
        <w:rPr>
          <w:rFonts w:asciiTheme="minorHAnsi" w:eastAsia="Cambria" w:hAnsiTheme="minorHAnsi" w:cs="Cambria"/>
          <w:sz w:val="18"/>
          <w:szCs w:val="18"/>
          <w:lang w:val="es-MX"/>
        </w:rPr>
      </w:pPr>
      <w:r w:rsidRPr="000D1DE6">
        <w:rPr>
          <w:rStyle w:val="FootnoteReference"/>
          <w:rFonts w:asciiTheme="minorHAnsi" w:hAnsiTheme="minorHAnsi"/>
          <w:sz w:val="18"/>
          <w:szCs w:val="18"/>
          <w:lang w:val="es-MX"/>
        </w:rPr>
        <w:footnoteRef/>
      </w:r>
      <w:r w:rsidRPr="000D1DE6">
        <w:rPr>
          <w:rFonts w:asciiTheme="minorHAnsi" w:eastAsia="Cambria" w:hAnsiTheme="minorHAnsi" w:cs="Cambria"/>
          <w:sz w:val="18"/>
          <w:szCs w:val="18"/>
          <w:lang w:val="es-MX"/>
        </w:rPr>
        <w:t xml:space="preserve"> </w:t>
      </w:r>
      <w:r w:rsidRPr="000D1DE6">
        <w:rPr>
          <w:rFonts w:asciiTheme="minorHAnsi" w:hAnsiTheme="minorHAnsi"/>
          <w:sz w:val="18"/>
          <w:szCs w:val="18"/>
          <w:lang w:val="es-MX"/>
        </w:rPr>
        <w:t>Informe del Estado mexicano. Capítulo IV. 18 de septiembre de 202</w:t>
      </w:r>
      <w:r w:rsidRPr="000D1DE6">
        <w:rPr>
          <w:rFonts w:asciiTheme="minorHAnsi" w:eastAsia="Cambria" w:hAnsiTheme="minorHAnsi" w:cs="Cambria"/>
          <w:sz w:val="18"/>
          <w:szCs w:val="18"/>
          <w:lang w:val="es-MX"/>
        </w:rPr>
        <w:t xml:space="preserve">1, párr. 106-107, 111, 112 y 287 – 296. </w:t>
      </w:r>
    </w:p>
  </w:footnote>
  <w:footnote w:id="288">
    <w:p w14:paraId="7FA06B07" w14:textId="77777777" w:rsidR="000235D8" w:rsidRPr="000D1DE6" w:rsidRDefault="000235D8" w:rsidP="00F46807">
      <w:pPr>
        <w:spacing w:after="120" w:line="240" w:lineRule="auto"/>
        <w:ind w:firstLine="720"/>
        <w:jc w:val="both"/>
        <w:rPr>
          <w:rFonts w:asciiTheme="minorHAnsi" w:eastAsia="Cambria" w:hAnsiTheme="minorHAnsi" w:cs="Cambria"/>
          <w:sz w:val="18"/>
          <w:szCs w:val="18"/>
          <w:lang w:val="es-MX"/>
        </w:rPr>
      </w:pPr>
      <w:r w:rsidRPr="000D1DE6">
        <w:rPr>
          <w:rStyle w:val="FootnoteReference"/>
          <w:rFonts w:asciiTheme="minorHAnsi" w:hAnsiTheme="minorHAnsi"/>
          <w:sz w:val="18"/>
          <w:szCs w:val="18"/>
          <w:lang w:val="es-MX"/>
        </w:rPr>
        <w:footnoteRef/>
      </w:r>
      <w:r w:rsidRPr="000D1DE6">
        <w:rPr>
          <w:rFonts w:asciiTheme="minorHAnsi" w:eastAsia="Cambria" w:hAnsiTheme="minorHAnsi" w:cs="Cambria"/>
          <w:sz w:val="18"/>
          <w:szCs w:val="18"/>
          <w:lang w:val="es-MX"/>
        </w:rPr>
        <w:t xml:space="preserve"> INPI. </w:t>
      </w:r>
      <w:hyperlink r:id="rId209">
        <w:r w:rsidRPr="000D1DE6">
          <w:rPr>
            <w:rFonts w:asciiTheme="minorHAnsi" w:eastAsia="Cambria" w:hAnsiTheme="minorHAnsi" w:cs="Cambria"/>
            <w:color w:val="1155CC"/>
            <w:sz w:val="18"/>
            <w:szCs w:val="18"/>
            <w:u w:val="single"/>
            <w:lang w:val="es-MX"/>
          </w:rPr>
          <w:t>El INPI promueve el ejercicio efectivo de los derechos de las mujeres indígenas y afromexicanas</w:t>
        </w:r>
      </w:hyperlink>
      <w:r w:rsidRPr="000D1DE6">
        <w:rPr>
          <w:rFonts w:asciiTheme="minorHAnsi" w:eastAsia="Cambria" w:hAnsiTheme="minorHAnsi" w:cs="Cambria"/>
          <w:sz w:val="18"/>
          <w:szCs w:val="18"/>
          <w:lang w:val="es-MX"/>
        </w:rPr>
        <w:t>, 8 de marzo de 2021</w:t>
      </w:r>
    </w:p>
  </w:footnote>
  <w:footnote w:id="289">
    <w:p w14:paraId="4836F7BC" w14:textId="7EC5D2DE" w:rsidR="000235D8" w:rsidRPr="000D1DE6" w:rsidRDefault="000235D8" w:rsidP="00F46807">
      <w:pPr>
        <w:spacing w:after="120" w:line="240" w:lineRule="auto"/>
        <w:ind w:firstLine="720"/>
        <w:jc w:val="both"/>
        <w:rPr>
          <w:rFonts w:asciiTheme="minorHAnsi" w:eastAsia="Cambria" w:hAnsiTheme="minorHAnsi" w:cs="Cambria"/>
          <w:sz w:val="18"/>
          <w:szCs w:val="18"/>
          <w:lang w:val="es-MX"/>
        </w:rPr>
      </w:pPr>
      <w:r w:rsidRPr="000D1DE6">
        <w:rPr>
          <w:rStyle w:val="FootnoteReference"/>
          <w:rFonts w:asciiTheme="minorHAnsi" w:hAnsiTheme="minorHAnsi"/>
          <w:sz w:val="18"/>
          <w:szCs w:val="18"/>
          <w:lang w:val="es-MX"/>
        </w:rPr>
        <w:footnoteRef/>
      </w:r>
      <w:r w:rsidRPr="000D1DE6">
        <w:rPr>
          <w:rFonts w:asciiTheme="minorHAnsi" w:eastAsia="Cambria" w:hAnsiTheme="minorHAnsi" w:cs="Cambria"/>
          <w:sz w:val="18"/>
          <w:szCs w:val="18"/>
          <w:lang w:val="es-MX"/>
        </w:rPr>
        <w:t xml:space="preserve"> </w:t>
      </w:r>
      <w:r w:rsidRPr="000D1DE6">
        <w:rPr>
          <w:rFonts w:asciiTheme="minorHAnsi" w:hAnsiTheme="minorHAnsi"/>
          <w:sz w:val="18"/>
          <w:szCs w:val="18"/>
          <w:lang w:val="es-MX"/>
        </w:rPr>
        <w:t>Informe del Estado mexicano. Capítulo IV. 18 de septiembre de 202</w:t>
      </w:r>
      <w:r w:rsidRPr="000D1DE6">
        <w:rPr>
          <w:rFonts w:asciiTheme="minorHAnsi" w:eastAsia="Cambria" w:hAnsiTheme="minorHAnsi" w:cs="Cambria"/>
          <w:sz w:val="18"/>
          <w:szCs w:val="18"/>
          <w:lang w:val="es-MX"/>
        </w:rPr>
        <w:t>1, párr. 281 – 282.</w:t>
      </w:r>
    </w:p>
  </w:footnote>
  <w:footnote w:id="290">
    <w:p w14:paraId="7FCABB70" w14:textId="77777777" w:rsidR="000235D8" w:rsidRPr="000D1DE6" w:rsidRDefault="000235D8" w:rsidP="00F46807">
      <w:pPr>
        <w:pStyle w:val="FootnoteText"/>
        <w:spacing w:after="120"/>
        <w:ind w:firstLine="720"/>
        <w:rPr>
          <w:rFonts w:asciiTheme="minorHAnsi" w:hAnsiTheme="minorHAnsi"/>
          <w:lang w:val="es-MX"/>
        </w:rPr>
      </w:pPr>
      <w:r w:rsidRPr="000D1DE6">
        <w:rPr>
          <w:rStyle w:val="FootnoteReference"/>
          <w:rFonts w:asciiTheme="minorHAnsi" w:hAnsiTheme="minorHAnsi"/>
          <w:lang w:val="es-MX"/>
        </w:rPr>
        <w:footnoteRef/>
      </w:r>
      <w:r w:rsidRPr="000D1DE6">
        <w:rPr>
          <w:rFonts w:asciiTheme="minorHAnsi" w:hAnsiTheme="minorHAnsi"/>
          <w:lang w:val="es-MX"/>
        </w:rPr>
        <w:t xml:space="preserve"> INEGI. </w:t>
      </w:r>
      <w:hyperlink r:id="rId210" w:history="1">
        <w:r w:rsidRPr="000D1DE6">
          <w:rPr>
            <w:rStyle w:val="Hyperlink"/>
            <w:rFonts w:asciiTheme="minorHAnsi" w:hAnsiTheme="minorHAnsi"/>
            <w:lang w:val="es-MX"/>
          </w:rPr>
          <w:t>Cuéntame de México. Población de México</w:t>
        </w:r>
      </w:hyperlink>
      <w:r w:rsidRPr="000D1DE6">
        <w:rPr>
          <w:rFonts w:asciiTheme="minorHAnsi" w:hAnsiTheme="minorHAnsi"/>
          <w:lang w:val="es-MX"/>
        </w:rPr>
        <w:t xml:space="preserve">, 2021. </w:t>
      </w:r>
    </w:p>
  </w:footnote>
  <w:footnote w:id="291">
    <w:p w14:paraId="1F85B738" w14:textId="1BFAF9CC" w:rsidR="000235D8" w:rsidRPr="000D1DE6" w:rsidRDefault="000235D8" w:rsidP="00F46807">
      <w:pPr>
        <w:pStyle w:val="FootnoteText"/>
        <w:spacing w:after="120"/>
        <w:ind w:firstLine="720"/>
        <w:rPr>
          <w:rFonts w:asciiTheme="minorHAnsi" w:hAnsiTheme="minorHAnsi"/>
          <w:lang w:val="es-MX"/>
        </w:rPr>
      </w:pPr>
      <w:r w:rsidRPr="000D1DE6">
        <w:rPr>
          <w:rStyle w:val="FootnoteReference"/>
          <w:rFonts w:asciiTheme="minorHAnsi" w:hAnsiTheme="minorHAnsi"/>
          <w:lang w:val="es-MX"/>
        </w:rPr>
        <w:footnoteRef/>
      </w:r>
      <w:r w:rsidRPr="000D1DE6">
        <w:rPr>
          <w:rFonts w:asciiTheme="minorHAnsi" w:hAnsiTheme="minorHAnsi"/>
          <w:lang w:val="es-MX"/>
        </w:rPr>
        <w:t xml:space="preserve"> CIDH, Violencia y Discriminación contra Mujeres, Niñas y Adolescentes. </w:t>
      </w:r>
      <w:hyperlink r:id="rId211" w:history="1">
        <w:r w:rsidRPr="000D1DE6">
          <w:rPr>
            <w:rStyle w:val="Hyperlink"/>
            <w:rFonts w:asciiTheme="minorHAnsi" w:hAnsiTheme="minorHAnsi"/>
            <w:lang w:val="es-MX"/>
          </w:rPr>
          <w:t>Anexo 1: Estándares y recomendaciones</w:t>
        </w:r>
      </w:hyperlink>
      <w:r w:rsidRPr="000D1DE6">
        <w:rPr>
          <w:rFonts w:asciiTheme="minorHAnsi" w:hAnsiTheme="minorHAnsi"/>
          <w:lang w:val="es-MX"/>
        </w:rPr>
        <w:t>.</w:t>
      </w:r>
      <w:r w:rsidRPr="000D1DE6">
        <w:rPr>
          <w:rFonts w:asciiTheme="minorHAnsi" w:eastAsia="Times New Roman" w:hAnsiTheme="minorHAnsi" w:cs="Times New Roman"/>
          <w:lang w:val="es-MX"/>
        </w:rPr>
        <w:t xml:space="preserve"> </w:t>
      </w:r>
      <w:r w:rsidRPr="000D1DE6">
        <w:rPr>
          <w:rFonts w:asciiTheme="minorHAnsi" w:hAnsiTheme="minorHAnsi"/>
          <w:lang w:val="es-MX"/>
        </w:rPr>
        <w:t>OEA/Ser.L/V/II. Doc. 233, 14 noviembre 2019, párr. 7</w:t>
      </w:r>
    </w:p>
  </w:footnote>
  <w:footnote w:id="292">
    <w:p w14:paraId="67D298D0" w14:textId="057AC801" w:rsidR="000235D8" w:rsidRPr="000D1DE6" w:rsidRDefault="000235D8" w:rsidP="00F46807">
      <w:pPr>
        <w:pStyle w:val="FootnoteText"/>
        <w:spacing w:after="120"/>
        <w:ind w:firstLine="720"/>
        <w:rPr>
          <w:rFonts w:asciiTheme="minorHAnsi" w:hAnsiTheme="minorHAnsi"/>
          <w:lang w:val="es-MX"/>
        </w:rPr>
      </w:pPr>
      <w:r w:rsidRPr="000D1DE6">
        <w:rPr>
          <w:rStyle w:val="FootnoteReference"/>
          <w:rFonts w:asciiTheme="minorHAnsi" w:hAnsiTheme="minorHAnsi"/>
          <w:lang w:val="es-MX"/>
        </w:rPr>
        <w:footnoteRef/>
      </w:r>
      <w:r w:rsidRPr="000D1DE6">
        <w:rPr>
          <w:rFonts w:asciiTheme="minorHAnsi" w:hAnsiTheme="minorHAnsi"/>
          <w:lang w:val="es-MX"/>
        </w:rPr>
        <w:t xml:space="preserve"> CIDH, </w:t>
      </w:r>
      <w:hyperlink r:id="rId212" w:history="1">
        <w:r w:rsidRPr="000D1DE6">
          <w:rPr>
            <w:rStyle w:val="Hyperlink"/>
            <w:rFonts w:asciiTheme="minorHAnsi" w:hAnsiTheme="minorHAnsi"/>
            <w:lang w:val="es-MX"/>
          </w:rPr>
          <w:t>Las mujeres indígenas y sus derechos humanos en las Américas</w:t>
        </w:r>
      </w:hyperlink>
      <w:r w:rsidRPr="000D1DE6">
        <w:rPr>
          <w:rFonts w:asciiTheme="minorHAnsi" w:hAnsiTheme="minorHAnsi"/>
          <w:lang w:val="es-MX"/>
        </w:rPr>
        <w:t>, OEA/Ser.L/V/II. Doc. 44, 2017, párr. 183-184; Corte IDH. Caso Fernández Ortega y otros vs. México, Excepción Preliminar, Reparaciones y Costas, Sentencia de 30 de agosto de 2010, Serie C No. 215; Caso Tiu Tojín vs. Guatemala, Fondo, Reparaciones y Costas, Sentencia de 26 de noviembre de 2008, Serie C No. 190, párr. 96.</w:t>
      </w:r>
    </w:p>
  </w:footnote>
  <w:footnote w:id="293">
    <w:p w14:paraId="21D3F7AA" w14:textId="6A45E67D" w:rsidR="000235D8" w:rsidRPr="000D1DE6" w:rsidRDefault="000235D8" w:rsidP="00F46807">
      <w:pPr>
        <w:pStyle w:val="FootnoteText"/>
        <w:spacing w:after="120"/>
        <w:ind w:firstLine="720"/>
        <w:rPr>
          <w:rFonts w:asciiTheme="minorHAnsi" w:hAnsiTheme="minorHAnsi"/>
          <w:lang w:val="es-MX"/>
        </w:rPr>
      </w:pPr>
      <w:r w:rsidRPr="000D1DE6">
        <w:rPr>
          <w:rStyle w:val="FootnoteReference"/>
          <w:rFonts w:asciiTheme="minorHAnsi" w:hAnsiTheme="minorHAnsi"/>
          <w:lang w:val="es-MX"/>
        </w:rPr>
        <w:footnoteRef/>
      </w:r>
      <w:r w:rsidRPr="000D1DE6">
        <w:rPr>
          <w:rFonts w:asciiTheme="minorHAnsi" w:hAnsiTheme="minorHAnsi"/>
          <w:lang w:val="es-MX"/>
        </w:rPr>
        <w:t xml:space="preserve"> CIDH, </w:t>
      </w:r>
      <w:hyperlink r:id="rId213" w:history="1">
        <w:r w:rsidRPr="000D1DE6">
          <w:rPr>
            <w:rStyle w:val="Hyperlink"/>
            <w:rFonts w:asciiTheme="minorHAnsi" w:hAnsiTheme="minorHAnsi"/>
            <w:lang w:val="es-MX"/>
          </w:rPr>
          <w:t>Informe Anual, Capítulo V, México</w:t>
        </w:r>
      </w:hyperlink>
      <w:r w:rsidRPr="000D1DE6">
        <w:rPr>
          <w:rFonts w:asciiTheme="minorHAnsi" w:hAnsiTheme="minorHAnsi"/>
          <w:lang w:val="es-MX"/>
        </w:rPr>
        <w:t>, 2020, párr. 208</w:t>
      </w:r>
    </w:p>
  </w:footnote>
  <w:footnote w:id="294">
    <w:p w14:paraId="7A806AAC" w14:textId="68D3F8A6" w:rsidR="000235D8" w:rsidRPr="000D1DE6" w:rsidRDefault="000235D8" w:rsidP="00F46807">
      <w:pPr>
        <w:pStyle w:val="FootnoteText"/>
        <w:spacing w:after="120"/>
        <w:ind w:firstLine="720"/>
        <w:rPr>
          <w:rFonts w:asciiTheme="minorHAnsi" w:hAnsiTheme="minorHAnsi"/>
          <w:lang w:val="es-MX"/>
        </w:rPr>
      </w:pPr>
      <w:r w:rsidRPr="000D1DE6">
        <w:rPr>
          <w:rStyle w:val="FootnoteReference"/>
          <w:rFonts w:asciiTheme="minorHAnsi" w:hAnsiTheme="minorHAnsi"/>
          <w:lang w:val="es-MX"/>
        </w:rPr>
        <w:footnoteRef/>
      </w:r>
      <w:r w:rsidRPr="000D1DE6">
        <w:rPr>
          <w:rFonts w:asciiTheme="minorHAnsi" w:hAnsiTheme="minorHAnsi"/>
          <w:lang w:val="es-MX"/>
        </w:rPr>
        <w:t xml:space="preserve"> Sistema Nacional para el Desarrollo Integral de la Familia (DIF</w:t>
      </w:r>
      <w:r w:rsidRPr="000D1DE6">
        <w:rPr>
          <w:rFonts w:asciiTheme="minorHAnsi" w:hAnsiTheme="minorHAnsi"/>
          <w:color w:val="333333"/>
          <w:lang w:val="es-MX"/>
        </w:rPr>
        <w:t>),</w:t>
      </w:r>
      <w:hyperlink r:id="rId214">
        <w:r w:rsidRPr="000D1DE6">
          <w:rPr>
            <w:rStyle w:val="Hyperlink"/>
            <w:rFonts w:asciiTheme="minorHAnsi" w:eastAsia="Cambria" w:hAnsiTheme="minorHAnsi" w:cs="Cambria"/>
            <w:lang w:val="es-MX"/>
          </w:rPr>
          <w:t xml:space="preserve"> Protocolo Nacional de Atención Integral a Niñas, Niños y Adolescentes en condición de orfandad por feminicidio, 4 de agosto</w:t>
        </w:r>
      </w:hyperlink>
      <w:r w:rsidRPr="000D1DE6">
        <w:rPr>
          <w:rFonts w:asciiTheme="minorHAnsi" w:hAnsiTheme="minorHAnsi"/>
          <w:color w:val="333333"/>
          <w:lang w:val="es-MX"/>
        </w:rPr>
        <w:t>, 2021.</w:t>
      </w:r>
    </w:p>
  </w:footnote>
  <w:footnote w:id="295">
    <w:p w14:paraId="2B893F8D" w14:textId="31E7F874" w:rsidR="000235D8" w:rsidRPr="000D1DE6" w:rsidRDefault="000235D8" w:rsidP="00F46807">
      <w:pPr>
        <w:pStyle w:val="FootnoteText"/>
        <w:spacing w:after="120"/>
        <w:ind w:firstLine="720"/>
        <w:rPr>
          <w:rFonts w:asciiTheme="minorHAnsi" w:hAnsiTheme="minorHAnsi"/>
          <w:lang w:val="es-MX"/>
        </w:rPr>
      </w:pPr>
      <w:r w:rsidRPr="000D1DE6">
        <w:rPr>
          <w:rStyle w:val="FootnoteReference"/>
          <w:rFonts w:asciiTheme="minorHAnsi" w:hAnsiTheme="minorHAnsi"/>
          <w:lang w:val="es-MX"/>
        </w:rPr>
        <w:footnoteRef/>
      </w:r>
      <w:r w:rsidRPr="000D1DE6">
        <w:rPr>
          <w:rFonts w:asciiTheme="minorHAnsi" w:hAnsiTheme="minorHAnsi"/>
          <w:lang w:val="es-MX"/>
        </w:rPr>
        <w:t xml:space="preserve"> CNDH, México, Anexo 6 a la Información del Estado Mexicano para el Informe Anual 2021 de la CIDH “Estudio de la CNDH sobre Armonización Legislativa”, 17 de septiembre de 2021, pág. 9.</w:t>
      </w:r>
    </w:p>
  </w:footnote>
  <w:footnote w:id="296">
    <w:p w14:paraId="4B57C064" w14:textId="77777777" w:rsidR="000235D8" w:rsidRPr="000D1DE6" w:rsidRDefault="000235D8" w:rsidP="00F46807">
      <w:pPr>
        <w:pStyle w:val="FootnoteText"/>
        <w:spacing w:after="120"/>
        <w:ind w:firstLine="720"/>
        <w:rPr>
          <w:rFonts w:asciiTheme="minorHAnsi" w:hAnsiTheme="minorHAnsi"/>
          <w:lang w:val="es-MX"/>
        </w:rPr>
      </w:pPr>
      <w:r w:rsidRPr="000D1DE6">
        <w:rPr>
          <w:rStyle w:val="FootnoteReference"/>
          <w:rFonts w:asciiTheme="minorHAnsi" w:hAnsiTheme="minorHAnsi"/>
          <w:lang w:val="es-MX"/>
        </w:rPr>
        <w:footnoteRef/>
      </w:r>
      <w:r w:rsidRPr="000D1DE6">
        <w:rPr>
          <w:rFonts w:asciiTheme="minorHAnsi" w:hAnsiTheme="minorHAnsi"/>
          <w:lang w:val="es-MX"/>
        </w:rPr>
        <w:t xml:space="preserve"> </w:t>
      </w:r>
      <w:r w:rsidRPr="000D1DE6">
        <w:rPr>
          <w:rFonts w:asciiTheme="minorHAnsi" w:eastAsia="Cambria" w:hAnsiTheme="minorHAnsi" w:cs="Cambria"/>
          <w:lang w:val="es-MX"/>
        </w:rPr>
        <w:t>SIPINNA,</w:t>
      </w:r>
      <w:hyperlink r:id="rId215">
        <w:r w:rsidRPr="000D1DE6">
          <w:rPr>
            <w:rStyle w:val="Hyperlink"/>
            <w:rFonts w:asciiTheme="minorHAnsi" w:eastAsia="Cambria" w:hAnsiTheme="minorHAnsi" w:cs="Cambria"/>
            <w:lang w:val="es-MX"/>
          </w:rPr>
          <w:t xml:space="preserve"> Protocolo Nacional de Coordinación Interinstitucional para la Protección de Niñas, Niños y Adolescentes Víctimas de Violencia</w:t>
        </w:r>
      </w:hyperlink>
      <w:r w:rsidRPr="000D1DE6">
        <w:rPr>
          <w:rFonts w:asciiTheme="minorHAnsi" w:eastAsia="Cambria" w:hAnsiTheme="minorHAnsi" w:cs="Cambria"/>
          <w:color w:val="333333"/>
          <w:lang w:val="es-MX"/>
        </w:rPr>
        <w:t xml:space="preserve">, </w:t>
      </w:r>
      <w:r w:rsidRPr="000D1DE6">
        <w:rPr>
          <w:rFonts w:asciiTheme="minorHAnsi" w:eastAsia="Cambria" w:hAnsiTheme="minorHAnsi" w:cs="Cambria"/>
          <w:lang w:val="es-MX"/>
        </w:rPr>
        <w:t>12 de febrero de 2021.</w:t>
      </w:r>
    </w:p>
  </w:footnote>
  <w:footnote w:id="297">
    <w:p w14:paraId="007C90B4" w14:textId="77777777" w:rsidR="000235D8" w:rsidRPr="000D1DE6" w:rsidRDefault="000235D8" w:rsidP="00F46807">
      <w:pPr>
        <w:pStyle w:val="FootnoteText"/>
        <w:spacing w:after="120"/>
        <w:ind w:firstLine="720"/>
        <w:rPr>
          <w:rFonts w:asciiTheme="minorHAnsi" w:hAnsiTheme="minorHAnsi"/>
          <w:lang w:val="es-MX"/>
        </w:rPr>
      </w:pPr>
      <w:r w:rsidRPr="000D1DE6">
        <w:rPr>
          <w:rStyle w:val="FootnoteReference"/>
          <w:rFonts w:asciiTheme="minorHAnsi" w:hAnsiTheme="minorHAnsi"/>
          <w:lang w:val="es-MX"/>
        </w:rPr>
        <w:footnoteRef/>
      </w:r>
      <w:r w:rsidRPr="000D1DE6">
        <w:rPr>
          <w:rFonts w:asciiTheme="minorHAnsi" w:hAnsiTheme="minorHAnsi"/>
          <w:lang w:val="es-MX"/>
        </w:rPr>
        <w:t xml:space="preserve"> </w:t>
      </w:r>
      <w:r w:rsidRPr="000D1DE6">
        <w:rPr>
          <w:rFonts w:asciiTheme="minorHAnsi" w:eastAsia="Cambria" w:hAnsiTheme="minorHAnsi" w:cs="Cambria"/>
          <w:color w:val="333333"/>
          <w:lang w:val="es-MX"/>
        </w:rPr>
        <w:t>CDHCM,</w:t>
      </w:r>
      <w:hyperlink r:id="rId216">
        <w:r w:rsidRPr="000D1DE6">
          <w:rPr>
            <w:rStyle w:val="Hyperlink"/>
            <w:rFonts w:asciiTheme="minorHAnsi" w:eastAsia="Cambria" w:hAnsiTheme="minorHAnsi" w:cs="Cambria"/>
            <w:lang w:val="es-MX"/>
          </w:rPr>
          <w:t xml:space="preserve"> Presenta CDHCM el Informe Interacciones entre adolescentes y policías en la Ciudad de México</w:t>
        </w:r>
      </w:hyperlink>
      <w:r w:rsidRPr="000D1DE6">
        <w:rPr>
          <w:rFonts w:asciiTheme="minorHAnsi" w:eastAsia="Cambria" w:hAnsiTheme="minorHAnsi" w:cs="Cambria"/>
          <w:color w:val="333333"/>
          <w:lang w:val="es-MX"/>
        </w:rPr>
        <w:t>, 26 de enero de 2021.</w:t>
      </w:r>
    </w:p>
  </w:footnote>
  <w:footnote w:id="298">
    <w:p w14:paraId="45C7EABC" w14:textId="77777777" w:rsidR="000235D8" w:rsidRPr="000D1DE6" w:rsidRDefault="000235D8" w:rsidP="00F46807">
      <w:pPr>
        <w:pStyle w:val="FootnoteText"/>
        <w:spacing w:after="120"/>
        <w:ind w:firstLine="720"/>
        <w:rPr>
          <w:rFonts w:asciiTheme="minorHAnsi" w:hAnsiTheme="minorHAnsi"/>
          <w:lang w:val="es-MX"/>
        </w:rPr>
      </w:pPr>
      <w:r w:rsidRPr="000D1DE6">
        <w:rPr>
          <w:rStyle w:val="FootnoteReference"/>
          <w:rFonts w:asciiTheme="minorHAnsi" w:hAnsiTheme="minorHAnsi"/>
          <w:lang w:val="es-MX"/>
        </w:rPr>
        <w:footnoteRef/>
      </w:r>
      <w:r w:rsidRPr="000D1DE6">
        <w:rPr>
          <w:rFonts w:asciiTheme="minorHAnsi" w:hAnsiTheme="minorHAnsi"/>
          <w:lang w:val="es-MX"/>
        </w:rPr>
        <w:t xml:space="preserve"> </w:t>
      </w:r>
      <w:r w:rsidRPr="000D1DE6">
        <w:rPr>
          <w:rFonts w:asciiTheme="minorHAnsi" w:eastAsia="Cambria" w:hAnsiTheme="minorHAnsi" w:cs="Cambria"/>
          <w:lang w:val="es-MX"/>
        </w:rPr>
        <w:t>ONEA, “</w:t>
      </w:r>
      <w:hyperlink r:id="rId217">
        <w:r w:rsidRPr="000D1DE6">
          <w:rPr>
            <w:rStyle w:val="Hyperlink"/>
            <w:rFonts w:asciiTheme="minorHAnsi" w:eastAsia="Cambria" w:hAnsiTheme="minorHAnsi" w:cs="Cambria"/>
            <w:lang w:val="es-MX"/>
          </w:rPr>
          <w:t>ONEA México se suma a la exigencia de justicia por el homicidio de Eduardo Jiménez y Jonathan Herrera en Veracruz</w:t>
        </w:r>
      </w:hyperlink>
      <w:r w:rsidRPr="000D1DE6">
        <w:rPr>
          <w:rFonts w:asciiTheme="minorHAnsi" w:eastAsia="Cambria" w:hAnsiTheme="minorHAnsi" w:cs="Cambria"/>
          <w:color w:val="333333"/>
          <w:lang w:val="es-MX"/>
        </w:rPr>
        <w:t xml:space="preserve">”, </w:t>
      </w:r>
      <w:r w:rsidRPr="000D1DE6">
        <w:rPr>
          <w:rFonts w:asciiTheme="minorHAnsi" w:eastAsia="Cambria" w:hAnsiTheme="minorHAnsi" w:cs="Cambria"/>
          <w:lang w:val="es-MX"/>
        </w:rPr>
        <w:t xml:space="preserve">5 de julio de 2021. Las Patronas [@LasPatronas-dh]. (3 de julio de 2021) </w:t>
      </w:r>
      <w:r w:rsidRPr="000D1DE6">
        <w:rPr>
          <w:rFonts w:asciiTheme="minorHAnsi" w:eastAsia="Cambria" w:hAnsiTheme="minorHAnsi" w:cs="Cambria"/>
          <w:i/>
          <w:lang w:val="es-MX"/>
        </w:rPr>
        <w:t xml:space="preserve">Carta abierta al Gob. de Veracruz </w:t>
      </w:r>
      <w:hyperlink r:id="rId218">
        <w:r w:rsidRPr="000D1DE6">
          <w:rPr>
            <w:rStyle w:val="Hyperlink"/>
            <w:rFonts w:asciiTheme="minorHAnsi" w:eastAsia="Cambria" w:hAnsiTheme="minorHAnsi" w:cs="Cambria"/>
            <w:i/>
            <w:iCs/>
            <w:lang w:val="es-MX"/>
          </w:rPr>
          <w:t>@CuitlahuacGJ</w:t>
        </w:r>
      </w:hyperlink>
      <w:r w:rsidRPr="000D1DE6">
        <w:rPr>
          <w:rFonts w:asciiTheme="minorHAnsi" w:eastAsia="Cambria" w:hAnsiTheme="minorHAnsi" w:cs="Cambria"/>
          <w:i/>
          <w:iCs/>
          <w:color w:val="333333"/>
          <w:lang w:val="es-MX"/>
        </w:rPr>
        <w:t>,</w:t>
      </w:r>
      <w:r w:rsidRPr="000D1DE6">
        <w:rPr>
          <w:rFonts w:asciiTheme="minorHAnsi" w:eastAsia="Cambria" w:hAnsiTheme="minorHAnsi" w:cs="Cambria"/>
          <w:i/>
          <w:lang w:val="es-MX"/>
        </w:rPr>
        <w:t xml:space="preserve"> pres. Municipal de Amatlan </w:t>
      </w:r>
      <w:hyperlink r:id="rId219">
        <w:r w:rsidRPr="000D1DE6">
          <w:rPr>
            <w:rStyle w:val="Hyperlink"/>
            <w:rFonts w:asciiTheme="minorHAnsi" w:eastAsia="Cambria" w:hAnsiTheme="minorHAnsi" w:cs="Cambria"/>
            <w:i/>
            <w:iCs/>
            <w:lang w:val="es-MX"/>
          </w:rPr>
          <w:t>@EDUARDOROJASCA9</w:t>
        </w:r>
      </w:hyperlink>
      <w:r w:rsidRPr="000D1DE6">
        <w:rPr>
          <w:rFonts w:asciiTheme="minorHAnsi" w:eastAsia="Cambria" w:hAnsiTheme="minorHAnsi" w:cs="Cambria"/>
          <w:i/>
          <w:iCs/>
          <w:color w:val="333333"/>
          <w:lang w:val="es-MX"/>
        </w:rPr>
        <w:t xml:space="preserve">, </w:t>
      </w:r>
      <w:r w:rsidRPr="000D1DE6">
        <w:rPr>
          <w:rFonts w:asciiTheme="minorHAnsi" w:eastAsia="Cambria" w:hAnsiTheme="minorHAnsi" w:cs="Cambria"/>
          <w:i/>
          <w:lang w:val="es-MX"/>
        </w:rPr>
        <w:t xml:space="preserve">sec. de Seguridad Pública </w:t>
      </w:r>
      <w:hyperlink r:id="rId220">
        <w:r w:rsidRPr="000D1DE6">
          <w:rPr>
            <w:rStyle w:val="Hyperlink"/>
            <w:rFonts w:asciiTheme="minorHAnsi" w:eastAsia="Cambria" w:hAnsiTheme="minorHAnsi" w:cs="Cambria"/>
            <w:i/>
            <w:iCs/>
            <w:lang w:val="es-MX"/>
          </w:rPr>
          <w:t>@HGutierrez_M</w:t>
        </w:r>
      </w:hyperlink>
      <w:r w:rsidRPr="000D1DE6">
        <w:rPr>
          <w:rFonts w:asciiTheme="minorHAnsi" w:eastAsia="Cambria" w:hAnsiTheme="minorHAnsi" w:cs="Cambria"/>
          <w:i/>
          <w:iCs/>
          <w:color w:val="333333"/>
          <w:lang w:val="es-MX"/>
        </w:rPr>
        <w:t xml:space="preserve"> </w:t>
      </w:r>
      <w:r w:rsidRPr="000D1DE6">
        <w:rPr>
          <w:rFonts w:asciiTheme="minorHAnsi" w:eastAsia="Cambria" w:hAnsiTheme="minorHAnsi" w:cs="Cambria"/>
          <w:i/>
          <w:lang w:val="es-MX"/>
        </w:rPr>
        <w:t xml:space="preserve">y Sec. de Gobernación </w:t>
      </w:r>
      <w:hyperlink r:id="rId221">
        <w:r w:rsidRPr="000D1DE6">
          <w:rPr>
            <w:rStyle w:val="Hyperlink"/>
            <w:rFonts w:asciiTheme="minorHAnsi" w:eastAsia="Cambria" w:hAnsiTheme="minorHAnsi" w:cs="Cambria"/>
            <w:i/>
            <w:iCs/>
            <w:lang w:val="es-MX"/>
          </w:rPr>
          <w:t>@M_OlgaSCordero</w:t>
        </w:r>
      </w:hyperlink>
      <w:r w:rsidRPr="000D1DE6">
        <w:rPr>
          <w:rFonts w:asciiTheme="minorHAnsi" w:eastAsia="Cambria" w:hAnsiTheme="minorHAnsi" w:cs="Cambria"/>
          <w:i/>
          <w:iCs/>
          <w:color w:val="333333"/>
          <w:lang w:val="es-MX"/>
        </w:rPr>
        <w:t xml:space="preserve">, </w:t>
      </w:r>
      <w:r w:rsidRPr="000D1DE6">
        <w:rPr>
          <w:rFonts w:asciiTheme="minorHAnsi" w:eastAsia="Cambria" w:hAnsiTheme="minorHAnsi" w:cs="Cambria"/>
          <w:i/>
          <w:lang w:val="es-MX"/>
        </w:rPr>
        <w:t>comunidad en general</w:t>
      </w:r>
      <w:r w:rsidRPr="000D1DE6">
        <w:rPr>
          <w:rFonts w:asciiTheme="minorHAnsi" w:eastAsia="Cambria" w:hAnsiTheme="minorHAnsi" w:cs="Cambria"/>
          <w:lang w:val="es-MX"/>
        </w:rPr>
        <w:t>. [Tweet]. Twitter</w:t>
      </w:r>
      <w:r w:rsidRPr="000D1DE6">
        <w:rPr>
          <w:rFonts w:asciiTheme="minorHAnsi" w:eastAsia="Cambria" w:hAnsiTheme="minorHAnsi" w:cs="Cambria"/>
          <w:color w:val="333333"/>
          <w:lang w:val="es-MX"/>
        </w:rPr>
        <w:t xml:space="preserve">. </w:t>
      </w:r>
      <w:hyperlink r:id="rId222">
        <w:r w:rsidRPr="000D1DE6">
          <w:rPr>
            <w:rStyle w:val="Hyperlink"/>
            <w:rFonts w:asciiTheme="minorHAnsi" w:eastAsia="Cambria" w:hAnsiTheme="minorHAnsi" w:cs="Cambria"/>
            <w:lang w:val="es-MX"/>
          </w:rPr>
          <w:t>https://twitter.com/LasPatronas_dh/status/1411548497757802503?s=20</w:t>
        </w:r>
      </w:hyperlink>
      <w:r w:rsidRPr="000D1DE6">
        <w:rPr>
          <w:rFonts w:asciiTheme="minorHAnsi" w:eastAsia="Cambria" w:hAnsiTheme="minorHAnsi" w:cs="Cambria"/>
          <w:color w:val="000000" w:themeColor="text1"/>
          <w:lang w:val="es-MX"/>
        </w:rPr>
        <w:t>.</w:t>
      </w:r>
    </w:p>
  </w:footnote>
  <w:footnote w:id="299">
    <w:p w14:paraId="33978752" w14:textId="7E30AEFB" w:rsidR="002F1A6A" w:rsidRPr="000D1DE6" w:rsidRDefault="002F1A6A" w:rsidP="00F46807">
      <w:pPr>
        <w:pStyle w:val="FootnoteText"/>
        <w:spacing w:after="120"/>
        <w:ind w:firstLine="720"/>
      </w:pPr>
      <w:r w:rsidRPr="000D1DE6">
        <w:rPr>
          <w:rStyle w:val="FootnoteReference"/>
        </w:rPr>
        <w:footnoteRef/>
      </w:r>
      <w:r w:rsidRPr="000D1DE6">
        <w:t xml:space="preserve"> </w:t>
      </w:r>
      <w:r w:rsidRPr="000D1DE6">
        <w:rPr>
          <w:rFonts w:asciiTheme="minorHAnsi" w:eastAsia="Cambria" w:hAnsiTheme="minorHAnsi" w:cs="Cambria"/>
          <w:color w:val="000000"/>
          <w:lang w:val="es-MX"/>
        </w:rPr>
        <w:t>Observaciones y comentarios del Estado de 24 de enero de 2022, pág</w:t>
      </w:r>
      <w:r w:rsidRPr="000D1DE6">
        <w:t xml:space="preserve"> 21.</w:t>
      </w:r>
    </w:p>
  </w:footnote>
  <w:footnote w:id="300">
    <w:p w14:paraId="2185019F" w14:textId="0B0B6CA2" w:rsidR="000235D8" w:rsidRPr="000D1DE6" w:rsidRDefault="000235D8" w:rsidP="00F46807">
      <w:pPr>
        <w:pStyle w:val="FootnoteText"/>
        <w:spacing w:after="120"/>
        <w:ind w:firstLine="720"/>
        <w:rPr>
          <w:rFonts w:asciiTheme="minorHAnsi" w:hAnsiTheme="minorHAnsi"/>
          <w:lang w:val="es-MX"/>
        </w:rPr>
      </w:pPr>
      <w:r w:rsidRPr="000D1DE6">
        <w:rPr>
          <w:rStyle w:val="FootnoteReference"/>
          <w:rFonts w:asciiTheme="minorHAnsi" w:hAnsiTheme="minorHAnsi"/>
          <w:lang w:val="es-MX"/>
        </w:rPr>
        <w:footnoteRef/>
      </w:r>
      <w:r w:rsidRPr="000D1DE6">
        <w:rPr>
          <w:rFonts w:asciiTheme="minorHAnsi" w:hAnsiTheme="minorHAnsi"/>
          <w:lang w:val="es-MX"/>
        </w:rPr>
        <w:t xml:space="preserve"> Secretaría de Relaciones Exteriores, México, Informe de seguimiento sobre el cumplimiento de las recomendaciones de la CIDH, octubre de 2021, pág. 70.</w:t>
      </w:r>
    </w:p>
  </w:footnote>
  <w:footnote w:id="301">
    <w:p w14:paraId="069BEF1B" w14:textId="42303F8A" w:rsidR="000235D8" w:rsidRPr="000D1DE6" w:rsidRDefault="000235D8" w:rsidP="00F46807">
      <w:pPr>
        <w:pStyle w:val="FootnoteText"/>
        <w:spacing w:after="120"/>
        <w:ind w:firstLine="720"/>
        <w:rPr>
          <w:rFonts w:asciiTheme="minorHAnsi" w:hAnsiTheme="minorHAnsi"/>
          <w:lang w:val="es-MX"/>
        </w:rPr>
      </w:pPr>
      <w:r w:rsidRPr="000D1DE6">
        <w:rPr>
          <w:rStyle w:val="FootnoteReference"/>
          <w:rFonts w:asciiTheme="minorHAnsi" w:hAnsiTheme="minorHAnsi"/>
          <w:lang w:val="es-MX"/>
        </w:rPr>
        <w:footnoteRef/>
      </w:r>
      <w:r w:rsidRPr="000D1DE6">
        <w:rPr>
          <w:rFonts w:asciiTheme="minorHAnsi" w:hAnsiTheme="minorHAnsi"/>
          <w:lang w:val="es-MX"/>
        </w:rPr>
        <w:t xml:space="preserve"> Secretaría de Relaciones Exteriores, México, Informe de seguimiento sobre el cumplimiento de las recomendaciones de la CIDH, octubre de 2021, pág. 71.</w:t>
      </w:r>
    </w:p>
  </w:footnote>
  <w:footnote w:id="302">
    <w:p w14:paraId="27309715" w14:textId="603E070D" w:rsidR="000235D8" w:rsidRPr="000D1DE6" w:rsidRDefault="000235D8" w:rsidP="00F46807">
      <w:pPr>
        <w:pStyle w:val="FootnoteText"/>
        <w:spacing w:after="120"/>
        <w:ind w:firstLine="720"/>
        <w:rPr>
          <w:rFonts w:asciiTheme="minorHAnsi" w:hAnsiTheme="minorHAnsi"/>
          <w:lang w:val="es-MX"/>
        </w:rPr>
      </w:pPr>
      <w:r w:rsidRPr="000D1DE6">
        <w:rPr>
          <w:rStyle w:val="FootnoteReference"/>
          <w:rFonts w:asciiTheme="minorHAnsi" w:hAnsiTheme="minorHAnsi"/>
          <w:lang w:val="es-MX"/>
        </w:rPr>
        <w:footnoteRef/>
      </w:r>
      <w:r w:rsidRPr="000D1DE6">
        <w:rPr>
          <w:rFonts w:asciiTheme="minorHAnsi" w:hAnsiTheme="minorHAnsi"/>
          <w:lang w:val="es-MX"/>
        </w:rPr>
        <w:t xml:space="preserve"> Secretaría de Relaciones Exteriores, México, Informe de seguimiento sobre el cumplimiento de las recomendaciones de la CIDH, octubre de 2021, pág. 73.</w:t>
      </w:r>
    </w:p>
  </w:footnote>
  <w:footnote w:id="303">
    <w:p w14:paraId="0E20C3EB" w14:textId="77777777" w:rsidR="000235D8" w:rsidRPr="000D1DE6" w:rsidRDefault="000235D8" w:rsidP="00F46807">
      <w:pPr>
        <w:pStyle w:val="FootnoteText"/>
        <w:spacing w:after="120"/>
        <w:ind w:firstLine="720"/>
        <w:rPr>
          <w:rFonts w:asciiTheme="minorHAnsi" w:hAnsiTheme="minorHAnsi"/>
          <w:lang w:val="es-MX"/>
        </w:rPr>
      </w:pPr>
      <w:r w:rsidRPr="000D1DE6">
        <w:rPr>
          <w:rStyle w:val="FootnoteReference"/>
          <w:rFonts w:asciiTheme="minorHAnsi" w:hAnsiTheme="minorHAnsi"/>
          <w:lang w:val="es-MX"/>
        </w:rPr>
        <w:footnoteRef/>
      </w:r>
      <w:r w:rsidRPr="000D1DE6">
        <w:rPr>
          <w:rFonts w:asciiTheme="minorHAnsi" w:hAnsiTheme="minorHAnsi"/>
          <w:lang w:val="es-MX"/>
        </w:rPr>
        <w:t xml:space="preserve"> </w:t>
      </w:r>
      <w:r w:rsidRPr="000D1DE6">
        <w:rPr>
          <w:rFonts w:asciiTheme="minorHAnsi" w:hAnsiTheme="minorHAnsi"/>
          <w:color w:val="000000" w:themeColor="text1"/>
          <w:lang w:val="es-MX"/>
        </w:rPr>
        <w:t xml:space="preserve">CIDH, Comunicado de Prensa 099/21 - </w:t>
      </w:r>
      <w:hyperlink r:id="rId223">
        <w:r w:rsidRPr="000D1DE6">
          <w:rPr>
            <w:rStyle w:val="Hyperlink"/>
            <w:rFonts w:asciiTheme="minorHAnsi" w:eastAsia="Cambria" w:hAnsiTheme="minorHAnsi" w:cs="Cambria"/>
            <w:lang w:val="es-MX"/>
          </w:rPr>
          <w:t>La CIDH rechaza toda forma de reclutamiento de niñas, niños y adolescentes por grupos armados, y urge al Estado mexicano a proteger la vida e integridad personal de esta población</w:t>
        </w:r>
      </w:hyperlink>
      <w:r w:rsidRPr="000D1DE6">
        <w:rPr>
          <w:rFonts w:asciiTheme="minorHAnsi" w:hAnsiTheme="minorHAnsi"/>
          <w:color w:val="000000" w:themeColor="text1"/>
          <w:lang w:val="es-MX"/>
        </w:rPr>
        <w:t>, Washington DC, 22 de abril de 2021.</w:t>
      </w:r>
    </w:p>
  </w:footnote>
  <w:footnote w:id="304">
    <w:p w14:paraId="1A08C632" w14:textId="7CEDF4C7" w:rsidR="000235D8" w:rsidRPr="000D1DE6" w:rsidRDefault="000235D8" w:rsidP="00F46807">
      <w:pPr>
        <w:pStyle w:val="FootnoteText"/>
        <w:spacing w:after="120"/>
        <w:ind w:firstLine="720"/>
        <w:rPr>
          <w:rFonts w:asciiTheme="minorHAnsi" w:hAnsiTheme="minorHAnsi"/>
          <w:lang w:val="es-MX"/>
        </w:rPr>
      </w:pPr>
      <w:r w:rsidRPr="000D1DE6">
        <w:rPr>
          <w:rStyle w:val="FootnoteReference"/>
          <w:rFonts w:asciiTheme="minorHAnsi" w:hAnsiTheme="minorHAnsi"/>
          <w:lang w:val="es-MX"/>
        </w:rPr>
        <w:footnoteRef/>
      </w:r>
      <w:r w:rsidRPr="000D1DE6">
        <w:rPr>
          <w:rFonts w:asciiTheme="minorHAnsi" w:hAnsiTheme="minorHAnsi"/>
          <w:lang w:val="es-MX"/>
        </w:rPr>
        <w:t xml:space="preserve"> </w:t>
      </w:r>
      <w:r w:rsidRPr="000D1DE6">
        <w:rPr>
          <w:rFonts w:asciiTheme="minorHAnsi" w:eastAsia="Cambria" w:hAnsiTheme="minorHAnsi" w:cs="Cambria"/>
          <w:color w:val="000000" w:themeColor="text1"/>
          <w:lang w:val="es-MX"/>
        </w:rPr>
        <w:t xml:space="preserve">Secretaría de Gobernación, </w:t>
      </w:r>
      <w:hyperlink r:id="rId224">
        <w:r w:rsidRPr="000D1DE6">
          <w:rPr>
            <w:rStyle w:val="Hyperlink"/>
            <w:rFonts w:asciiTheme="minorHAnsi" w:eastAsia="Cambria" w:hAnsiTheme="minorHAnsi" w:cs="Cambria"/>
            <w:lang w:val="es-MX"/>
          </w:rPr>
          <w:t>Impacto de la pandemia en niñas y niños</w:t>
        </w:r>
      </w:hyperlink>
      <w:r w:rsidRPr="000D1DE6">
        <w:rPr>
          <w:rFonts w:asciiTheme="minorHAnsi" w:eastAsia="Cambria" w:hAnsiTheme="minorHAnsi" w:cs="Cambria"/>
          <w:color w:val="333333"/>
          <w:lang w:val="es-MX"/>
        </w:rPr>
        <w:t xml:space="preserve">, </w:t>
      </w:r>
      <w:r w:rsidRPr="000D1DE6">
        <w:rPr>
          <w:rFonts w:asciiTheme="minorHAnsi" w:eastAsia="Cambria" w:hAnsiTheme="minorHAnsi" w:cs="Cambria"/>
          <w:color w:val="000000" w:themeColor="text1"/>
          <w:lang w:val="es-MX"/>
        </w:rPr>
        <w:t>13 de agosto de 2021, pág. 4.</w:t>
      </w:r>
    </w:p>
  </w:footnote>
  <w:footnote w:id="305">
    <w:p w14:paraId="5DA82C00" w14:textId="203B6841" w:rsidR="000235D8" w:rsidRPr="000D1DE6" w:rsidRDefault="000235D8" w:rsidP="00F46807">
      <w:pPr>
        <w:pStyle w:val="FootnoteText"/>
        <w:spacing w:after="120"/>
        <w:ind w:firstLine="720"/>
        <w:rPr>
          <w:rFonts w:asciiTheme="minorHAnsi" w:hAnsiTheme="minorHAnsi"/>
          <w:lang w:val="es-MX"/>
        </w:rPr>
      </w:pPr>
      <w:r w:rsidRPr="000D1DE6">
        <w:rPr>
          <w:rStyle w:val="FootnoteReference"/>
          <w:rFonts w:asciiTheme="minorHAnsi" w:hAnsiTheme="minorHAnsi"/>
          <w:lang w:val="es-MX"/>
        </w:rPr>
        <w:footnoteRef/>
      </w:r>
      <w:r w:rsidRPr="000D1DE6">
        <w:rPr>
          <w:rFonts w:asciiTheme="minorHAnsi" w:hAnsiTheme="minorHAnsi"/>
          <w:lang w:val="es-MX"/>
        </w:rPr>
        <w:t xml:space="preserve"> </w:t>
      </w:r>
      <w:r w:rsidRPr="000D1DE6">
        <w:rPr>
          <w:rFonts w:asciiTheme="minorHAnsi" w:eastAsia="Cambria" w:hAnsiTheme="minorHAnsi" w:cs="Cambria"/>
          <w:color w:val="000000" w:themeColor="text1"/>
          <w:lang w:val="es-MX"/>
        </w:rPr>
        <w:t xml:space="preserve">Secretaría de Gobernación, </w:t>
      </w:r>
      <w:hyperlink r:id="rId225">
        <w:r w:rsidRPr="000D1DE6">
          <w:rPr>
            <w:rStyle w:val="Hyperlink"/>
            <w:rFonts w:asciiTheme="minorHAnsi" w:eastAsia="Cambria" w:hAnsiTheme="minorHAnsi" w:cs="Cambria"/>
            <w:lang w:val="es-MX"/>
          </w:rPr>
          <w:t>Impacto de la pandemia en niñas y niños</w:t>
        </w:r>
      </w:hyperlink>
      <w:r w:rsidRPr="000D1DE6">
        <w:rPr>
          <w:rFonts w:asciiTheme="minorHAnsi" w:eastAsia="Cambria" w:hAnsiTheme="minorHAnsi" w:cs="Cambria"/>
          <w:color w:val="333333"/>
          <w:lang w:val="es-MX"/>
        </w:rPr>
        <w:t xml:space="preserve">, </w:t>
      </w:r>
      <w:r w:rsidRPr="000D1DE6">
        <w:rPr>
          <w:rFonts w:asciiTheme="minorHAnsi" w:eastAsia="Cambria" w:hAnsiTheme="minorHAnsi" w:cs="Cambria"/>
          <w:color w:val="000000" w:themeColor="text1"/>
          <w:lang w:val="es-MX"/>
        </w:rPr>
        <w:t>13 de agosto de 2021, pág. 5.</w:t>
      </w:r>
    </w:p>
  </w:footnote>
  <w:footnote w:id="306">
    <w:p w14:paraId="25D7CF85" w14:textId="2EBD3465" w:rsidR="000235D8" w:rsidRPr="000D1DE6" w:rsidRDefault="000235D8" w:rsidP="00F46807">
      <w:pPr>
        <w:pStyle w:val="FootnoteText"/>
        <w:spacing w:after="120"/>
        <w:ind w:firstLine="720"/>
        <w:rPr>
          <w:rFonts w:asciiTheme="minorHAnsi" w:hAnsiTheme="minorHAnsi"/>
          <w:lang w:val="es-US"/>
        </w:rPr>
      </w:pPr>
      <w:r w:rsidRPr="000D1DE6">
        <w:rPr>
          <w:rStyle w:val="FootnoteReference"/>
          <w:rFonts w:asciiTheme="minorHAnsi" w:hAnsiTheme="minorHAnsi"/>
        </w:rPr>
        <w:footnoteRef/>
      </w:r>
      <w:r w:rsidRPr="000D1DE6">
        <w:rPr>
          <w:rFonts w:asciiTheme="minorHAnsi" w:eastAsia="Cambria" w:hAnsiTheme="minorHAnsi" w:cs="Cambria"/>
          <w:color w:val="000000" w:themeColor="text1"/>
          <w:lang w:val="es-MX"/>
        </w:rPr>
        <w:t xml:space="preserve"> Secretaría de Gobernación, </w:t>
      </w:r>
      <w:hyperlink r:id="rId226">
        <w:r w:rsidRPr="000D1DE6">
          <w:rPr>
            <w:rStyle w:val="Hyperlink"/>
            <w:rFonts w:asciiTheme="minorHAnsi" w:eastAsia="Cambria" w:hAnsiTheme="minorHAnsi" w:cs="Cambria"/>
            <w:lang w:val="es-MX"/>
          </w:rPr>
          <w:t>Impacto de la pandemia en niñas y niños</w:t>
        </w:r>
      </w:hyperlink>
      <w:r w:rsidRPr="000D1DE6">
        <w:rPr>
          <w:rFonts w:asciiTheme="minorHAnsi" w:eastAsia="Cambria" w:hAnsiTheme="minorHAnsi" w:cs="Cambria"/>
          <w:color w:val="333333"/>
          <w:lang w:val="es-MX"/>
        </w:rPr>
        <w:t xml:space="preserve">, </w:t>
      </w:r>
      <w:r w:rsidRPr="000D1DE6">
        <w:rPr>
          <w:rFonts w:asciiTheme="minorHAnsi" w:eastAsia="Cambria" w:hAnsiTheme="minorHAnsi" w:cs="Cambria"/>
          <w:color w:val="000000" w:themeColor="text1"/>
          <w:lang w:val="es-MX"/>
        </w:rPr>
        <w:t>13 de agosto de 2021, pág. 7.</w:t>
      </w:r>
      <w:r w:rsidRPr="000D1DE6">
        <w:rPr>
          <w:rFonts w:asciiTheme="minorHAnsi" w:hAnsiTheme="minorHAnsi"/>
        </w:rPr>
        <w:t xml:space="preserve"> </w:t>
      </w:r>
    </w:p>
  </w:footnote>
  <w:footnote w:id="307">
    <w:p w14:paraId="17ACF2EA" w14:textId="77777777" w:rsidR="000235D8" w:rsidRPr="000D1DE6" w:rsidRDefault="000235D8" w:rsidP="00F46807">
      <w:pPr>
        <w:pStyle w:val="FootnoteText"/>
        <w:spacing w:after="120"/>
        <w:ind w:firstLine="720"/>
        <w:rPr>
          <w:rFonts w:asciiTheme="minorHAnsi" w:hAnsiTheme="minorHAnsi"/>
          <w:lang w:val="es-MX"/>
        </w:rPr>
      </w:pPr>
      <w:r w:rsidRPr="000D1DE6">
        <w:rPr>
          <w:rStyle w:val="FootnoteReference"/>
          <w:rFonts w:asciiTheme="minorHAnsi" w:hAnsiTheme="minorHAnsi"/>
          <w:lang w:val="es-MX"/>
        </w:rPr>
        <w:footnoteRef/>
      </w:r>
      <w:r w:rsidRPr="000D1DE6">
        <w:rPr>
          <w:rFonts w:asciiTheme="minorHAnsi" w:hAnsiTheme="minorHAnsi"/>
          <w:lang w:val="es-MX"/>
        </w:rPr>
        <w:t xml:space="preserve"> </w:t>
      </w:r>
      <w:r w:rsidRPr="000D1DE6">
        <w:rPr>
          <w:rFonts w:asciiTheme="minorHAnsi" w:eastAsia="Cambria" w:hAnsiTheme="minorHAnsi" w:cs="Cambria"/>
          <w:color w:val="000000" w:themeColor="text1"/>
          <w:lang w:val="es-MX"/>
        </w:rPr>
        <w:t xml:space="preserve">Derechos Infancia, </w:t>
      </w:r>
      <w:hyperlink r:id="rId227">
        <w:r w:rsidRPr="000D1DE6">
          <w:rPr>
            <w:rStyle w:val="Hyperlink"/>
            <w:rFonts w:asciiTheme="minorHAnsi" w:eastAsia="Cambria" w:hAnsiTheme="minorHAnsi" w:cs="Cambria"/>
            <w:lang w:val="es-MX"/>
          </w:rPr>
          <w:t>"Niñez Desaparecida en México, una epidemia invisible por el adultocentrismo"</w:t>
        </w:r>
      </w:hyperlink>
      <w:r w:rsidRPr="000D1DE6">
        <w:rPr>
          <w:rFonts w:asciiTheme="minorHAnsi" w:eastAsia="Cambria" w:hAnsiTheme="minorHAnsi" w:cs="Cambria"/>
          <w:color w:val="333333"/>
          <w:lang w:val="es-MX"/>
        </w:rPr>
        <w:t>,</w:t>
      </w:r>
      <w:r w:rsidRPr="000D1DE6">
        <w:rPr>
          <w:rFonts w:asciiTheme="minorHAnsi" w:eastAsia="Cambria" w:hAnsiTheme="minorHAnsi" w:cs="Cambria"/>
          <w:color w:val="000000" w:themeColor="text1"/>
          <w:lang w:val="es-MX"/>
        </w:rPr>
        <w:t xml:space="preserve"> 29 de agosto de 2021.</w:t>
      </w:r>
    </w:p>
  </w:footnote>
  <w:footnote w:id="308">
    <w:p w14:paraId="6789AB42" w14:textId="282C1B9A" w:rsidR="000235D8" w:rsidRPr="000D1DE6" w:rsidRDefault="000235D8" w:rsidP="00F46807">
      <w:pPr>
        <w:pStyle w:val="FootnoteText"/>
        <w:spacing w:after="120"/>
        <w:ind w:firstLine="720"/>
        <w:rPr>
          <w:rFonts w:asciiTheme="minorHAnsi" w:hAnsiTheme="minorHAnsi"/>
          <w:lang w:val="es-MX"/>
        </w:rPr>
      </w:pPr>
      <w:r w:rsidRPr="000D1DE6">
        <w:rPr>
          <w:rStyle w:val="FootnoteReference"/>
          <w:rFonts w:asciiTheme="minorHAnsi" w:hAnsiTheme="minorHAnsi"/>
          <w:lang w:val="es-MX"/>
        </w:rPr>
        <w:footnoteRef/>
      </w:r>
      <w:r w:rsidRPr="000D1DE6">
        <w:rPr>
          <w:rFonts w:asciiTheme="minorHAnsi" w:hAnsiTheme="minorHAnsi"/>
          <w:lang w:val="es-MX"/>
        </w:rPr>
        <w:t xml:space="preserve"> </w:t>
      </w:r>
      <w:r w:rsidRPr="000D1DE6">
        <w:rPr>
          <w:rFonts w:asciiTheme="minorHAnsi" w:eastAsia="Cambria" w:hAnsiTheme="minorHAnsi" w:cs="Cambria"/>
          <w:color w:val="000000" w:themeColor="text1"/>
          <w:lang w:val="es-MX"/>
        </w:rPr>
        <w:t xml:space="preserve">Oficina de Defensoría de los Derechos de la Infancia, </w:t>
      </w:r>
      <w:hyperlink r:id="rId228">
        <w:r w:rsidRPr="000D1DE6">
          <w:rPr>
            <w:rStyle w:val="Hyperlink"/>
            <w:rFonts w:asciiTheme="minorHAnsi" w:eastAsia="Cambria" w:hAnsiTheme="minorHAnsi" w:cs="Cambria"/>
            <w:lang w:val="es-MX"/>
          </w:rPr>
          <w:t>“Es un secreto” La explotación infantil en escuelas</w:t>
        </w:r>
      </w:hyperlink>
      <w:r w:rsidRPr="000D1DE6">
        <w:rPr>
          <w:rFonts w:asciiTheme="minorHAnsi" w:eastAsia="Cambria" w:hAnsiTheme="minorHAnsi" w:cs="Cambria"/>
          <w:color w:val="000000" w:themeColor="text1"/>
          <w:lang w:val="es-MX"/>
        </w:rPr>
        <w:t>, 2021, pág. 46.</w:t>
      </w:r>
    </w:p>
  </w:footnote>
  <w:footnote w:id="309">
    <w:p w14:paraId="386A8F27" w14:textId="1DBA0072" w:rsidR="002F1A6A" w:rsidRPr="000D1DE6" w:rsidRDefault="002F1A6A" w:rsidP="00F46807">
      <w:pPr>
        <w:pStyle w:val="FootnoteText"/>
        <w:spacing w:after="120"/>
        <w:ind w:firstLine="720"/>
      </w:pPr>
      <w:r w:rsidRPr="000D1DE6">
        <w:rPr>
          <w:rStyle w:val="FootnoteReference"/>
        </w:rPr>
        <w:footnoteRef/>
      </w:r>
      <w:r w:rsidRPr="000D1DE6">
        <w:t xml:space="preserve"> </w:t>
      </w:r>
      <w:r w:rsidRPr="000D1DE6">
        <w:rPr>
          <w:rFonts w:asciiTheme="minorHAnsi" w:eastAsia="Cambria" w:hAnsiTheme="minorHAnsi" w:cs="Cambria"/>
          <w:color w:val="000000"/>
          <w:lang w:val="es-MX"/>
        </w:rPr>
        <w:t>Observaciones y comentarios del Estado de 24 de enero de 2022, pág</w:t>
      </w:r>
      <w:r w:rsidRPr="000D1DE6">
        <w:t xml:space="preserve"> 22.</w:t>
      </w:r>
    </w:p>
    <w:p w14:paraId="28F71B11" w14:textId="6B02ACF2" w:rsidR="002F1A6A" w:rsidRPr="000D1DE6" w:rsidRDefault="002F1A6A" w:rsidP="00F46807">
      <w:pPr>
        <w:pStyle w:val="FootnoteText"/>
        <w:spacing w:after="120"/>
        <w:ind w:firstLine="720"/>
      </w:pPr>
    </w:p>
  </w:footnote>
  <w:footnote w:id="310">
    <w:p w14:paraId="277BEF79" w14:textId="24C2508C" w:rsidR="000235D8" w:rsidRPr="000D1DE6" w:rsidRDefault="000235D8" w:rsidP="00F46807">
      <w:pPr>
        <w:pStyle w:val="FootnoteText"/>
        <w:spacing w:after="120"/>
        <w:ind w:firstLine="720"/>
        <w:rPr>
          <w:rFonts w:asciiTheme="minorHAnsi" w:hAnsiTheme="minorHAnsi"/>
          <w:lang w:val="es-MX"/>
        </w:rPr>
      </w:pPr>
      <w:r w:rsidRPr="000D1DE6">
        <w:rPr>
          <w:rStyle w:val="FootnoteReference"/>
          <w:rFonts w:asciiTheme="minorHAnsi" w:hAnsiTheme="minorHAnsi"/>
          <w:lang w:val="es-MX"/>
        </w:rPr>
        <w:footnoteRef/>
      </w:r>
      <w:r w:rsidRPr="000D1DE6">
        <w:rPr>
          <w:rFonts w:asciiTheme="minorHAnsi" w:hAnsiTheme="minorHAnsi"/>
          <w:lang w:val="es-MX"/>
        </w:rPr>
        <w:t xml:space="preserve"> </w:t>
      </w:r>
      <w:r w:rsidRPr="000D1DE6">
        <w:rPr>
          <w:rFonts w:asciiTheme="minorHAnsi" w:eastAsia="Cambria" w:hAnsiTheme="minorHAnsi" w:cs="Cambria"/>
          <w:color w:val="000000" w:themeColor="text1"/>
          <w:lang w:val="es-MX"/>
        </w:rPr>
        <w:t xml:space="preserve">Secretaría de Gobernación, </w:t>
      </w:r>
      <w:hyperlink r:id="rId229">
        <w:r w:rsidRPr="000D1DE6">
          <w:rPr>
            <w:rStyle w:val="Hyperlink"/>
            <w:rFonts w:asciiTheme="minorHAnsi" w:eastAsia="Cambria" w:hAnsiTheme="minorHAnsi" w:cs="Cambria"/>
            <w:lang w:val="es-MX"/>
          </w:rPr>
          <w:t>Impacto de la pandemia en niñas y niños</w:t>
        </w:r>
      </w:hyperlink>
      <w:r w:rsidRPr="000D1DE6">
        <w:rPr>
          <w:rFonts w:asciiTheme="minorHAnsi" w:eastAsia="Cambria" w:hAnsiTheme="minorHAnsi" w:cs="Cambria"/>
          <w:color w:val="000000" w:themeColor="text1"/>
          <w:lang w:val="es-MX"/>
        </w:rPr>
        <w:t>, 13 de agosto de 2021, pág. 6.</w:t>
      </w:r>
    </w:p>
  </w:footnote>
  <w:footnote w:id="311">
    <w:p w14:paraId="741F849A" w14:textId="77777777" w:rsidR="00A12246" w:rsidRPr="000D1DE6" w:rsidRDefault="00A12246" w:rsidP="00F46807">
      <w:pPr>
        <w:pStyle w:val="FootnoteText"/>
        <w:spacing w:after="120"/>
        <w:ind w:firstLine="720"/>
        <w:rPr>
          <w:rFonts w:asciiTheme="minorHAnsi" w:hAnsiTheme="minorHAnsi"/>
          <w:lang w:val="es-419"/>
        </w:rPr>
      </w:pPr>
      <w:r w:rsidRPr="000D1DE6">
        <w:rPr>
          <w:rStyle w:val="FootnoteReference"/>
          <w:rFonts w:asciiTheme="minorHAnsi" w:hAnsiTheme="minorHAnsi"/>
        </w:rPr>
        <w:footnoteRef/>
      </w:r>
      <w:r w:rsidRPr="000D1DE6">
        <w:rPr>
          <w:rFonts w:asciiTheme="minorHAnsi" w:hAnsiTheme="minorHAnsi"/>
          <w:lang w:val="es-419"/>
        </w:rPr>
        <w:t xml:space="preserve"> Noveno Informe del Estado mexicano sobre el cumplimiento de las Recomendaciones de la Comisión Interamericana de Derechos Humanos Emitidas en su informe sobre la “Situación de los Derechos Humanos en México”, derivado de su visita a México del 28 de septiembre al 2 de octubre de 2015, Octubre 2021. </w:t>
      </w:r>
    </w:p>
  </w:footnote>
  <w:footnote w:id="312">
    <w:p w14:paraId="782EEDFF" w14:textId="77777777" w:rsidR="00A12246" w:rsidRPr="000D1DE6" w:rsidRDefault="00A12246" w:rsidP="00F46807">
      <w:pPr>
        <w:pStyle w:val="FootnoteText"/>
        <w:spacing w:after="120"/>
        <w:ind w:firstLine="720"/>
        <w:rPr>
          <w:rFonts w:asciiTheme="minorHAnsi" w:hAnsiTheme="minorHAnsi"/>
          <w:lang w:val="es-419"/>
        </w:rPr>
      </w:pPr>
      <w:r w:rsidRPr="000D1DE6">
        <w:rPr>
          <w:rStyle w:val="FootnoteReference"/>
          <w:rFonts w:asciiTheme="minorHAnsi" w:hAnsiTheme="minorHAnsi"/>
        </w:rPr>
        <w:footnoteRef/>
      </w:r>
      <w:r w:rsidRPr="000D1DE6">
        <w:rPr>
          <w:rFonts w:asciiTheme="minorHAnsi" w:hAnsiTheme="minorHAnsi"/>
          <w:lang w:val="es-419"/>
        </w:rPr>
        <w:t xml:space="preserve"> CIDH, Informe Anual 2020: Capítulo V. Quinto informe de seguimiento de recomendaciones formuladas por la CIDH en el informe sobre la Situación de Derechos Humanos en México, párr. 234.</w:t>
      </w:r>
    </w:p>
  </w:footnote>
  <w:footnote w:id="313">
    <w:p w14:paraId="3B6D38C3" w14:textId="77777777" w:rsidR="00A12246" w:rsidRPr="000D1DE6" w:rsidRDefault="00A12246" w:rsidP="00F46807">
      <w:pPr>
        <w:pStyle w:val="FootnoteText"/>
        <w:spacing w:after="120"/>
        <w:ind w:firstLine="720"/>
        <w:rPr>
          <w:rFonts w:asciiTheme="minorHAnsi" w:hAnsiTheme="minorHAnsi"/>
          <w:lang w:val="es-419"/>
        </w:rPr>
      </w:pPr>
      <w:r w:rsidRPr="000D1DE6">
        <w:rPr>
          <w:rStyle w:val="FootnoteReference"/>
          <w:rFonts w:asciiTheme="minorHAnsi" w:hAnsiTheme="minorHAnsi"/>
        </w:rPr>
        <w:footnoteRef/>
      </w:r>
      <w:r w:rsidRPr="000D1DE6">
        <w:rPr>
          <w:rFonts w:asciiTheme="minorHAnsi" w:hAnsiTheme="minorHAnsi"/>
          <w:lang w:val="es-419"/>
        </w:rPr>
        <w:t xml:space="preserve"> </w:t>
      </w:r>
      <w:hyperlink r:id="rId230" w:history="1">
        <w:r w:rsidRPr="000D1DE6">
          <w:rPr>
            <w:rStyle w:val="Hyperlink"/>
            <w:rFonts w:asciiTheme="minorHAnsi" w:hAnsiTheme="minorHAnsi"/>
            <w:lang w:val="es-419"/>
          </w:rPr>
          <w:t>@CIDH Twitter</w:t>
        </w:r>
      </w:hyperlink>
      <w:r w:rsidRPr="000D1DE6">
        <w:rPr>
          <w:rFonts w:asciiTheme="minorHAnsi" w:hAnsiTheme="minorHAnsi"/>
          <w:lang w:val="es-419"/>
        </w:rPr>
        <w:t xml:space="preserve">, 29 de septiembre de 2021. </w:t>
      </w:r>
    </w:p>
  </w:footnote>
  <w:footnote w:id="314">
    <w:p w14:paraId="682764AF" w14:textId="77777777" w:rsidR="00A12246" w:rsidRPr="000D1DE6" w:rsidRDefault="00A12246" w:rsidP="00F46807">
      <w:pPr>
        <w:pStyle w:val="FootnoteText"/>
        <w:spacing w:after="120"/>
        <w:ind w:firstLine="720"/>
        <w:rPr>
          <w:rFonts w:asciiTheme="minorHAnsi" w:hAnsiTheme="minorHAnsi"/>
          <w:lang w:val="es-419"/>
        </w:rPr>
      </w:pPr>
      <w:r w:rsidRPr="000D1DE6">
        <w:rPr>
          <w:rStyle w:val="FootnoteReference"/>
          <w:rFonts w:asciiTheme="minorHAnsi" w:hAnsiTheme="minorHAnsi"/>
        </w:rPr>
        <w:footnoteRef/>
      </w:r>
      <w:r w:rsidRPr="000D1DE6">
        <w:rPr>
          <w:rFonts w:asciiTheme="minorHAnsi" w:hAnsiTheme="minorHAnsi"/>
          <w:lang w:val="es-419"/>
        </w:rPr>
        <w:t xml:space="preserve"> La Jornada, </w:t>
      </w:r>
      <w:hyperlink r:id="rId231" w:history="1">
        <w:r w:rsidRPr="000D1DE6">
          <w:rPr>
            <w:rStyle w:val="Hyperlink"/>
            <w:rFonts w:asciiTheme="minorHAnsi" w:hAnsiTheme="minorHAnsi"/>
            <w:lang w:val="es-419"/>
          </w:rPr>
          <w:t>Identifican restos de otros dos yaquis desaparecidos en Sonora</w:t>
        </w:r>
      </w:hyperlink>
      <w:r w:rsidRPr="000D1DE6">
        <w:rPr>
          <w:rFonts w:asciiTheme="minorHAnsi" w:hAnsiTheme="minorHAnsi"/>
          <w:lang w:val="es-419"/>
        </w:rPr>
        <w:t xml:space="preserve">, 9 de octubre de 2021. </w:t>
      </w:r>
    </w:p>
  </w:footnote>
  <w:footnote w:id="315">
    <w:p w14:paraId="4A4E713B" w14:textId="77777777" w:rsidR="00A12246" w:rsidRPr="000D1DE6" w:rsidRDefault="00A12246" w:rsidP="00F46807">
      <w:pPr>
        <w:pStyle w:val="FootnoteText"/>
        <w:spacing w:after="120"/>
        <w:ind w:firstLine="720"/>
        <w:rPr>
          <w:rFonts w:asciiTheme="minorHAnsi" w:hAnsiTheme="minorHAnsi"/>
          <w:lang w:val="es-419"/>
        </w:rPr>
      </w:pPr>
      <w:r w:rsidRPr="000D1DE6">
        <w:rPr>
          <w:rStyle w:val="FootnoteReference"/>
          <w:rFonts w:asciiTheme="minorHAnsi" w:hAnsiTheme="minorHAnsi"/>
        </w:rPr>
        <w:footnoteRef/>
      </w:r>
      <w:r w:rsidRPr="000D1DE6">
        <w:rPr>
          <w:rFonts w:asciiTheme="minorHAnsi" w:hAnsiTheme="minorHAnsi"/>
          <w:lang w:val="es-419"/>
        </w:rPr>
        <w:t xml:space="preserve"> Animalpolitico.com, </w:t>
      </w:r>
      <w:hyperlink r:id="rId232" w:history="1">
        <w:r w:rsidRPr="000D1DE6">
          <w:rPr>
            <w:rStyle w:val="Hyperlink"/>
            <w:rFonts w:asciiTheme="minorHAnsi" w:hAnsiTheme="minorHAnsi"/>
            <w:lang w:val="es-419"/>
          </w:rPr>
          <w:t>Familiares de yaquis desaparecidos dudan de identidad de restos hallados; exigen evidencia científica</w:t>
        </w:r>
      </w:hyperlink>
      <w:r w:rsidRPr="000D1DE6">
        <w:rPr>
          <w:rFonts w:asciiTheme="minorHAnsi" w:hAnsiTheme="minorHAnsi"/>
          <w:lang w:val="es-419"/>
        </w:rPr>
        <w:t xml:space="preserve">, 26 de octubre de 2021. </w:t>
      </w:r>
    </w:p>
  </w:footnote>
  <w:footnote w:id="316">
    <w:p w14:paraId="3E5AAE3D" w14:textId="77777777" w:rsidR="00A12246" w:rsidRPr="000D1DE6" w:rsidRDefault="00A12246" w:rsidP="00F46807">
      <w:pPr>
        <w:pStyle w:val="FootnoteText"/>
        <w:spacing w:after="120"/>
        <w:ind w:firstLine="720"/>
        <w:rPr>
          <w:rFonts w:asciiTheme="minorHAnsi" w:hAnsiTheme="minorHAnsi"/>
          <w:lang w:val="es-419"/>
        </w:rPr>
      </w:pPr>
      <w:r w:rsidRPr="000D1DE6">
        <w:rPr>
          <w:rStyle w:val="FootnoteReference"/>
          <w:rFonts w:asciiTheme="minorHAnsi" w:hAnsiTheme="minorHAnsi"/>
        </w:rPr>
        <w:footnoteRef/>
      </w:r>
      <w:r w:rsidRPr="000D1DE6">
        <w:rPr>
          <w:rFonts w:asciiTheme="minorHAnsi" w:hAnsiTheme="minorHAnsi"/>
          <w:lang w:val="es-419"/>
        </w:rPr>
        <w:t xml:space="preserve"> CIDH, Informe Anual 2020: Capítulo V. Quinto informe de seguimiento de recomendaciones formuladas por la CIDH en el informe sobre la Situación de Derechos Humanos en México, párr. 235.</w:t>
      </w:r>
    </w:p>
  </w:footnote>
  <w:footnote w:id="317">
    <w:p w14:paraId="37DB30C7" w14:textId="77777777" w:rsidR="00A12246" w:rsidRPr="000D1DE6" w:rsidRDefault="00A12246" w:rsidP="00F46807">
      <w:pPr>
        <w:pStyle w:val="FootnoteText"/>
        <w:spacing w:after="120"/>
        <w:ind w:firstLine="720"/>
        <w:rPr>
          <w:rFonts w:asciiTheme="minorHAnsi" w:hAnsiTheme="minorHAnsi"/>
          <w:lang w:val="es-419"/>
        </w:rPr>
      </w:pPr>
      <w:r w:rsidRPr="000D1DE6">
        <w:rPr>
          <w:rStyle w:val="FootnoteReference"/>
          <w:rFonts w:asciiTheme="minorHAnsi" w:hAnsiTheme="minorHAnsi"/>
        </w:rPr>
        <w:footnoteRef/>
      </w:r>
      <w:r w:rsidRPr="000D1DE6">
        <w:rPr>
          <w:rFonts w:asciiTheme="minorHAnsi" w:hAnsiTheme="minorHAnsi"/>
          <w:lang w:val="es-419"/>
        </w:rPr>
        <w:t xml:space="preserve"> CIDH, Comunicado de Prensa No. 340/21, </w:t>
      </w:r>
      <w:hyperlink r:id="rId233" w:history="1">
        <w:r w:rsidRPr="000D1DE6">
          <w:rPr>
            <w:rStyle w:val="Hyperlink"/>
            <w:rFonts w:asciiTheme="minorHAnsi" w:hAnsiTheme="minorHAnsi"/>
            <w:lang w:val="es-419"/>
          </w:rPr>
          <w:t>La CIDH emite resolución de seguimiento a las medidas cautelares a favor de familias tsotsiles en 22 comunidades en el estado de Chiapas</w:t>
        </w:r>
      </w:hyperlink>
      <w:r w:rsidRPr="000D1DE6">
        <w:rPr>
          <w:rFonts w:asciiTheme="minorHAnsi" w:hAnsiTheme="minorHAnsi"/>
          <w:lang w:val="es-419"/>
        </w:rPr>
        <w:t>, México, 15 de diciembre de 2021.</w:t>
      </w:r>
    </w:p>
  </w:footnote>
  <w:footnote w:id="318">
    <w:p w14:paraId="2C4CB058" w14:textId="4ECA95C5" w:rsidR="00DE6FB0" w:rsidRPr="000D1DE6" w:rsidRDefault="00DE6FB0" w:rsidP="00F46807">
      <w:pPr>
        <w:pStyle w:val="FootnoteText"/>
        <w:spacing w:after="120"/>
        <w:ind w:firstLine="720"/>
      </w:pPr>
      <w:r w:rsidRPr="000D1DE6">
        <w:rPr>
          <w:rStyle w:val="FootnoteReference"/>
          <w:rFonts w:asciiTheme="minorHAnsi" w:hAnsiTheme="minorHAnsi"/>
        </w:rPr>
        <w:footnoteRef/>
      </w:r>
      <w:r w:rsidRPr="000D1DE6">
        <w:rPr>
          <w:rFonts w:asciiTheme="minorHAnsi" w:hAnsiTheme="minorHAnsi"/>
          <w:lang w:val="es-419"/>
        </w:rPr>
        <w:t xml:space="preserve"> </w:t>
      </w:r>
      <w:r w:rsidR="002F1A6A" w:rsidRPr="000D1DE6">
        <w:rPr>
          <w:rFonts w:asciiTheme="minorHAnsi" w:eastAsia="Cambria" w:hAnsiTheme="minorHAnsi" w:cs="Cambria"/>
          <w:color w:val="000000"/>
          <w:lang w:val="es-MX"/>
        </w:rPr>
        <w:t>Observaciones y comentarios del Estado de 24 de enero de 2022, pág</w:t>
      </w:r>
      <w:r w:rsidR="002F1A6A" w:rsidRPr="000D1DE6">
        <w:t xml:space="preserve"> 23.</w:t>
      </w:r>
    </w:p>
  </w:footnote>
  <w:footnote w:id="319">
    <w:p w14:paraId="36751695" w14:textId="77777777" w:rsidR="000028C2" w:rsidRPr="000D1DE6" w:rsidRDefault="000028C2" w:rsidP="00F46807">
      <w:pPr>
        <w:pStyle w:val="FootnoteText"/>
        <w:spacing w:after="120"/>
        <w:ind w:firstLine="720"/>
        <w:rPr>
          <w:rFonts w:asciiTheme="minorHAnsi" w:hAnsiTheme="minorHAnsi"/>
        </w:rPr>
      </w:pPr>
      <w:r w:rsidRPr="000D1DE6">
        <w:rPr>
          <w:rStyle w:val="FootnoteReference"/>
          <w:rFonts w:asciiTheme="minorHAnsi" w:hAnsiTheme="minorHAnsi"/>
        </w:rPr>
        <w:footnoteRef/>
      </w:r>
      <w:r w:rsidRPr="000D1DE6">
        <w:rPr>
          <w:rFonts w:asciiTheme="minorHAnsi" w:hAnsiTheme="minorHAnsi"/>
        </w:rPr>
        <w:t xml:space="preserve"> CIDH,</w:t>
      </w:r>
      <w:hyperlink r:id="rId234" w:history="1">
        <w:r w:rsidRPr="000D1DE6">
          <w:rPr>
            <w:rStyle w:val="Hyperlink"/>
            <w:rFonts w:asciiTheme="minorHAnsi" w:hAnsiTheme="minorHAnsi"/>
          </w:rPr>
          <w:t xml:space="preserve"> Informe de la CNDH en el SIMORE,</w:t>
        </w:r>
      </w:hyperlink>
      <w:r w:rsidRPr="000D1DE6">
        <w:rPr>
          <w:rFonts w:asciiTheme="minorHAnsi" w:hAnsiTheme="minorHAnsi"/>
        </w:rPr>
        <w:t xml:space="preserve"> 17 de diciembre.</w:t>
      </w:r>
    </w:p>
  </w:footnote>
  <w:footnote w:id="320">
    <w:p w14:paraId="1515E91A" w14:textId="77777777" w:rsidR="00DE6FB0" w:rsidRPr="000D1DE6" w:rsidRDefault="00DE6FB0" w:rsidP="00F46807">
      <w:pPr>
        <w:pStyle w:val="FootnoteText"/>
        <w:spacing w:after="120"/>
        <w:ind w:firstLine="720"/>
        <w:rPr>
          <w:rFonts w:asciiTheme="minorHAnsi" w:hAnsiTheme="minorHAnsi"/>
          <w:lang w:val="es"/>
        </w:rPr>
      </w:pPr>
      <w:r w:rsidRPr="000D1DE6">
        <w:rPr>
          <w:rStyle w:val="FootnoteReference"/>
          <w:rFonts w:asciiTheme="minorHAnsi" w:hAnsiTheme="minorHAnsi"/>
        </w:rPr>
        <w:footnoteRef/>
      </w:r>
      <w:r w:rsidRPr="000D1DE6">
        <w:rPr>
          <w:rFonts w:asciiTheme="minorHAnsi" w:hAnsiTheme="minorHAnsi"/>
        </w:rPr>
        <w:t xml:space="preserve"> </w:t>
      </w:r>
      <w:r w:rsidRPr="000D1DE6">
        <w:rPr>
          <w:rFonts w:asciiTheme="minorHAnsi" w:hAnsiTheme="minorHAnsi"/>
          <w:lang w:val="es"/>
        </w:rPr>
        <w:t>México. Informe del Estado solicitado por la CIDH – Capítulo IV A – Informe Anual de la CIDH 2021, párr. 37-38, Documento sometido a la CIDH, 12 de agosto de 2021. En archivo de la CIDH</w:t>
      </w:r>
    </w:p>
  </w:footnote>
  <w:footnote w:id="321">
    <w:p w14:paraId="049C48B7" w14:textId="77777777" w:rsidR="00DE6FB0" w:rsidRPr="000D1DE6" w:rsidRDefault="00DE6FB0" w:rsidP="00F46807">
      <w:pPr>
        <w:pStyle w:val="FootnoteText"/>
        <w:spacing w:after="120"/>
        <w:ind w:firstLine="720"/>
        <w:rPr>
          <w:rFonts w:asciiTheme="minorHAnsi" w:hAnsiTheme="minorHAnsi"/>
          <w:lang w:val="es"/>
        </w:rPr>
      </w:pPr>
      <w:r w:rsidRPr="000D1DE6">
        <w:rPr>
          <w:rStyle w:val="FootnoteReference"/>
          <w:rFonts w:asciiTheme="minorHAnsi" w:hAnsiTheme="minorHAnsi"/>
        </w:rPr>
        <w:footnoteRef/>
      </w:r>
      <w:r w:rsidRPr="000D1DE6">
        <w:rPr>
          <w:rFonts w:asciiTheme="minorHAnsi" w:hAnsiTheme="minorHAnsi"/>
        </w:rPr>
        <w:t xml:space="preserve"> </w:t>
      </w:r>
      <w:r w:rsidRPr="000D1DE6">
        <w:rPr>
          <w:rFonts w:asciiTheme="minorHAnsi" w:hAnsiTheme="minorHAnsi"/>
          <w:lang w:val="es"/>
        </w:rPr>
        <w:t>México. Informe del Estado solicitado por la CIDH – Capítulo IV A – Informe Anual de la CIDH 2021, párr. 42, Documento sometido a la CIDH, 12 de agosto de 2021. En archivo de la CIDH</w:t>
      </w:r>
    </w:p>
  </w:footnote>
  <w:footnote w:id="322">
    <w:p w14:paraId="7A9E45C8" w14:textId="5B7460E9" w:rsidR="00DE6FB0" w:rsidRPr="000D1DE6" w:rsidRDefault="00DE6FB0" w:rsidP="00F46807">
      <w:pPr>
        <w:pStyle w:val="FootnoteText"/>
        <w:spacing w:after="120"/>
        <w:ind w:firstLine="720"/>
        <w:rPr>
          <w:rFonts w:asciiTheme="minorHAnsi" w:hAnsiTheme="minorHAnsi"/>
        </w:rPr>
      </w:pPr>
      <w:r w:rsidRPr="000D1DE6">
        <w:rPr>
          <w:rStyle w:val="FootnoteReference"/>
          <w:rFonts w:asciiTheme="minorHAnsi" w:hAnsiTheme="minorHAnsi"/>
        </w:rPr>
        <w:footnoteRef/>
      </w:r>
      <w:r w:rsidRPr="000D1DE6">
        <w:rPr>
          <w:rFonts w:asciiTheme="minorHAnsi" w:hAnsiTheme="minorHAnsi"/>
          <w:lang w:val="es-US"/>
        </w:rPr>
        <w:t xml:space="preserve"> CNDH, Recomendación General No. 45/2021 Sobre el derecho de las personas indígenas a un procedimiento penal a ser asistidas por personas intérpretes, traductoras y defensoras, que tengan </w:t>
      </w:r>
      <w:r w:rsidR="002F1A6A" w:rsidRPr="000D1DE6">
        <w:rPr>
          <w:rFonts w:asciiTheme="minorHAnsi" w:hAnsiTheme="minorHAnsi"/>
          <w:lang w:val="es-US"/>
        </w:rPr>
        <w:t>conocimiento</w:t>
      </w:r>
      <w:r w:rsidRPr="000D1DE6">
        <w:rPr>
          <w:rFonts w:asciiTheme="minorHAnsi" w:hAnsiTheme="minorHAnsi"/>
          <w:lang w:val="es-US"/>
        </w:rPr>
        <w:t xml:space="preserve"> de su lengua y cultura, 05 de noviembre de 2021 ,párr. </w:t>
      </w:r>
      <w:r w:rsidRPr="000D1DE6">
        <w:rPr>
          <w:rFonts w:asciiTheme="minorHAnsi" w:hAnsiTheme="minorHAnsi"/>
        </w:rPr>
        <w:t>90.</w:t>
      </w:r>
    </w:p>
  </w:footnote>
  <w:footnote w:id="323">
    <w:p w14:paraId="24E7F76E" w14:textId="77777777" w:rsidR="00DE6FB0" w:rsidRPr="000D1DE6" w:rsidRDefault="00DE6FB0" w:rsidP="00F46807">
      <w:pPr>
        <w:pStyle w:val="FootnoteText"/>
        <w:spacing w:after="120"/>
        <w:ind w:firstLine="720"/>
        <w:rPr>
          <w:rFonts w:asciiTheme="minorHAnsi" w:hAnsiTheme="minorHAnsi"/>
          <w:lang w:val="es-419"/>
        </w:rPr>
      </w:pPr>
      <w:r w:rsidRPr="000D1DE6">
        <w:rPr>
          <w:rStyle w:val="FootnoteReference"/>
          <w:rFonts w:asciiTheme="minorHAnsi" w:hAnsiTheme="minorHAnsi"/>
        </w:rPr>
        <w:footnoteRef/>
      </w:r>
      <w:r w:rsidRPr="000D1DE6">
        <w:rPr>
          <w:rFonts w:asciiTheme="minorHAnsi" w:hAnsiTheme="minorHAnsi"/>
          <w:lang w:val="es-419"/>
        </w:rPr>
        <w:t xml:space="preserve"> CNDH, Recomendación General No. 45/2021 Sobre el derecho de las personas indígenas a un procedimiento penal a ser asistidas por personas intérpretes, traductoras y defensoras, que tengan conocimeinto de su lengua y cultura, 05 de noviembre de 2021 ,párr. 162.</w:t>
      </w:r>
    </w:p>
  </w:footnote>
  <w:footnote w:id="324">
    <w:p w14:paraId="720BEE7B" w14:textId="77777777" w:rsidR="00DE6FB0" w:rsidRPr="000D1DE6" w:rsidRDefault="00DE6FB0" w:rsidP="00F46807">
      <w:pPr>
        <w:pStyle w:val="FootnoteText"/>
        <w:spacing w:after="120"/>
        <w:ind w:firstLine="720"/>
        <w:rPr>
          <w:rFonts w:asciiTheme="minorHAnsi" w:hAnsiTheme="minorHAnsi"/>
        </w:rPr>
      </w:pPr>
      <w:r w:rsidRPr="000D1DE6">
        <w:rPr>
          <w:rStyle w:val="FootnoteReference"/>
          <w:rFonts w:asciiTheme="minorHAnsi" w:hAnsiTheme="minorHAnsi"/>
        </w:rPr>
        <w:footnoteRef/>
      </w:r>
      <w:r w:rsidRPr="000D1DE6">
        <w:rPr>
          <w:rFonts w:asciiTheme="minorHAnsi" w:hAnsiTheme="minorHAnsi"/>
          <w:lang w:val="es-US"/>
        </w:rPr>
        <w:t xml:space="preserve"> Véase, CNDH, Recomendación General No. 45/2021 Sobre el derecho de las personas indígenas a un procedimiento penal a ser asistidas por personas intérpretes, traductoras y defensoras, que tengan conocimeinto de su lengua y cultura, 05 de noviembre de 2021 , Secc. IV. </w:t>
      </w:r>
      <w:r w:rsidRPr="000D1DE6">
        <w:rPr>
          <w:rFonts w:asciiTheme="minorHAnsi" w:hAnsiTheme="minorHAnsi"/>
        </w:rPr>
        <w:t xml:space="preserve">Recomendaciones. </w:t>
      </w:r>
    </w:p>
  </w:footnote>
  <w:footnote w:id="325">
    <w:p w14:paraId="4B39CED2" w14:textId="77777777" w:rsidR="001A4D24" w:rsidRPr="000D1DE6" w:rsidRDefault="001A4D24" w:rsidP="00F46807">
      <w:pPr>
        <w:pStyle w:val="FootnoteText"/>
        <w:spacing w:after="120"/>
        <w:ind w:firstLine="720"/>
        <w:rPr>
          <w:rFonts w:asciiTheme="minorHAnsi" w:hAnsiTheme="minorHAnsi"/>
          <w:lang w:val="es-419"/>
        </w:rPr>
      </w:pPr>
      <w:r w:rsidRPr="000D1DE6">
        <w:rPr>
          <w:rStyle w:val="FootnoteReference"/>
          <w:rFonts w:asciiTheme="minorHAnsi" w:hAnsiTheme="minorHAnsi"/>
        </w:rPr>
        <w:footnoteRef/>
      </w:r>
      <w:r w:rsidRPr="000D1DE6">
        <w:rPr>
          <w:rFonts w:asciiTheme="minorHAnsi" w:hAnsiTheme="minorHAnsi"/>
          <w:lang w:val="es-419"/>
        </w:rPr>
        <w:t xml:space="preserve"> Noveno Informe del Estado mexicano sobre el cumplimiento de las Recomendaciones de la Comisión Interamericana de Derechos Humanos Emitidas en su informe sobre la “Situación de los Derechos Humanos en México”, derivado de su visita a México del 28 de septiembre al 2 de octubre de 2015, Octubre 2021. </w:t>
      </w:r>
    </w:p>
  </w:footnote>
  <w:footnote w:id="326">
    <w:p w14:paraId="03C03C83" w14:textId="77777777" w:rsidR="001A4D24" w:rsidRPr="000D1DE6" w:rsidRDefault="001A4D24" w:rsidP="00F46807">
      <w:pPr>
        <w:pStyle w:val="FootnoteText"/>
        <w:spacing w:after="120"/>
        <w:ind w:firstLine="720"/>
        <w:rPr>
          <w:rFonts w:asciiTheme="minorHAnsi" w:hAnsiTheme="minorHAnsi"/>
          <w:lang w:val="es-419"/>
        </w:rPr>
      </w:pPr>
      <w:r w:rsidRPr="000D1DE6">
        <w:rPr>
          <w:rStyle w:val="FootnoteReference"/>
          <w:rFonts w:asciiTheme="minorHAnsi" w:hAnsiTheme="minorHAnsi"/>
        </w:rPr>
        <w:footnoteRef/>
      </w:r>
      <w:r w:rsidRPr="000D1DE6">
        <w:rPr>
          <w:rFonts w:asciiTheme="minorHAnsi" w:hAnsiTheme="minorHAnsi"/>
          <w:lang w:val="es-419"/>
        </w:rPr>
        <w:t xml:space="preserve"> Cámara de Diputados, </w:t>
      </w:r>
      <w:hyperlink r:id="rId235" w:anchor="gsc.tab=0" w:history="1">
        <w:r w:rsidRPr="000D1DE6">
          <w:rPr>
            <w:rFonts w:asciiTheme="minorHAnsi" w:hAnsiTheme="minorHAnsi"/>
            <w:lang w:val="es-419"/>
          </w:rPr>
          <w:t>Boletín</w:t>
        </w:r>
        <w:r w:rsidRPr="000D1DE6">
          <w:rPr>
            <w:rStyle w:val="Hyperlink"/>
            <w:rFonts w:asciiTheme="minorHAnsi" w:hAnsiTheme="minorHAnsi"/>
            <w:lang w:val="es-419"/>
          </w:rPr>
          <w:t xml:space="preserve"> No. 6338</w:t>
        </w:r>
      </w:hyperlink>
      <w:r w:rsidRPr="000D1DE6">
        <w:rPr>
          <w:rFonts w:asciiTheme="minorHAnsi" w:hAnsiTheme="minorHAnsi"/>
          <w:lang w:val="es-419"/>
        </w:rPr>
        <w:t>, 20 de abril de 2021</w:t>
      </w:r>
    </w:p>
  </w:footnote>
  <w:footnote w:id="327">
    <w:p w14:paraId="00DE287D" w14:textId="77777777" w:rsidR="001A4D24" w:rsidRPr="000D1DE6" w:rsidRDefault="001A4D24" w:rsidP="00F46807">
      <w:pPr>
        <w:pStyle w:val="NoSpacing"/>
        <w:spacing w:after="120" w:line="240" w:lineRule="auto"/>
        <w:ind w:firstLine="720"/>
        <w:rPr>
          <w:rFonts w:asciiTheme="minorHAnsi" w:hAnsiTheme="minorHAnsi"/>
          <w:sz w:val="18"/>
          <w:szCs w:val="18"/>
          <w:lang w:val="es-419"/>
        </w:rPr>
      </w:pPr>
      <w:r w:rsidRPr="000D1DE6">
        <w:rPr>
          <w:rStyle w:val="FootnoteReference"/>
          <w:rFonts w:asciiTheme="minorHAnsi" w:hAnsiTheme="minorHAnsi"/>
          <w:sz w:val="18"/>
          <w:szCs w:val="18"/>
        </w:rPr>
        <w:footnoteRef/>
      </w:r>
      <w:r w:rsidRPr="000D1DE6">
        <w:rPr>
          <w:rFonts w:asciiTheme="minorHAnsi" w:hAnsiTheme="minorHAnsi"/>
          <w:sz w:val="18"/>
          <w:szCs w:val="18"/>
          <w:lang w:val="es-419"/>
        </w:rPr>
        <w:t xml:space="preserve"> CIDH, Informe Anual 2020: Capítulo V. Quinto informe de seguimiento de recomendaciones formuladas por la CIDH en el informe sobre la Situación de Derechos Humanos en México, párr. 255.</w:t>
      </w:r>
    </w:p>
  </w:footnote>
  <w:footnote w:id="328">
    <w:p w14:paraId="65C3EE0B" w14:textId="77777777" w:rsidR="001A4D24" w:rsidRPr="000D1DE6" w:rsidRDefault="001A4D24" w:rsidP="00F46807">
      <w:pPr>
        <w:pStyle w:val="FootnoteText"/>
        <w:spacing w:after="120"/>
        <w:ind w:firstLine="720"/>
        <w:rPr>
          <w:rFonts w:asciiTheme="minorHAnsi" w:hAnsiTheme="minorHAnsi"/>
        </w:rPr>
      </w:pPr>
      <w:r w:rsidRPr="000D1DE6">
        <w:rPr>
          <w:rStyle w:val="FootnoteReference"/>
          <w:rFonts w:asciiTheme="minorHAnsi" w:hAnsiTheme="minorHAnsi"/>
        </w:rPr>
        <w:footnoteRef/>
      </w:r>
      <w:r w:rsidRPr="000D1DE6">
        <w:rPr>
          <w:rFonts w:asciiTheme="minorHAnsi" w:hAnsiTheme="minorHAnsi"/>
        </w:rPr>
        <w:t xml:space="preserve"> SCJN. </w:t>
      </w:r>
      <w:hyperlink r:id="rId236" w:history="1">
        <w:r w:rsidRPr="000D1DE6">
          <w:rPr>
            <w:rFonts w:asciiTheme="minorHAnsi" w:hAnsiTheme="minorHAnsi"/>
          </w:rPr>
          <w:t>Comunicado</w:t>
        </w:r>
        <w:r w:rsidRPr="000D1DE6">
          <w:rPr>
            <w:rStyle w:val="Hyperlink"/>
            <w:rFonts w:asciiTheme="minorHAnsi" w:hAnsiTheme="minorHAnsi"/>
          </w:rPr>
          <w:t xml:space="preserve"> de Prensa No. 047-2021</w:t>
        </w:r>
      </w:hyperlink>
      <w:r w:rsidRPr="000D1DE6">
        <w:rPr>
          <w:rFonts w:asciiTheme="minorHAnsi" w:hAnsiTheme="minorHAnsi"/>
        </w:rPr>
        <w:t>, 23 de febrero de 2021</w:t>
      </w:r>
    </w:p>
  </w:footnote>
  <w:footnote w:id="329">
    <w:p w14:paraId="28900366" w14:textId="77777777" w:rsidR="001A4D24" w:rsidRPr="000D1DE6" w:rsidRDefault="001A4D24" w:rsidP="00F46807">
      <w:pPr>
        <w:pStyle w:val="FootnoteText"/>
        <w:spacing w:after="120"/>
        <w:ind w:firstLine="720"/>
        <w:rPr>
          <w:rFonts w:asciiTheme="minorHAnsi" w:hAnsiTheme="minorHAnsi"/>
          <w:lang w:val="es-419"/>
        </w:rPr>
      </w:pPr>
      <w:r w:rsidRPr="000D1DE6">
        <w:rPr>
          <w:rStyle w:val="FootnoteReference"/>
          <w:rFonts w:asciiTheme="minorHAnsi" w:hAnsiTheme="minorHAnsi"/>
        </w:rPr>
        <w:footnoteRef/>
      </w:r>
      <w:r w:rsidRPr="000D1DE6">
        <w:rPr>
          <w:rFonts w:asciiTheme="minorHAnsi" w:hAnsiTheme="minorHAnsi"/>
          <w:lang w:val="es-419"/>
        </w:rPr>
        <w:t xml:space="preserve"> SEGOB, DOF. </w:t>
      </w:r>
      <w:hyperlink r:id="rId237" w:history="1">
        <w:r w:rsidRPr="000D1DE6">
          <w:rPr>
            <w:rFonts w:asciiTheme="minorHAnsi" w:hAnsiTheme="minorHAnsi"/>
            <w:lang w:val="es-419"/>
          </w:rPr>
          <w:t>Acuerdo p</w:t>
        </w:r>
        <w:r w:rsidRPr="000D1DE6">
          <w:rPr>
            <w:rStyle w:val="Hyperlink"/>
            <w:rFonts w:asciiTheme="minorHAnsi" w:hAnsiTheme="minorHAnsi"/>
            <w:lang w:val="es-419"/>
          </w:rPr>
          <w:t>ublicado</w:t>
        </w:r>
      </w:hyperlink>
      <w:r w:rsidRPr="000D1DE6">
        <w:rPr>
          <w:rFonts w:asciiTheme="minorHAnsi" w:hAnsiTheme="minorHAnsi"/>
          <w:lang w:val="es-419"/>
        </w:rPr>
        <w:t xml:space="preserve"> el 22 de noviembre de 2021</w:t>
      </w:r>
    </w:p>
  </w:footnote>
  <w:footnote w:id="330">
    <w:p w14:paraId="37DF3879" w14:textId="77777777" w:rsidR="001A4D24" w:rsidRPr="000D1DE6" w:rsidRDefault="001A4D24" w:rsidP="00F46807">
      <w:pPr>
        <w:pStyle w:val="FootnoteText"/>
        <w:spacing w:after="120"/>
        <w:ind w:firstLine="720"/>
        <w:rPr>
          <w:rFonts w:asciiTheme="minorHAnsi" w:hAnsiTheme="minorHAnsi"/>
          <w:lang w:val="es-419"/>
        </w:rPr>
      </w:pPr>
      <w:r w:rsidRPr="000D1DE6">
        <w:rPr>
          <w:rStyle w:val="FootnoteReference"/>
          <w:rFonts w:asciiTheme="minorHAnsi" w:hAnsiTheme="minorHAnsi"/>
        </w:rPr>
        <w:footnoteRef/>
      </w:r>
      <w:r w:rsidRPr="000D1DE6">
        <w:rPr>
          <w:rFonts w:asciiTheme="minorHAnsi" w:hAnsiTheme="minorHAnsi"/>
        </w:rPr>
        <w:t xml:space="preserve"> INAI. </w:t>
      </w:r>
      <w:hyperlink r:id="rId238" w:history="1">
        <w:r w:rsidRPr="000D1DE6">
          <w:rPr>
            <w:rFonts w:asciiTheme="minorHAnsi" w:hAnsiTheme="minorHAnsi"/>
            <w:lang w:val="es-419"/>
          </w:rPr>
          <w:t>Comunicado INAI/</w:t>
        </w:r>
        <w:r w:rsidRPr="000D1DE6">
          <w:rPr>
            <w:rStyle w:val="Hyperlink"/>
            <w:rFonts w:asciiTheme="minorHAnsi" w:hAnsiTheme="minorHAnsi"/>
            <w:lang w:val="es-419"/>
          </w:rPr>
          <w:t>435/21</w:t>
        </w:r>
      </w:hyperlink>
      <w:r w:rsidRPr="000D1DE6">
        <w:rPr>
          <w:rFonts w:asciiTheme="minorHAnsi" w:hAnsiTheme="minorHAnsi"/>
          <w:lang w:val="es-419"/>
        </w:rPr>
        <w:t>, 8 de diciembre de 2021</w:t>
      </w:r>
    </w:p>
  </w:footnote>
  <w:footnote w:id="331">
    <w:p w14:paraId="09863A53" w14:textId="77777777" w:rsidR="001A4D24" w:rsidRPr="000D1DE6" w:rsidRDefault="001A4D24" w:rsidP="00F46807">
      <w:pPr>
        <w:pStyle w:val="FootnoteText"/>
        <w:spacing w:after="120"/>
        <w:ind w:firstLine="720"/>
        <w:rPr>
          <w:rFonts w:asciiTheme="minorHAnsi" w:hAnsiTheme="minorHAnsi"/>
          <w:lang w:val="es-419"/>
        </w:rPr>
      </w:pPr>
      <w:r w:rsidRPr="000D1DE6">
        <w:rPr>
          <w:rStyle w:val="FootnoteReference"/>
          <w:rFonts w:asciiTheme="minorHAnsi" w:hAnsiTheme="minorHAnsi"/>
        </w:rPr>
        <w:footnoteRef/>
      </w:r>
      <w:r w:rsidRPr="000D1DE6">
        <w:rPr>
          <w:rFonts w:asciiTheme="minorHAnsi" w:hAnsiTheme="minorHAnsi"/>
          <w:lang w:val="es-419"/>
        </w:rPr>
        <w:t xml:space="preserve"> El financiero, </w:t>
      </w:r>
      <w:hyperlink r:id="rId239" w:history="1">
        <w:r w:rsidRPr="000D1DE6">
          <w:rPr>
            <w:rFonts w:asciiTheme="minorHAnsi" w:hAnsiTheme="minorHAnsi"/>
            <w:lang w:val="es-419"/>
          </w:rPr>
          <w:t xml:space="preserve">Corte suspende ’decretazo’ de AMLO, pero solo para efectos de </w:t>
        </w:r>
        <w:r w:rsidRPr="000D1DE6">
          <w:rPr>
            <w:rStyle w:val="Hyperlink"/>
            <w:rFonts w:asciiTheme="minorHAnsi" w:hAnsiTheme="minorHAnsi"/>
            <w:lang w:val="es-419"/>
          </w:rPr>
          <w:t>transparencia</w:t>
        </w:r>
      </w:hyperlink>
      <w:r w:rsidRPr="000D1DE6">
        <w:rPr>
          <w:rFonts w:asciiTheme="minorHAnsi" w:hAnsiTheme="minorHAnsi"/>
          <w:lang w:val="es-419"/>
        </w:rPr>
        <w:t xml:space="preserve">, 14 de diciembre de 2021; Expansión política, </w:t>
      </w:r>
      <w:hyperlink r:id="rId240" w:history="1">
        <w:r w:rsidRPr="000D1DE6">
          <w:rPr>
            <w:rFonts w:asciiTheme="minorHAnsi" w:hAnsiTheme="minorHAnsi"/>
            <w:lang w:val="es-419"/>
          </w:rPr>
          <w:t xml:space="preserve">La Corte suspende parcialmente el acuerdo presidencial sobre obras </w:t>
        </w:r>
        <w:r w:rsidRPr="000D1DE6">
          <w:rPr>
            <w:rStyle w:val="Hyperlink"/>
            <w:rFonts w:asciiTheme="minorHAnsi" w:hAnsiTheme="minorHAnsi"/>
            <w:lang w:val="es-419"/>
          </w:rPr>
          <w:t>públicas</w:t>
        </w:r>
      </w:hyperlink>
      <w:r w:rsidRPr="000D1DE6">
        <w:rPr>
          <w:rFonts w:asciiTheme="minorHAnsi" w:hAnsiTheme="minorHAnsi"/>
          <w:lang w:val="es-419"/>
        </w:rPr>
        <w:t>, 14 de diciembre de 2021</w:t>
      </w:r>
    </w:p>
  </w:footnote>
  <w:footnote w:id="332">
    <w:p w14:paraId="7D7836C0" w14:textId="77777777" w:rsidR="001A4D24" w:rsidRPr="000D1DE6" w:rsidRDefault="001A4D24" w:rsidP="00F46807">
      <w:pPr>
        <w:pStyle w:val="FootnoteText"/>
        <w:spacing w:after="120"/>
        <w:ind w:firstLine="720"/>
        <w:rPr>
          <w:rFonts w:asciiTheme="minorHAnsi" w:hAnsiTheme="minorHAnsi"/>
          <w:lang w:val="es-419"/>
        </w:rPr>
      </w:pPr>
      <w:r w:rsidRPr="000D1DE6">
        <w:rPr>
          <w:rStyle w:val="FootnoteReference"/>
          <w:rFonts w:asciiTheme="minorHAnsi" w:hAnsiTheme="minorHAnsi"/>
        </w:rPr>
        <w:footnoteRef/>
      </w:r>
      <w:r w:rsidRPr="000D1DE6">
        <w:rPr>
          <w:rFonts w:asciiTheme="minorHAnsi" w:hAnsiTheme="minorHAnsi"/>
          <w:lang w:val="es-419"/>
        </w:rPr>
        <w:t xml:space="preserve"> CEMDA, </w:t>
      </w:r>
      <w:hyperlink r:id="rId241" w:history="1">
        <w:r w:rsidRPr="000D1DE6">
          <w:rPr>
            <w:rFonts w:asciiTheme="minorHAnsi" w:hAnsiTheme="minorHAnsi"/>
            <w:lang w:val="es-419"/>
          </w:rPr>
          <w:t>Organizaciones y colectivos exhiben violaciones a derechos humanos en los litigios</w:t>
        </w:r>
        <w:r w:rsidRPr="000D1DE6">
          <w:rPr>
            <w:rStyle w:val="Hyperlink"/>
            <w:rFonts w:asciiTheme="minorHAnsi" w:hAnsiTheme="minorHAnsi"/>
            <w:lang w:val="es-419"/>
          </w:rPr>
          <w:t xml:space="preserve"> del Tren Maya</w:t>
        </w:r>
      </w:hyperlink>
      <w:r w:rsidRPr="000D1DE6">
        <w:rPr>
          <w:rFonts w:asciiTheme="minorHAnsi" w:hAnsiTheme="minorHAnsi"/>
          <w:lang w:val="es-419"/>
        </w:rPr>
        <w:t>, 20 de octubre de 2021.</w:t>
      </w:r>
    </w:p>
  </w:footnote>
  <w:footnote w:id="333">
    <w:p w14:paraId="4EDA0215" w14:textId="51CC6A81" w:rsidR="000235D8" w:rsidRPr="000D1DE6" w:rsidRDefault="000235D8" w:rsidP="00F46807">
      <w:pPr>
        <w:pBdr>
          <w:top w:val="nil"/>
          <w:left w:val="nil"/>
          <w:bottom w:val="nil"/>
          <w:right w:val="nil"/>
          <w:between w:val="nil"/>
        </w:pBdr>
        <w:spacing w:after="120" w:line="240" w:lineRule="auto"/>
        <w:ind w:firstLine="720"/>
        <w:jc w:val="both"/>
        <w:rPr>
          <w:rFonts w:asciiTheme="minorHAnsi" w:eastAsia="Cambria" w:hAnsiTheme="minorHAnsi" w:cs="Cambria"/>
          <w:color w:val="000000"/>
          <w:sz w:val="18"/>
          <w:szCs w:val="18"/>
          <w:lang w:val="es-MX"/>
        </w:rPr>
      </w:pPr>
      <w:r w:rsidRPr="000D1DE6">
        <w:rPr>
          <w:rStyle w:val="FootnoteReference"/>
          <w:rFonts w:asciiTheme="minorHAnsi" w:hAnsiTheme="minorHAnsi"/>
          <w:sz w:val="18"/>
          <w:szCs w:val="18"/>
          <w:lang w:val="es-MX"/>
        </w:rPr>
        <w:footnoteRef/>
      </w:r>
      <w:r w:rsidRPr="000D1DE6">
        <w:rPr>
          <w:rFonts w:asciiTheme="minorHAnsi" w:eastAsia="Cambria" w:hAnsiTheme="minorHAnsi" w:cs="Cambria"/>
          <w:sz w:val="18"/>
          <w:szCs w:val="18"/>
          <w:lang w:val="es-MX"/>
        </w:rPr>
        <w:t xml:space="preserve"> </w:t>
      </w:r>
      <w:r w:rsidRPr="000D1DE6">
        <w:rPr>
          <w:rFonts w:asciiTheme="minorHAnsi" w:eastAsia="Cambria" w:hAnsiTheme="minorHAnsi" w:cs="Cambria"/>
          <w:color w:val="000000"/>
          <w:sz w:val="18"/>
          <w:szCs w:val="18"/>
          <w:lang w:val="es-MX"/>
        </w:rPr>
        <w:t>Noveno Informe del Estado mexicano sobre el cumplimiento y seguimiento de las recomendaciones contenidas en el informe “Situación de los Derechos Humanos en México”, pág. 76.</w:t>
      </w:r>
    </w:p>
  </w:footnote>
  <w:footnote w:id="334">
    <w:p w14:paraId="2A7C619F" w14:textId="17574C17" w:rsidR="000235D8" w:rsidRPr="000D1DE6" w:rsidRDefault="000235D8" w:rsidP="00F46807">
      <w:pPr>
        <w:spacing w:after="120" w:line="240" w:lineRule="auto"/>
        <w:ind w:firstLine="720"/>
        <w:jc w:val="both"/>
        <w:rPr>
          <w:rFonts w:asciiTheme="minorHAnsi" w:eastAsia="Cambria" w:hAnsiTheme="minorHAnsi" w:cs="Cambria"/>
          <w:sz w:val="18"/>
          <w:szCs w:val="18"/>
          <w:lang w:val="es-MX"/>
        </w:rPr>
      </w:pPr>
      <w:r w:rsidRPr="000D1DE6">
        <w:rPr>
          <w:rStyle w:val="FootnoteReference"/>
          <w:rFonts w:asciiTheme="minorHAnsi" w:hAnsiTheme="minorHAnsi"/>
          <w:sz w:val="18"/>
          <w:szCs w:val="18"/>
          <w:lang w:val="es-MX"/>
        </w:rPr>
        <w:footnoteRef/>
      </w:r>
      <w:r w:rsidRPr="000D1DE6">
        <w:rPr>
          <w:rFonts w:asciiTheme="minorHAnsi" w:hAnsiTheme="minorHAnsi"/>
          <w:sz w:val="18"/>
          <w:szCs w:val="18"/>
          <w:lang w:val="es-MX"/>
        </w:rPr>
        <w:t xml:space="preserve"> </w:t>
      </w:r>
      <w:r w:rsidRPr="000D1DE6">
        <w:rPr>
          <w:rFonts w:asciiTheme="minorHAnsi" w:eastAsia="Cambria" w:hAnsiTheme="minorHAnsi" w:cs="Cambria"/>
          <w:sz w:val="18"/>
          <w:szCs w:val="18"/>
          <w:lang w:val="es-MX"/>
        </w:rPr>
        <w:t xml:space="preserve">En este sentido, ver Secretaría de Seguridad y Protección Ciudadana, México, </w:t>
      </w:r>
      <w:hyperlink r:id="rId242">
        <w:r w:rsidRPr="000D1DE6">
          <w:rPr>
            <w:rFonts w:asciiTheme="minorHAnsi" w:eastAsia="Cambria" w:hAnsiTheme="minorHAnsi" w:cs="Cambria"/>
            <w:color w:val="0000FF"/>
            <w:sz w:val="18"/>
            <w:szCs w:val="18"/>
            <w:u w:val="single"/>
            <w:lang w:val="es-MX"/>
          </w:rPr>
          <w:t>Cuaderno mensual de información estadística penitenciaria nacional</w:t>
        </w:r>
      </w:hyperlink>
      <w:r w:rsidRPr="000D1DE6">
        <w:rPr>
          <w:rFonts w:asciiTheme="minorHAnsi" w:eastAsia="Cambria" w:hAnsiTheme="minorHAnsi" w:cs="Cambria"/>
          <w:sz w:val="18"/>
          <w:szCs w:val="18"/>
          <w:lang w:val="es-MX"/>
        </w:rPr>
        <w:t>, septiembre de 2021, pág. 3.</w:t>
      </w:r>
    </w:p>
  </w:footnote>
  <w:footnote w:id="335">
    <w:p w14:paraId="74422BF4" w14:textId="269ADDB9" w:rsidR="000235D8" w:rsidRPr="000D1DE6" w:rsidRDefault="000235D8" w:rsidP="00F46807">
      <w:pPr>
        <w:spacing w:after="120" w:line="240" w:lineRule="auto"/>
        <w:ind w:firstLine="720"/>
        <w:jc w:val="both"/>
        <w:rPr>
          <w:rFonts w:asciiTheme="minorHAnsi" w:eastAsia="Cambria" w:hAnsiTheme="minorHAnsi" w:cs="Cambria"/>
          <w:sz w:val="18"/>
          <w:szCs w:val="18"/>
          <w:lang w:val="es-MX"/>
        </w:rPr>
      </w:pPr>
      <w:r w:rsidRPr="000D1DE6">
        <w:rPr>
          <w:rStyle w:val="FootnoteReference"/>
          <w:rFonts w:asciiTheme="minorHAnsi" w:hAnsiTheme="minorHAnsi"/>
          <w:sz w:val="18"/>
          <w:szCs w:val="18"/>
          <w:lang w:val="es-MX"/>
        </w:rPr>
        <w:footnoteRef/>
      </w:r>
      <w:r w:rsidRPr="000D1DE6">
        <w:rPr>
          <w:rFonts w:asciiTheme="minorHAnsi" w:eastAsia="Cambria" w:hAnsiTheme="minorHAnsi" w:cs="Cambria"/>
          <w:sz w:val="18"/>
          <w:szCs w:val="18"/>
          <w:lang w:val="es-MX"/>
        </w:rPr>
        <w:t xml:space="preserve"> CIDH, </w:t>
      </w:r>
      <w:hyperlink r:id="rId243">
        <w:r w:rsidRPr="000D1DE6">
          <w:rPr>
            <w:rFonts w:asciiTheme="minorHAnsi" w:eastAsia="Cambria" w:hAnsiTheme="minorHAnsi" w:cs="Cambria"/>
            <w:color w:val="0000FF"/>
            <w:sz w:val="18"/>
            <w:szCs w:val="18"/>
            <w:u w:val="single"/>
            <w:lang w:val="es-MX"/>
          </w:rPr>
          <w:t>Informe sobre medidas dirigidas a reducir el uso de la prisión preventiva en las Américas</w:t>
        </w:r>
      </w:hyperlink>
      <w:r w:rsidRPr="000D1DE6">
        <w:rPr>
          <w:rFonts w:asciiTheme="minorHAnsi" w:eastAsia="Cambria" w:hAnsiTheme="minorHAnsi" w:cs="Cambria"/>
          <w:sz w:val="18"/>
          <w:szCs w:val="18"/>
          <w:lang w:val="es-MX"/>
        </w:rPr>
        <w:t>, OEA/Ser.L/V/II.163. Doc. 105, 3 de julio de 2017, párr. 231. Recomendación A “Medidas de carácter general relativas a las políticas del Estado”, párr. 1.</w:t>
      </w:r>
    </w:p>
  </w:footnote>
  <w:footnote w:id="336">
    <w:p w14:paraId="299D3684" w14:textId="77777777" w:rsidR="000235D8" w:rsidRPr="000D1DE6" w:rsidRDefault="000235D8" w:rsidP="00F46807">
      <w:pPr>
        <w:spacing w:after="120" w:line="240" w:lineRule="auto"/>
        <w:ind w:firstLine="720"/>
        <w:jc w:val="both"/>
        <w:rPr>
          <w:rFonts w:asciiTheme="minorHAnsi" w:eastAsia="Cambria" w:hAnsiTheme="minorHAnsi" w:cs="Cambria"/>
          <w:sz w:val="18"/>
          <w:szCs w:val="18"/>
          <w:lang w:val="es-MX"/>
        </w:rPr>
      </w:pPr>
      <w:r w:rsidRPr="000D1DE6">
        <w:rPr>
          <w:rStyle w:val="FootnoteReference"/>
          <w:rFonts w:asciiTheme="minorHAnsi" w:hAnsiTheme="minorHAnsi"/>
          <w:sz w:val="18"/>
          <w:szCs w:val="18"/>
          <w:lang w:val="es-MX"/>
        </w:rPr>
        <w:footnoteRef/>
      </w:r>
      <w:r w:rsidRPr="000D1DE6">
        <w:rPr>
          <w:rFonts w:asciiTheme="minorHAnsi" w:eastAsia="Cambria" w:hAnsiTheme="minorHAnsi" w:cs="Cambria"/>
          <w:sz w:val="18"/>
          <w:szCs w:val="18"/>
          <w:lang w:val="es-MX"/>
        </w:rPr>
        <w:t xml:space="preserve">En particular, fueron modificadas la Ley General en Materia de Delitos Electorales; la Ley General en Materia de Desaparición Forzada de Personas, Desaparición Cometida por Particulares y del Sistema Nacional de Búsqueda de Personas; la Ley Federal para Prevenir y Sancionar los Delitos Cometidos en Materia de Hidrocarburos; la Ley Federal de Armas de Fuego y Explosivos; la Ley General de Salud; la Ley Federal contra la Delincuencia Organizada; y la Ley de Vías Generales de Comunicación. </w:t>
      </w:r>
    </w:p>
  </w:footnote>
  <w:footnote w:id="337">
    <w:p w14:paraId="0F41232C" w14:textId="77777777" w:rsidR="000235D8" w:rsidRPr="000D1DE6" w:rsidRDefault="000235D8" w:rsidP="00F46807">
      <w:pPr>
        <w:spacing w:after="120" w:line="240" w:lineRule="auto"/>
        <w:ind w:firstLine="720"/>
        <w:jc w:val="both"/>
        <w:rPr>
          <w:rFonts w:asciiTheme="minorHAnsi" w:eastAsia="Cambria" w:hAnsiTheme="minorHAnsi" w:cs="Cambria"/>
          <w:sz w:val="18"/>
          <w:szCs w:val="18"/>
          <w:lang w:val="es-MX"/>
        </w:rPr>
      </w:pPr>
      <w:r w:rsidRPr="000D1DE6">
        <w:rPr>
          <w:rStyle w:val="FootnoteReference"/>
          <w:rFonts w:asciiTheme="minorHAnsi" w:hAnsiTheme="minorHAnsi"/>
          <w:sz w:val="18"/>
          <w:szCs w:val="18"/>
          <w:lang w:val="es-MX"/>
        </w:rPr>
        <w:footnoteRef/>
      </w:r>
      <w:r w:rsidRPr="000D1DE6">
        <w:rPr>
          <w:rFonts w:asciiTheme="minorHAnsi" w:eastAsia="Cambria" w:hAnsiTheme="minorHAnsi" w:cs="Cambria"/>
          <w:sz w:val="18"/>
          <w:szCs w:val="18"/>
          <w:lang w:val="es-MX"/>
        </w:rPr>
        <w:t xml:space="preserve"> En particular, se incorporaron los delitos de abuso o violencia sexual contra niñas y niños, delincuencia organizada, homicidio doloso, feminicidio, violación, secuestro, trata de personas, robo de casa habitación, uso de</w:t>
      </w:r>
      <w:r w:rsidRPr="000D1DE6">
        <w:rPr>
          <w:rFonts w:asciiTheme="minorHAnsi" w:eastAsia="Cambria" w:hAnsiTheme="minorHAnsi" w:cs="Cambria"/>
          <w:b/>
          <w:sz w:val="18"/>
          <w:szCs w:val="18"/>
          <w:lang w:val="es-MX"/>
        </w:rPr>
        <w:t> </w:t>
      </w:r>
      <w:r w:rsidRPr="000D1DE6">
        <w:rPr>
          <w:rFonts w:asciiTheme="minorHAnsi" w:eastAsia="Cambria" w:hAnsiTheme="minorHAnsi" w:cs="Cambria"/>
          <w:sz w:val="18"/>
          <w:szCs w:val="18"/>
          <w:lang w:val="es-MX"/>
        </w:rPr>
        <w:t>programas sociales con fines electorales, corrupción tratándose de los delitos de enriquecimiento ilícito y ejercicio abusivo de funciones, robo al transporte de carga en cualquiera de sus modalidades, delitos en materia de hidrocarburos, petrolíferos o petroquímicos, delitos en materia de desaparición forzada de personas y desaparición cometida por particulares, delitos cometidos con medios violentos como armas y explosivos, delitos en materia de armas de fuego y explosivos de uso exclusivo del Ejército, la Armada y la Fuerza Aérea, así como los delitos graves que determine la ley en contra de la seguridad de la nación, el libre desarrollo de la personalidad, y de la salud. Al respecto, ver: Diario Oficial de la Federación, “</w:t>
      </w:r>
      <w:hyperlink r:id="rId244">
        <w:r w:rsidRPr="000D1DE6">
          <w:rPr>
            <w:rFonts w:asciiTheme="minorHAnsi" w:eastAsia="Cambria" w:hAnsiTheme="minorHAnsi" w:cs="Cambria"/>
            <w:color w:val="0000FF"/>
            <w:sz w:val="18"/>
            <w:szCs w:val="18"/>
            <w:u w:val="single"/>
            <w:lang w:val="es-MX"/>
          </w:rPr>
          <w:t>Decreto por el que se declara reformado el Artículo 19 de la Constitución Política de los Estados Unidos Mexicanos, en materia de prisión preventiva Oficiosa</w:t>
        </w:r>
      </w:hyperlink>
      <w:r w:rsidRPr="000D1DE6">
        <w:rPr>
          <w:rFonts w:asciiTheme="minorHAnsi" w:eastAsia="Cambria" w:hAnsiTheme="minorHAnsi" w:cs="Cambria"/>
          <w:sz w:val="18"/>
          <w:szCs w:val="18"/>
          <w:lang w:val="es-MX"/>
        </w:rPr>
        <w:t>”, 12 de abril de 2019.</w:t>
      </w:r>
    </w:p>
  </w:footnote>
  <w:footnote w:id="338">
    <w:p w14:paraId="50EF11D2" w14:textId="77777777" w:rsidR="000235D8" w:rsidRPr="000D1DE6" w:rsidRDefault="000235D8" w:rsidP="00F46807">
      <w:pPr>
        <w:spacing w:after="120" w:line="240" w:lineRule="auto"/>
        <w:ind w:firstLine="720"/>
        <w:jc w:val="both"/>
        <w:rPr>
          <w:rFonts w:asciiTheme="minorHAnsi" w:hAnsiTheme="minorHAnsi"/>
          <w:sz w:val="18"/>
          <w:szCs w:val="18"/>
          <w:lang w:val="es-MX"/>
        </w:rPr>
      </w:pPr>
      <w:r w:rsidRPr="000D1DE6">
        <w:rPr>
          <w:rStyle w:val="FootnoteReference"/>
          <w:rFonts w:asciiTheme="minorHAnsi" w:hAnsiTheme="minorHAnsi"/>
          <w:sz w:val="18"/>
          <w:szCs w:val="18"/>
          <w:lang w:val="es-MX"/>
        </w:rPr>
        <w:footnoteRef/>
      </w:r>
      <w:r w:rsidRPr="000D1DE6">
        <w:rPr>
          <w:rFonts w:asciiTheme="minorHAnsi" w:eastAsia="Cambria" w:hAnsiTheme="minorHAnsi" w:cs="Cambria"/>
          <w:sz w:val="18"/>
          <w:szCs w:val="18"/>
          <w:lang w:val="es-MX"/>
        </w:rPr>
        <w:t xml:space="preserve">En este sentido, ver: Diario Oficial de la Federación, </w:t>
      </w:r>
      <w:hyperlink r:id="rId245">
        <w:r w:rsidRPr="000D1DE6">
          <w:rPr>
            <w:rFonts w:asciiTheme="minorHAnsi" w:eastAsia="Cambria" w:hAnsiTheme="minorHAnsi" w:cs="Cambria"/>
            <w:color w:val="0000FF"/>
            <w:sz w:val="18"/>
            <w:szCs w:val="18"/>
            <w:u w:val="single"/>
            <w:lang w:val="es-MX"/>
          </w:rPr>
          <w:t>Decreto por el que se reforma y adiciona el artículo 167 del Código Nacional de Procedimientos Penales; se reforman, adicionan y derogan diversas disposiciones de la Ley General en Materia de Delitos Electorales, de la Ley General en Materia de Desaparición Forzada de Personas, Desaparición Cometida por Particulares y del Sistema Nacional de Búsqueda de Personas, de la Ley Federal para Prevenir y Sancionar los Delitos Cometidos en Materia de Hidrocarburos, de la Ley Federal de Armas de Fuego y Explosivos, del Código Penal Federal, de la Ley General de Salud, de la Ley Federal contra la Delincuencia Organizada y de la Ley de Vías Generales de Comunicación.</w:t>
        </w:r>
      </w:hyperlink>
      <w:r w:rsidRPr="000D1DE6">
        <w:rPr>
          <w:rFonts w:asciiTheme="minorHAnsi" w:eastAsia="Cambria" w:hAnsiTheme="minorHAnsi" w:cs="Cambria"/>
          <w:sz w:val="18"/>
          <w:szCs w:val="18"/>
          <w:lang w:val="es-MX"/>
        </w:rPr>
        <w:t>, 19 de febrero de 2021.</w:t>
      </w:r>
    </w:p>
  </w:footnote>
  <w:footnote w:id="339">
    <w:p w14:paraId="7E8B8006" w14:textId="77777777" w:rsidR="000235D8" w:rsidRPr="000D1DE6" w:rsidRDefault="000235D8" w:rsidP="00F46807">
      <w:pPr>
        <w:spacing w:after="120" w:line="240" w:lineRule="auto"/>
        <w:ind w:firstLine="720"/>
        <w:jc w:val="both"/>
        <w:rPr>
          <w:rFonts w:asciiTheme="minorHAnsi" w:hAnsiTheme="minorHAnsi"/>
          <w:sz w:val="18"/>
          <w:szCs w:val="18"/>
          <w:lang w:val="es-MX"/>
        </w:rPr>
      </w:pPr>
      <w:r w:rsidRPr="000D1DE6">
        <w:rPr>
          <w:rStyle w:val="FootnoteReference"/>
          <w:rFonts w:asciiTheme="minorHAnsi" w:hAnsiTheme="minorHAnsi"/>
          <w:sz w:val="18"/>
          <w:szCs w:val="18"/>
          <w:lang w:val="es-MX"/>
        </w:rPr>
        <w:footnoteRef/>
      </w:r>
      <w:r w:rsidRPr="000D1DE6">
        <w:rPr>
          <w:rFonts w:asciiTheme="minorHAnsi" w:eastAsia="Cambria" w:hAnsiTheme="minorHAnsi" w:cs="Cambria"/>
          <w:sz w:val="18"/>
          <w:szCs w:val="18"/>
          <w:lang w:val="es-MX"/>
        </w:rPr>
        <w:t xml:space="preserve"> En particular, el primer artículo transitorio del Decreto de 2019 establece que dicha reforma entraría en vigor al día siguiente de su publicación. Sin embargo, su artículo segundo transitorio dispone “para los efectos a que se refiere el párrafo segundo del artículo 19”, el Congreso cuenta con 90 días para modificar el artículo 167 del Código Nacional de Procedimientos Penales y la legislación correspondiente. En este sentido, ver: Diario Oficial de la Federación, “</w:t>
      </w:r>
      <w:hyperlink r:id="rId246">
        <w:r w:rsidRPr="000D1DE6">
          <w:rPr>
            <w:rFonts w:asciiTheme="minorHAnsi" w:eastAsia="Cambria" w:hAnsiTheme="minorHAnsi" w:cs="Cambria"/>
            <w:color w:val="0000FF"/>
            <w:sz w:val="18"/>
            <w:szCs w:val="18"/>
            <w:u w:val="single"/>
            <w:lang w:val="es-MX"/>
          </w:rPr>
          <w:t>Decreto por el que se declara reformado el Artículo 19 de la Constitución Política de los Estados Unidos Mexicanos, en materia de prisión preventiva Oficiosa</w:t>
        </w:r>
      </w:hyperlink>
      <w:r w:rsidRPr="000D1DE6">
        <w:rPr>
          <w:rFonts w:asciiTheme="minorHAnsi" w:eastAsia="Cambria" w:hAnsiTheme="minorHAnsi" w:cs="Cambria"/>
          <w:sz w:val="18"/>
          <w:szCs w:val="18"/>
          <w:lang w:val="es-MX"/>
        </w:rPr>
        <w:t xml:space="preserve">”, 12 de abril de 2019; Cámara de Diputados, México, Nota No. 9197 - </w:t>
      </w:r>
      <w:hyperlink r:id="rId247">
        <w:r w:rsidRPr="000D1DE6">
          <w:rPr>
            <w:rFonts w:asciiTheme="minorHAnsi" w:eastAsia="Cambria" w:hAnsiTheme="minorHAnsi" w:cs="Cambria"/>
            <w:color w:val="0000FF"/>
            <w:sz w:val="18"/>
            <w:szCs w:val="18"/>
            <w:u w:val="single"/>
            <w:lang w:val="es-MX"/>
          </w:rPr>
          <w:t>Entran en vigor reformas secundarias sobre ampliación de delitos que ameritan prisión preventiva oficiosa</w:t>
        </w:r>
      </w:hyperlink>
      <w:r w:rsidRPr="000D1DE6">
        <w:rPr>
          <w:rFonts w:asciiTheme="minorHAnsi" w:eastAsia="Cambria" w:hAnsiTheme="minorHAnsi" w:cs="Cambria"/>
          <w:sz w:val="18"/>
          <w:szCs w:val="18"/>
          <w:lang w:val="es-MX"/>
        </w:rPr>
        <w:t>, 19 de febrero de 2021; Senado de la República, México,</w:t>
      </w:r>
      <w:hyperlink r:id="rId248">
        <w:r w:rsidRPr="000D1DE6">
          <w:rPr>
            <w:rFonts w:asciiTheme="minorHAnsi" w:eastAsia="Cambria" w:hAnsiTheme="minorHAnsi" w:cs="Cambria"/>
            <w:sz w:val="18"/>
            <w:szCs w:val="18"/>
            <w:lang w:val="es-MX"/>
          </w:rPr>
          <w:t xml:space="preserve"> </w:t>
        </w:r>
      </w:hyperlink>
      <w:hyperlink r:id="rId249">
        <w:r w:rsidRPr="000D1DE6">
          <w:rPr>
            <w:rFonts w:asciiTheme="minorHAnsi" w:eastAsia="Cambria" w:hAnsiTheme="minorHAnsi" w:cs="Cambria"/>
            <w:color w:val="1155CC"/>
            <w:sz w:val="18"/>
            <w:szCs w:val="18"/>
            <w:u w:val="single"/>
            <w:lang w:val="es-MX"/>
          </w:rPr>
          <w:t>Aprueba Senado ampliación del catálogo de delitos graves para prisión preventiva oficiosa</w:t>
        </w:r>
      </w:hyperlink>
      <w:r w:rsidRPr="000D1DE6">
        <w:rPr>
          <w:rFonts w:asciiTheme="minorHAnsi" w:eastAsia="Cambria" w:hAnsiTheme="minorHAnsi" w:cs="Cambria"/>
          <w:sz w:val="18"/>
          <w:szCs w:val="18"/>
          <w:lang w:val="es-MX"/>
        </w:rPr>
        <w:t>, 18 de febrero de 2021; y CNDH,</w:t>
      </w:r>
      <w:hyperlink r:id="rId250">
        <w:r w:rsidRPr="000D1DE6">
          <w:rPr>
            <w:rFonts w:asciiTheme="minorHAnsi" w:eastAsia="Cambria" w:hAnsiTheme="minorHAnsi" w:cs="Cambria"/>
            <w:sz w:val="18"/>
            <w:szCs w:val="18"/>
            <w:lang w:val="es-MX"/>
          </w:rPr>
          <w:t xml:space="preserve"> </w:t>
        </w:r>
      </w:hyperlink>
      <w:hyperlink r:id="rId251">
        <w:r w:rsidRPr="000D1DE6">
          <w:rPr>
            <w:rFonts w:asciiTheme="minorHAnsi" w:eastAsia="Cambria" w:hAnsiTheme="minorHAnsi" w:cs="Cambria"/>
            <w:color w:val="0000FF"/>
            <w:sz w:val="18"/>
            <w:szCs w:val="18"/>
            <w:u w:val="single"/>
            <w:lang w:val="es-MX"/>
          </w:rPr>
          <w:t>Pronunciamiento - Dirección General de Comunicación</w:t>
        </w:r>
      </w:hyperlink>
      <w:r w:rsidRPr="000D1DE6">
        <w:rPr>
          <w:rFonts w:asciiTheme="minorHAnsi" w:eastAsia="Cambria" w:hAnsiTheme="minorHAnsi" w:cs="Cambria"/>
          <w:sz w:val="18"/>
          <w:szCs w:val="18"/>
          <w:lang w:val="es-MX"/>
        </w:rPr>
        <w:t xml:space="preserve">, 23 de febrero de 2021. </w:t>
      </w:r>
    </w:p>
  </w:footnote>
  <w:footnote w:id="340">
    <w:p w14:paraId="48BB651C" w14:textId="77777777" w:rsidR="000235D8" w:rsidRPr="000D1DE6" w:rsidRDefault="000235D8" w:rsidP="00F46807">
      <w:pPr>
        <w:spacing w:after="120" w:line="240" w:lineRule="auto"/>
        <w:ind w:firstLine="720"/>
        <w:jc w:val="both"/>
        <w:rPr>
          <w:rFonts w:asciiTheme="minorHAnsi" w:eastAsia="Cambria" w:hAnsiTheme="minorHAnsi" w:cs="Cambria"/>
          <w:sz w:val="18"/>
          <w:szCs w:val="18"/>
          <w:lang w:val="es-MX"/>
        </w:rPr>
      </w:pPr>
      <w:r w:rsidRPr="000D1DE6">
        <w:rPr>
          <w:rStyle w:val="FootnoteReference"/>
          <w:rFonts w:asciiTheme="minorHAnsi" w:hAnsiTheme="minorHAnsi"/>
          <w:sz w:val="18"/>
          <w:szCs w:val="18"/>
          <w:lang w:val="es-MX"/>
        </w:rPr>
        <w:footnoteRef/>
      </w:r>
      <w:r w:rsidRPr="000D1DE6">
        <w:rPr>
          <w:rFonts w:asciiTheme="minorHAnsi" w:eastAsia="Cambria" w:hAnsiTheme="minorHAnsi" w:cs="Cambria"/>
          <w:sz w:val="18"/>
          <w:szCs w:val="18"/>
          <w:lang w:val="es-MX"/>
        </w:rPr>
        <w:t xml:space="preserve"> En este sentido, ver SCJN, México,</w:t>
      </w:r>
      <w:hyperlink r:id="rId252">
        <w:r w:rsidRPr="000D1DE6">
          <w:rPr>
            <w:rFonts w:asciiTheme="minorHAnsi" w:eastAsia="Cambria" w:hAnsiTheme="minorHAnsi" w:cs="Cambria"/>
            <w:color w:val="0000FF"/>
            <w:sz w:val="18"/>
            <w:szCs w:val="18"/>
            <w:lang w:val="es-MX"/>
          </w:rPr>
          <w:t xml:space="preserve"> </w:t>
        </w:r>
      </w:hyperlink>
      <w:hyperlink r:id="rId253">
        <w:r w:rsidRPr="000D1DE6">
          <w:rPr>
            <w:rFonts w:asciiTheme="minorHAnsi" w:eastAsia="Cambria" w:hAnsiTheme="minorHAnsi" w:cs="Cambria"/>
            <w:color w:val="0000FF"/>
            <w:sz w:val="18"/>
            <w:szCs w:val="18"/>
            <w:u w:val="single"/>
            <w:lang w:val="es-MX"/>
          </w:rPr>
          <w:t>Contenido de la versión taquigráfica de la Sesión Pública Ordinaria del pleno de la Suprema Corte de Justicia de la Nación, celebrada el lunes 25 de octubre de 2021</w:t>
        </w:r>
      </w:hyperlink>
      <w:r w:rsidRPr="000D1DE6">
        <w:rPr>
          <w:rFonts w:asciiTheme="minorHAnsi" w:eastAsia="Cambria" w:hAnsiTheme="minorHAnsi" w:cs="Cambria"/>
          <w:sz w:val="18"/>
          <w:szCs w:val="18"/>
          <w:lang w:val="es-MX"/>
        </w:rPr>
        <w:t xml:space="preserve">, 25 de octubre de 2021; Animal Político, </w:t>
      </w:r>
      <w:hyperlink r:id="rId254">
        <w:r w:rsidRPr="000D1DE6">
          <w:rPr>
            <w:rFonts w:asciiTheme="minorHAnsi" w:eastAsia="Cambria" w:hAnsiTheme="minorHAnsi" w:cs="Cambria"/>
            <w:color w:val="0000FF"/>
            <w:sz w:val="18"/>
            <w:szCs w:val="18"/>
            <w:u w:val="single"/>
            <w:lang w:val="es-MX"/>
          </w:rPr>
          <w:t>Corte invalida prisión automática para contrabando, defraudación fiscal y uso de facturas falsas</w:t>
        </w:r>
      </w:hyperlink>
      <w:r w:rsidRPr="000D1DE6">
        <w:rPr>
          <w:rFonts w:asciiTheme="minorHAnsi" w:eastAsia="Cambria" w:hAnsiTheme="minorHAnsi" w:cs="Cambria"/>
          <w:sz w:val="18"/>
          <w:szCs w:val="18"/>
          <w:lang w:val="es-MX"/>
        </w:rPr>
        <w:t xml:space="preserve">, 25 de octubre de 2021; y CNDH, </w:t>
      </w:r>
      <w:hyperlink r:id="rId255">
        <w:r w:rsidRPr="000D1DE6">
          <w:rPr>
            <w:rFonts w:asciiTheme="minorHAnsi" w:eastAsia="Cambria" w:hAnsiTheme="minorHAnsi" w:cs="Cambria"/>
            <w:color w:val="0000FF"/>
            <w:sz w:val="18"/>
            <w:szCs w:val="18"/>
            <w:u w:val="single"/>
            <w:lang w:val="es-MX"/>
          </w:rPr>
          <w:t>Asunto: Acción de Inconstitucionalidad.</w:t>
        </w:r>
      </w:hyperlink>
      <w:r w:rsidRPr="000D1DE6">
        <w:rPr>
          <w:rFonts w:asciiTheme="minorHAnsi" w:eastAsia="Cambria" w:hAnsiTheme="minorHAnsi" w:cs="Cambria"/>
          <w:sz w:val="18"/>
          <w:szCs w:val="18"/>
          <w:lang w:val="es-MX"/>
        </w:rPr>
        <w:t xml:space="preserve">, 22 de marzo de 2021. </w:t>
      </w:r>
    </w:p>
  </w:footnote>
  <w:footnote w:id="341">
    <w:p w14:paraId="4605016B" w14:textId="7B9DFEE7" w:rsidR="000235D8" w:rsidRPr="000D1DE6" w:rsidRDefault="000235D8" w:rsidP="00F46807">
      <w:pPr>
        <w:pBdr>
          <w:top w:val="nil"/>
          <w:left w:val="nil"/>
          <w:bottom w:val="nil"/>
          <w:right w:val="nil"/>
          <w:between w:val="nil"/>
        </w:pBdr>
        <w:spacing w:after="120" w:line="240" w:lineRule="auto"/>
        <w:ind w:firstLine="720"/>
        <w:jc w:val="both"/>
        <w:rPr>
          <w:rFonts w:asciiTheme="minorHAnsi" w:eastAsia="Cambria" w:hAnsiTheme="minorHAnsi" w:cs="Cambria"/>
          <w:color w:val="000000"/>
          <w:sz w:val="18"/>
          <w:szCs w:val="18"/>
          <w:lang w:val="es-MX"/>
        </w:rPr>
      </w:pPr>
      <w:r w:rsidRPr="000D1DE6">
        <w:rPr>
          <w:rStyle w:val="FootnoteReference"/>
          <w:rFonts w:asciiTheme="minorHAnsi" w:hAnsiTheme="minorHAnsi"/>
          <w:sz w:val="18"/>
          <w:szCs w:val="18"/>
          <w:lang w:val="es-MX"/>
        </w:rPr>
        <w:footnoteRef/>
      </w:r>
      <w:r w:rsidRPr="000D1DE6">
        <w:rPr>
          <w:rFonts w:asciiTheme="minorHAnsi" w:eastAsia="Cambria" w:hAnsiTheme="minorHAnsi" w:cs="Cambria"/>
          <w:color w:val="000000"/>
          <w:sz w:val="18"/>
          <w:szCs w:val="18"/>
          <w:lang w:val="es-MX"/>
        </w:rPr>
        <w:t xml:space="preserve"> CIDH, “</w:t>
      </w:r>
      <w:hyperlink r:id="rId256">
        <w:r w:rsidRPr="000D1DE6">
          <w:rPr>
            <w:rFonts w:asciiTheme="minorHAnsi" w:eastAsia="Cambria" w:hAnsiTheme="minorHAnsi" w:cs="Cambria"/>
            <w:color w:val="0000FF"/>
            <w:sz w:val="18"/>
            <w:szCs w:val="18"/>
            <w:u w:val="single"/>
            <w:lang w:val="es-MX"/>
          </w:rPr>
          <w:t>Informe sobre medidas dirigidas a reducir el uso de la prisión preventiva en las Américas</w:t>
        </w:r>
      </w:hyperlink>
      <w:r w:rsidRPr="000D1DE6">
        <w:rPr>
          <w:rFonts w:asciiTheme="minorHAnsi" w:eastAsia="Cambria" w:hAnsiTheme="minorHAnsi" w:cs="Cambria"/>
          <w:color w:val="000000"/>
          <w:sz w:val="18"/>
          <w:szCs w:val="18"/>
          <w:lang w:val="es-MX"/>
        </w:rPr>
        <w:t>”, OEA/Ser.L/V/II.163. Doc. 105, 3 de julio de 2017, párr. 91; CIDH, “</w:t>
      </w:r>
      <w:hyperlink r:id="rId257">
        <w:r w:rsidRPr="000D1DE6">
          <w:rPr>
            <w:rFonts w:asciiTheme="minorHAnsi" w:eastAsia="Cambria" w:hAnsiTheme="minorHAnsi" w:cs="Cambria"/>
            <w:color w:val="0000FF"/>
            <w:sz w:val="18"/>
            <w:szCs w:val="18"/>
            <w:u w:val="single"/>
            <w:lang w:val="es-MX"/>
          </w:rPr>
          <w:t>Informe sobre el Uso de la Prisión Preventiva en las Américas</w:t>
        </w:r>
      </w:hyperlink>
      <w:r w:rsidRPr="000D1DE6">
        <w:rPr>
          <w:rFonts w:asciiTheme="minorHAnsi" w:eastAsia="Cambria" w:hAnsiTheme="minorHAnsi" w:cs="Cambria"/>
          <w:color w:val="000000"/>
          <w:sz w:val="18"/>
          <w:szCs w:val="18"/>
          <w:lang w:val="es-MX"/>
        </w:rPr>
        <w:t xml:space="preserve">”, OEA/Ser.L/V/II., Doc. 46/13, 30 diciembre 2013, párr. </w:t>
      </w:r>
      <w:r w:rsidRPr="000D1DE6">
        <w:rPr>
          <w:rFonts w:asciiTheme="minorHAnsi" w:eastAsia="Cambria" w:hAnsiTheme="minorHAnsi" w:cs="Cambria"/>
          <w:color w:val="000000"/>
          <w:sz w:val="18"/>
          <w:szCs w:val="18"/>
          <w:lang w:val="pt-BR"/>
        </w:rPr>
        <w:t xml:space="preserve">151; CIDH, Informe de Fondo No. 86/09, Caso 12.553. Fondo. Jorge, José y Dante Peirano Basso. Uruguay. </w:t>
      </w:r>
      <w:r w:rsidRPr="000D1DE6">
        <w:rPr>
          <w:rFonts w:asciiTheme="minorHAnsi" w:eastAsia="Cambria" w:hAnsiTheme="minorHAnsi" w:cs="Cambria"/>
          <w:color w:val="000000"/>
          <w:sz w:val="18"/>
          <w:szCs w:val="18"/>
          <w:lang w:val="es-MX"/>
        </w:rPr>
        <w:t>6 de agosto de 2009, párr. 141.</w:t>
      </w:r>
    </w:p>
  </w:footnote>
  <w:footnote w:id="342">
    <w:p w14:paraId="2AAEA5D7" w14:textId="29BF76B0" w:rsidR="000235D8" w:rsidRPr="000D1DE6" w:rsidRDefault="000235D8" w:rsidP="00F46807">
      <w:pPr>
        <w:pBdr>
          <w:top w:val="nil"/>
          <w:left w:val="nil"/>
          <w:bottom w:val="nil"/>
          <w:right w:val="nil"/>
          <w:between w:val="nil"/>
        </w:pBdr>
        <w:spacing w:after="120" w:line="240" w:lineRule="auto"/>
        <w:ind w:firstLine="720"/>
        <w:jc w:val="both"/>
        <w:rPr>
          <w:rFonts w:asciiTheme="minorHAnsi" w:eastAsia="Cambria" w:hAnsiTheme="minorHAnsi" w:cs="Cambria"/>
          <w:color w:val="000000"/>
          <w:sz w:val="18"/>
          <w:szCs w:val="18"/>
          <w:lang w:val="es-MX"/>
        </w:rPr>
      </w:pPr>
      <w:r w:rsidRPr="000D1DE6">
        <w:rPr>
          <w:rStyle w:val="FootnoteReference"/>
          <w:rFonts w:asciiTheme="minorHAnsi" w:hAnsiTheme="minorHAnsi"/>
          <w:sz w:val="18"/>
          <w:szCs w:val="18"/>
          <w:lang w:val="es-MX"/>
        </w:rPr>
        <w:footnoteRef/>
      </w:r>
      <w:r w:rsidRPr="000D1DE6">
        <w:rPr>
          <w:rFonts w:asciiTheme="minorHAnsi" w:eastAsia="Cambria" w:hAnsiTheme="minorHAnsi" w:cs="Cambria"/>
          <w:color w:val="000000"/>
          <w:sz w:val="18"/>
          <w:szCs w:val="18"/>
          <w:lang w:val="es-MX"/>
        </w:rPr>
        <w:t xml:space="preserve"> CIDH, “</w:t>
      </w:r>
      <w:hyperlink r:id="rId258">
        <w:r w:rsidRPr="000D1DE6">
          <w:rPr>
            <w:rFonts w:asciiTheme="minorHAnsi" w:eastAsia="Cambria" w:hAnsiTheme="minorHAnsi" w:cs="Cambria"/>
            <w:color w:val="0000FF"/>
            <w:sz w:val="18"/>
            <w:szCs w:val="18"/>
            <w:u w:val="single"/>
            <w:lang w:val="es-MX"/>
          </w:rPr>
          <w:t>Situación de derechos humanos en Honduras</w:t>
        </w:r>
      </w:hyperlink>
      <w:r w:rsidRPr="000D1DE6">
        <w:rPr>
          <w:rFonts w:asciiTheme="minorHAnsi" w:eastAsia="Cambria" w:hAnsiTheme="minorHAnsi" w:cs="Cambria"/>
          <w:color w:val="000000"/>
          <w:sz w:val="18"/>
          <w:szCs w:val="18"/>
          <w:lang w:val="es-MX"/>
        </w:rPr>
        <w:t>”, OEA/Ser.L/V/II. Doc. 42/15 31 diciembre 2015, párr. 558; CIDH, “</w:t>
      </w:r>
      <w:hyperlink r:id="rId259">
        <w:r w:rsidRPr="000D1DE6">
          <w:rPr>
            <w:rFonts w:asciiTheme="minorHAnsi" w:eastAsia="Cambria" w:hAnsiTheme="minorHAnsi" w:cs="Cambria"/>
            <w:color w:val="0000FF"/>
            <w:sz w:val="18"/>
            <w:szCs w:val="18"/>
            <w:u w:val="single"/>
            <w:lang w:val="es-MX"/>
          </w:rPr>
          <w:t>Informe sobre el Uso de la Prisión Preventiva en las Américas</w:t>
        </w:r>
      </w:hyperlink>
      <w:r w:rsidRPr="000D1DE6">
        <w:rPr>
          <w:rFonts w:asciiTheme="minorHAnsi" w:eastAsia="Cambria" w:hAnsiTheme="minorHAnsi" w:cs="Cambria"/>
          <w:color w:val="000000"/>
          <w:sz w:val="18"/>
          <w:szCs w:val="18"/>
          <w:lang w:val="es-MX"/>
        </w:rPr>
        <w:t>”, OEA/Ser.L/V/II. Doc.46/13, 30 de diciembre de 2013, párr. 137.</w:t>
      </w:r>
    </w:p>
  </w:footnote>
  <w:footnote w:id="343">
    <w:p w14:paraId="36A56B01" w14:textId="5DD44CDE" w:rsidR="000235D8" w:rsidRPr="000D1DE6" w:rsidRDefault="000235D8" w:rsidP="00F46807">
      <w:pPr>
        <w:pBdr>
          <w:top w:val="nil"/>
          <w:left w:val="nil"/>
          <w:bottom w:val="nil"/>
          <w:right w:val="nil"/>
          <w:between w:val="nil"/>
        </w:pBdr>
        <w:spacing w:after="120" w:line="240" w:lineRule="auto"/>
        <w:ind w:firstLine="720"/>
        <w:jc w:val="both"/>
        <w:rPr>
          <w:rFonts w:asciiTheme="minorHAnsi" w:eastAsia="Cambria" w:hAnsiTheme="minorHAnsi" w:cs="Cambria"/>
          <w:color w:val="000000"/>
          <w:sz w:val="18"/>
          <w:szCs w:val="18"/>
          <w:lang w:val="es-MX"/>
        </w:rPr>
      </w:pPr>
      <w:r w:rsidRPr="000D1DE6">
        <w:rPr>
          <w:rStyle w:val="FootnoteReference"/>
          <w:rFonts w:asciiTheme="minorHAnsi" w:hAnsiTheme="minorHAnsi"/>
          <w:sz w:val="18"/>
          <w:szCs w:val="18"/>
          <w:lang w:val="es-MX"/>
        </w:rPr>
        <w:footnoteRef/>
      </w:r>
      <w:r w:rsidRPr="000D1DE6">
        <w:rPr>
          <w:rFonts w:asciiTheme="minorHAnsi" w:eastAsia="Cambria" w:hAnsiTheme="minorHAnsi" w:cs="Cambria"/>
          <w:sz w:val="18"/>
          <w:szCs w:val="18"/>
          <w:lang w:val="es-MX"/>
        </w:rPr>
        <w:t xml:space="preserve"> </w:t>
      </w:r>
      <w:r w:rsidRPr="000D1DE6">
        <w:rPr>
          <w:rFonts w:asciiTheme="minorHAnsi" w:eastAsia="Cambria" w:hAnsiTheme="minorHAnsi" w:cs="Cambria"/>
          <w:color w:val="000000"/>
          <w:sz w:val="18"/>
          <w:szCs w:val="18"/>
          <w:lang w:val="es-MX"/>
        </w:rPr>
        <w:t>Noveno Informe del Estado mexicano sobre el cumplimiento y seguimiento de las recomendaciones contenidas en el informe “Situación de los Derechos Humanos en México”, pág. 76.</w:t>
      </w:r>
    </w:p>
  </w:footnote>
  <w:footnote w:id="344">
    <w:p w14:paraId="384EEF57" w14:textId="6AA0BED5" w:rsidR="000235D8" w:rsidRPr="000D1DE6" w:rsidRDefault="000235D8" w:rsidP="00F46807">
      <w:pPr>
        <w:pBdr>
          <w:top w:val="nil"/>
          <w:left w:val="nil"/>
          <w:bottom w:val="nil"/>
          <w:right w:val="nil"/>
          <w:between w:val="nil"/>
        </w:pBdr>
        <w:spacing w:after="120" w:line="240" w:lineRule="auto"/>
        <w:ind w:firstLine="720"/>
        <w:jc w:val="both"/>
        <w:rPr>
          <w:rFonts w:asciiTheme="minorHAnsi" w:eastAsia="Cambria" w:hAnsiTheme="minorHAnsi" w:cs="Cambria"/>
          <w:color w:val="000000"/>
          <w:sz w:val="18"/>
          <w:szCs w:val="18"/>
          <w:lang w:val="es-MX"/>
        </w:rPr>
      </w:pPr>
      <w:r w:rsidRPr="000D1DE6">
        <w:rPr>
          <w:rStyle w:val="FootnoteReference"/>
          <w:rFonts w:asciiTheme="minorHAnsi" w:hAnsiTheme="minorHAnsi"/>
          <w:sz w:val="18"/>
          <w:szCs w:val="18"/>
          <w:lang w:val="es-MX"/>
        </w:rPr>
        <w:footnoteRef/>
      </w:r>
      <w:r w:rsidRPr="000D1DE6">
        <w:rPr>
          <w:rFonts w:asciiTheme="minorHAnsi" w:eastAsia="Cambria" w:hAnsiTheme="minorHAnsi" w:cs="Cambria"/>
          <w:sz w:val="18"/>
          <w:szCs w:val="18"/>
          <w:lang w:val="es-MX"/>
        </w:rPr>
        <w:t xml:space="preserve"> </w:t>
      </w:r>
      <w:r w:rsidRPr="000D1DE6">
        <w:rPr>
          <w:rFonts w:asciiTheme="minorHAnsi" w:eastAsia="Cambria" w:hAnsiTheme="minorHAnsi" w:cs="Cambria"/>
          <w:color w:val="000000"/>
          <w:sz w:val="18"/>
          <w:szCs w:val="18"/>
          <w:lang w:val="es-MX"/>
        </w:rPr>
        <w:t>Noveno Informe del Estado mexicano sobre el cumplimiento y seguimiento de las recomendaciones contenidas en el informe “Situación de los Derechos Humanos en México”, pág. 77.</w:t>
      </w:r>
    </w:p>
  </w:footnote>
  <w:footnote w:id="345">
    <w:p w14:paraId="4740BA0B" w14:textId="77777777" w:rsidR="000235D8" w:rsidRPr="000D1DE6" w:rsidRDefault="000235D8" w:rsidP="00F46807">
      <w:pPr>
        <w:spacing w:after="120" w:line="240" w:lineRule="auto"/>
        <w:ind w:firstLine="720"/>
        <w:jc w:val="both"/>
        <w:rPr>
          <w:rFonts w:asciiTheme="minorHAnsi" w:hAnsiTheme="minorHAnsi"/>
          <w:sz w:val="18"/>
          <w:szCs w:val="18"/>
          <w:lang w:val="es-MX"/>
        </w:rPr>
      </w:pPr>
      <w:r w:rsidRPr="000D1DE6">
        <w:rPr>
          <w:rStyle w:val="FootnoteReference"/>
          <w:rFonts w:asciiTheme="minorHAnsi" w:hAnsiTheme="minorHAnsi"/>
          <w:sz w:val="18"/>
          <w:szCs w:val="18"/>
          <w:lang w:val="es-MX"/>
        </w:rPr>
        <w:footnoteRef/>
      </w:r>
      <w:r w:rsidRPr="000D1DE6">
        <w:rPr>
          <w:rFonts w:asciiTheme="minorHAnsi" w:hAnsiTheme="minorHAnsi"/>
          <w:sz w:val="18"/>
          <w:szCs w:val="18"/>
          <w:lang w:val="es-MX"/>
        </w:rPr>
        <w:t xml:space="preserve"> </w:t>
      </w:r>
      <w:r w:rsidRPr="000D1DE6">
        <w:rPr>
          <w:rFonts w:asciiTheme="minorHAnsi" w:eastAsia="Cambria" w:hAnsiTheme="minorHAnsi" w:cs="Cambria"/>
          <w:sz w:val="18"/>
          <w:szCs w:val="18"/>
          <w:lang w:val="es-MX"/>
        </w:rPr>
        <w:t xml:space="preserve">Secretaría de Seguridad y Protección Ciudadana, México, </w:t>
      </w:r>
      <w:hyperlink r:id="rId260">
        <w:r w:rsidRPr="000D1DE6">
          <w:rPr>
            <w:rFonts w:asciiTheme="minorHAnsi" w:eastAsia="Cambria" w:hAnsiTheme="minorHAnsi" w:cs="Cambria"/>
            <w:color w:val="0000FF"/>
            <w:sz w:val="18"/>
            <w:szCs w:val="18"/>
            <w:u w:val="single"/>
            <w:lang w:val="es-MX"/>
          </w:rPr>
          <w:t>“Se instalan subcomisiones para una adecuada reinserción social y servicios postpenales”</w:t>
        </w:r>
      </w:hyperlink>
      <w:r w:rsidRPr="000D1DE6">
        <w:rPr>
          <w:rFonts w:asciiTheme="minorHAnsi" w:eastAsia="Cambria" w:hAnsiTheme="minorHAnsi" w:cs="Cambria"/>
          <w:sz w:val="18"/>
          <w:szCs w:val="18"/>
          <w:lang w:val="es-MX"/>
        </w:rPr>
        <w:t xml:space="preserve">, 26 de octubre de 2021. </w:t>
      </w:r>
    </w:p>
  </w:footnote>
  <w:footnote w:id="346">
    <w:p w14:paraId="54D3617A" w14:textId="5B9500AB" w:rsidR="0066315D" w:rsidRPr="000D1DE6" w:rsidRDefault="0066315D" w:rsidP="00F46807">
      <w:pPr>
        <w:pStyle w:val="FootnoteText"/>
        <w:spacing w:after="120"/>
        <w:ind w:firstLine="720"/>
        <w:rPr>
          <w:rFonts w:asciiTheme="minorHAnsi" w:hAnsiTheme="minorHAnsi"/>
        </w:rPr>
      </w:pPr>
      <w:r w:rsidRPr="000D1DE6">
        <w:rPr>
          <w:rStyle w:val="FootnoteReference"/>
          <w:rFonts w:asciiTheme="minorHAnsi" w:hAnsiTheme="minorHAnsi"/>
        </w:rPr>
        <w:footnoteRef/>
      </w:r>
      <w:r w:rsidRPr="000D1DE6">
        <w:rPr>
          <w:rFonts w:asciiTheme="minorHAnsi" w:hAnsiTheme="minorHAnsi"/>
        </w:rPr>
        <w:t xml:space="preserve"> CIDH, </w:t>
      </w:r>
      <w:hyperlink r:id="rId261" w:history="1">
        <w:r w:rsidRPr="000D1DE6">
          <w:rPr>
            <w:rStyle w:val="Hyperlink"/>
            <w:rFonts w:asciiTheme="minorHAnsi" w:hAnsiTheme="minorHAnsi"/>
          </w:rPr>
          <w:t>informe de la CNDH en el SIMORE</w:t>
        </w:r>
      </w:hyperlink>
      <w:r w:rsidRPr="000D1DE6">
        <w:rPr>
          <w:rFonts w:asciiTheme="minorHAnsi" w:hAnsiTheme="minorHAnsi"/>
        </w:rPr>
        <w:t>, 17 de diciembre.</w:t>
      </w:r>
    </w:p>
  </w:footnote>
  <w:footnote w:id="347">
    <w:p w14:paraId="180A496F" w14:textId="3D8751DB" w:rsidR="000235D8" w:rsidRPr="000D1DE6" w:rsidRDefault="000235D8" w:rsidP="00F46807">
      <w:pPr>
        <w:pBdr>
          <w:top w:val="nil"/>
          <w:left w:val="nil"/>
          <w:bottom w:val="nil"/>
          <w:right w:val="nil"/>
          <w:between w:val="nil"/>
        </w:pBdr>
        <w:spacing w:after="120" w:line="240" w:lineRule="auto"/>
        <w:ind w:firstLine="720"/>
        <w:jc w:val="both"/>
        <w:rPr>
          <w:rFonts w:asciiTheme="minorHAnsi" w:eastAsia="Cambria" w:hAnsiTheme="minorHAnsi" w:cs="Cambria"/>
          <w:color w:val="000000"/>
          <w:sz w:val="18"/>
          <w:szCs w:val="18"/>
          <w:lang w:val="es-MX"/>
        </w:rPr>
      </w:pPr>
      <w:r w:rsidRPr="000D1DE6">
        <w:rPr>
          <w:rStyle w:val="FootnoteReference"/>
          <w:rFonts w:asciiTheme="minorHAnsi" w:hAnsiTheme="minorHAnsi"/>
          <w:sz w:val="18"/>
          <w:szCs w:val="18"/>
          <w:lang w:val="es-MX"/>
        </w:rPr>
        <w:footnoteRef/>
      </w:r>
      <w:r w:rsidRPr="000D1DE6">
        <w:rPr>
          <w:rFonts w:asciiTheme="minorHAnsi" w:eastAsia="Cambria" w:hAnsiTheme="minorHAnsi" w:cs="Cambria"/>
          <w:sz w:val="18"/>
          <w:szCs w:val="18"/>
          <w:lang w:val="es-MX"/>
        </w:rPr>
        <w:t xml:space="preserve"> </w:t>
      </w:r>
      <w:r w:rsidRPr="000D1DE6">
        <w:rPr>
          <w:rFonts w:asciiTheme="minorHAnsi" w:eastAsia="Cambria" w:hAnsiTheme="minorHAnsi" w:cs="Cambria"/>
          <w:color w:val="000000"/>
          <w:sz w:val="18"/>
          <w:szCs w:val="18"/>
          <w:lang w:val="es-MX"/>
        </w:rPr>
        <w:t>Noveno Informe del Estado mexicano sobre el cumplimiento y seguimiento de las recomendaciones contenidas en el informe “Situación de los Derechos Humanos en México”, pág. 77.</w:t>
      </w:r>
    </w:p>
  </w:footnote>
  <w:footnote w:id="348">
    <w:p w14:paraId="3F7DAFBB" w14:textId="54D86433" w:rsidR="000235D8" w:rsidRPr="000D1DE6" w:rsidRDefault="000235D8" w:rsidP="00F46807">
      <w:pPr>
        <w:pBdr>
          <w:top w:val="nil"/>
          <w:left w:val="nil"/>
          <w:bottom w:val="nil"/>
          <w:right w:val="nil"/>
          <w:between w:val="nil"/>
        </w:pBdr>
        <w:spacing w:after="120" w:line="240" w:lineRule="auto"/>
        <w:ind w:firstLine="720"/>
        <w:jc w:val="both"/>
        <w:rPr>
          <w:rFonts w:asciiTheme="minorHAnsi" w:eastAsia="Cambria" w:hAnsiTheme="minorHAnsi" w:cs="Cambria"/>
          <w:color w:val="000000"/>
          <w:sz w:val="18"/>
          <w:szCs w:val="18"/>
          <w:lang w:val="es-MX"/>
        </w:rPr>
      </w:pPr>
      <w:r w:rsidRPr="000D1DE6">
        <w:rPr>
          <w:rStyle w:val="FootnoteReference"/>
          <w:rFonts w:asciiTheme="minorHAnsi" w:hAnsiTheme="minorHAnsi"/>
          <w:sz w:val="18"/>
          <w:szCs w:val="18"/>
          <w:lang w:val="es-MX"/>
        </w:rPr>
        <w:footnoteRef/>
      </w:r>
      <w:r w:rsidRPr="000D1DE6">
        <w:rPr>
          <w:rFonts w:asciiTheme="minorHAnsi" w:eastAsia="Cambria" w:hAnsiTheme="minorHAnsi" w:cs="Cambria"/>
          <w:sz w:val="18"/>
          <w:szCs w:val="18"/>
          <w:lang w:val="es-MX"/>
        </w:rPr>
        <w:t xml:space="preserve"> </w:t>
      </w:r>
      <w:r w:rsidRPr="000D1DE6">
        <w:rPr>
          <w:rFonts w:asciiTheme="minorHAnsi" w:eastAsia="Cambria" w:hAnsiTheme="minorHAnsi" w:cs="Cambria"/>
          <w:color w:val="000000"/>
          <w:sz w:val="18"/>
          <w:szCs w:val="18"/>
          <w:lang w:val="es-MX"/>
        </w:rPr>
        <w:t>Noveno Informe del Estado mexicano sobre el cumplimiento y seguimiento de las recomendaciones contenidas en el informe “Situación de los Derechos Humanos en México”, pág. 78.</w:t>
      </w:r>
    </w:p>
  </w:footnote>
  <w:footnote w:id="349">
    <w:p w14:paraId="3D21BD12" w14:textId="185E374F" w:rsidR="000235D8" w:rsidRPr="000D1DE6" w:rsidRDefault="000235D8" w:rsidP="00F46807">
      <w:pPr>
        <w:spacing w:after="120" w:line="240" w:lineRule="auto"/>
        <w:ind w:firstLine="720"/>
        <w:jc w:val="both"/>
        <w:rPr>
          <w:rFonts w:asciiTheme="minorHAnsi" w:eastAsia="Cambria" w:hAnsiTheme="minorHAnsi" w:cs="Cambria"/>
          <w:sz w:val="18"/>
          <w:szCs w:val="18"/>
          <w:lang w:val="es-MX"/>
        </w:rPr>
      </w:pPr>
      <w:r w:rsidRPr="000D1DE6">
        <w:rPr>
          <w:rStyle w:val="FootnoteReference"/>
          <w:rFonts w:asciiTheme="minorHAnsi" w:hAnsiTheme="minorHAnsi"/>
          <w:sz w:val="18"/>
          <w:szCs w:val="18"/>
          <w:lang w:val="es-MX"/>
        </w:rPr>
        <w:footnoteRef/>
      </w:r>
      <w:r w:rsidRPr="000D1DE6">
        <w:rPr>
          <w:rFonts w:asciiTheme="minorHAnsi" w:eastAsia="Cambria" w:hAnsiTheme="minorHAnsi" w:cs="Cambria"/>
          <w:sz w:val="18"/>
          <w:szCs w:val="18"/>
          <w:lang w:val="es-MX"/>
        </w:rPr>
        <w:t xml:space="preserve"> </w:t>
      </w:r>
      <w:r w:rsidRPr="000D1DE6">
        <w:rPr>
          <w:rFonts w:asciiTheme="minorHAnsi" w:eastAsia="Cambria" w:hAnsiTheme="minorHAnsi" w:cs="Cambria"/>
          <w:color w:val="000000"/>
          <w:sz w:val="18"/>
          <w:szCs w:val="18"/>
          <w:lang w:val="es-MX"/>
        </w:rPr>
        <w:t xml:space="preserve">Noveno Informe del Estado mexicano sobre el cumplimiento y seguimiento de las recomendaciones contenidas en el informe “Situación de los Derechos Humanos en México”, </w:t>
      </w:r>
      <w:r w:rsidRPr="000D1DE6">
        <w:rPr>
          <w:rFonts w:asciiTheme="minorHAnsi" w:eastAsia="Cambria" w:hAnsiTheme="minorHAnsi" w:cs="Cambria"/>
          <w:sz w:val="18"/>
          <w:szCs w:val="18"/>
          <w:lang w:val="es-MX"/>
        </w:rPr>
        <w:t>pág. 78.</w:t>
      </w:r>
    </w:p>
  </w:footnote>
  <w:footnote w:id="350">
    <w:p w14:paraId="64AB9A7F" w14:textId="1D3E05F4" w:rsidR="00940BA6" w:rsidRPr="000D1DE6" w:rsidRDefault="00940BA6" w:rsidP="00F46807">
      <w:pPr>
        <w:pStyle w:val="FootnoteText"/>
        <w:spacing w:after="120"/>
        <w:ind w:firstLine="720"/>
      </w:pPr>
      <w:r w:rsidRPr="000D1DE6">
        <w:rPr>
          <w:rStyle w:val="FootnoteReference"/>
        </w:rPr>
        <w:footnoteRef/>
      </w:r>
      <w:r w:rsidRPr="000D1DE6">
        <w:t xml:space="preserve"> </w:t>
      </w:r>
      <w:r w:rsidR="00B079C7" w:rsidRPr="000D1DE6">
        <w:t xml:space="preserve">CIDH, </w:t>
      </w:r>
      <w:hyperlink r:id="rId262" w:history="1">
        <w:r w:rsidR="00B079C7" w:rsidRPr="000D1DE6">
          <w:rPr>
            <w:rStyle w:val="Hyperlink"/>
          </w:rPr>
          <w:t>Informe de la CNDH en el SIMORE</w:t>
        </w:r>
      </w:hyperlink>
      <w:r w:rsidR="00B079C7" w:rsidRPr="000D1DE6">
        <w:t xml:space="preserve">, 17 de diciembre de 2021. </w:t>
      </w:r>
    </w:p>
  </w:footnote>
  <w:footnote w:id="351">
    <w:p w14:paraId="288727CF" w14:textId="4188AE06" w:rsidR="000235D8" w:rsidRPr="000D1DE6" w:rsidRDefault="000235D8" w:rsidP="00F46807">
      <w:pPr>
        <w:pBdr>
          <w:top w:val="nil"/>
          <w:left w:val="nil"/>
          <w:bottom w:val="nil"/>
          <w:right w:val="nil"/>
          <w:between w:val="nil"/>
        </w:pBdr>
        <w:spacing w:after="120" w:line="240" w:lineRule="auto"/>
        <w:ind w:firstLine="720"/>
        <w:jc w:val="both"/>
        <w:rPr>
          <w:rFonts w:asciiTheme="minorHAnsi" w:eastAsia="Cambria" w:hAnsiTheme="minorHAnsi" w:cs="Cambria"/>
          <w:color w:val="000000"/>
          <w:sz w:val="18"/>
          <w:szCs w:val="18"/>
          <w:lang w:val="es-MX"/>
        </w:rPr>
      </w:pPr>
      <w:r w:rsidRPr="000D1DE6">
        <w:rPr>
          <w:rStyle w:val="FootnoteReference"/>
          <w:rFonts w:asciiTheme="minorHAnsi" w:hAnsiTheme="minorHAnsi"/>
          <w:sz w:val="18"/>
          <w:szCs w:val="18"/>
          <w:lang w:val="es-MX"/>
        </w:rPr>
        <w:footnoteRef/>
      </w:r>
      <w:r w:rsidRPr="000D1DE6">
        <w:rPr>
          <w:rFonts w:asciiTheme="minorHAnsi" w:eastAsia="Cambria" w:hAnsiTheme="minorHAnsi" w:cs="Cambria"/>
          <w:sz w:val="18"/>
          <w:szCs w:val="18"/>
          <w:lang w:val="es-MX"/>
        </w:rPr>
        <w:t xml:space="preserve"> En este sentido, ver </w:t>
      </w:r>
      <w:r w:rsidRPr="000D1DE6">
        <w:rPr>
          <w:rFonts w:asciiTheme="minorHAnsi" w:eastAsia="Cambria" w:hAnsiTheme="minorHAnsi" w:cs="Cambria"/>
          <w:color w:val="000000"/>
          <w:sz w:val="18"/>
          <w:szCs w:val="18"/>
          <w:lang w:val="es-MX"/>
        </w:rPr>
        <w:t xml:space="preserve">CNDH, </w:t>
      </w:r>
      <w:hyperlink r:id="rId263">
        <w:r w:rsidRPr="000D1DE6">
          <w:rPr>
            <w:rFonts w:asciiTheme="minorHAnsi" w:eastAsia="Cambria" w:hAnsiTheme="minorHAnsi" w:cs="Cambria"/>
            <w:color w:val="0000FF"/>
            <w:sz w:val="18"/>
            <w:szCs w:val="18"/>
            <w:u w:val="single"/>
            <w:lang w:val="es-MX"/>
          </w:rPr>
          <w:t>Diagnóstico Nacional de Supervisión Penitenciaria</w:t>
        </w:r>
      </w:hyperlink>
      <w:r w:rsidRPr="000D1DE6">
        <w:rPr>
          <w:rFonts w:asciiTheme="minorHAnsi" w:eastAsia="Cambria" w:hAnsiTheme="minorHAnsi" w:cs="Cambria"/>
          <w:color w:val="000000"/>
          <w:sz w:val="18"/>
          <w:szCs w:val="18"/>
          <w:lang w:val="es-MX"/>
        </w:rPr>
        <w:t>, septiembre de 2021, págs. 104 y 294-295.</w:t>
      </w:r>
    </w:p>
  </w:footnote>
  <w:footnote w:id="352">
    <w:p w14:paraId="2F433BD7" w14:textId="7A5CC3FE" w:rsidR="000235D8" w:rsidRPr="000D1DE6" w:rsidRDefault="000235D8" w:rsidP="00F46807">
      <w:pPr>
        <w:shd w:val="clear" w:color="auto" w:fill="FFFFFF"/>
        <w:spacing w:after="120" w:line="240" w:lineRule="auto"/>
        <w:ind w:firstLine="720"/>
        <w:jc w:val="both"/>
        <w:rPr>
          <w:rFonts w:asciiTheme="minorHAnsi" w:eastAsia="Cambria" w:hAnsiTheme="minorHAnsi" w:cs="Cambria"/>
          <w:sz w:val="18"/>
          <w:szCs w:val="18"/>
          <w:lang w:val="es-MX"/>
        </w:rPr>
      </w:pPr>
      <w:r w:rsidRPr="000D1DE6">
        <w:rPr>
          <w:rStyle w:val="FootnoteReference"/>
          <w:rFonts w:asciiTheme="minorHAnsi" w:hAnsiTheme="minorHAnsi"/>
          <w:sz w:val="18"/>
          <w:szCs w:val="18"/>
          <w:lang w:val="es-MX"/>
        </w:rPr>
        <w:footnoteRef/>
      </w:r>
      <w:r w:rsidRPr="000D1DE6">
        <w:rPr>
          <w:rFonts w:asciiTheme="minorHAnsi" w:eastAsia="Cambria" w:hAnsiTheme="minorHAnsi" w:cs="Cambria"/>
          <w:sz w:val="18"/>
          <w:szCs w:val="18"/>
          <w:lang w:val="es-MX"/>
        </w:rPr>
        <w:t xml:space="preserve"> En este sentido, ver: </w:t>
      </w:r>
      <w:r w:rsidRPr="000D1DE6">
        <w:rPr>
          <w:rFonts w:asciiTheme="minorHAnsi" w:eastAsia="Cambria" w:hAnsiTheme="minorHAnsi" w:cs="Cambria"/>
          <w:color w:val="000000"/>
          <w:sz w:val="18"/>
          <w:szCs w:val="18"/>
          <w:lang w:val="es-MX"/>
        </w:rPr>
        <w:t xml:space="preserve">CNDH, </w:t>
      </w:r>
      <w:hyperlink r:id="rId264">
        <w:r w:rsidRPr="000D1DE6">
          <w:rPr>
            <w:rFonts w:asciiTheme="minorHAnsi" w:eastAsia="Cambria" w:hAnsiTheme="minorHAnsi" w:cs="Cambria"/>
            <w:color w:val="0000FF"/>
            <w:sz w:val="18"/>
            <w:szCs w:val="18"/>
            <w:u w:val="single"/>
            <w:lang w:val="es-MX"/>
          </w:rPr>
          <w:t>Diagnóstico Nacional de Supervisión Penitenciaria</w:t>
        </w:r>
      </w:hyperlink>
      <w:r w:rsidRPr="000D1DE6">
        <w:rPr>
          <w:rFonts w:asciiTheme="minorHAnsi" w:eastAsia="Cambria" w:hAnsiTheme="minorHAnsi" w:cs="Cambria"/>
          <w:color w:val="000000"/>
          <w:sz w:val="18"/>
          <w:szCs w:val="18"/>
          <w:lang w:val="es-MX"/>
        </w:rPr>
        <w:t xml:space="preserve">, septiembre de 2021, págs. 104 y 294-295; y </w:t>
      </w:r>
      <w:r w:rsidRPr="000D1DE6">
        <w:rPr>
          <w:rFonts w:asciiTheme="minorHAnsi" w:eastAsia="Cambria" w:hAnsiTheme="minorHAnsi" w:cs="Cambria"/>
          <w:sz w:val="18"/>
          <w:szCs w:val="18"/>
          <w:lang w:val="es-MX"/>
        </w:rPr>
        <w:t xml:space="preserve">AsiLegal, </w:t>
      </w:r>
      <w:hyperlink r:id="rId265">
        <w:r w:rsidRPr="000D1DE6">
          <w:rPr>
            <w:rFonts w:asciiTheme="minorHAnsi" w:eastAsia="Cambria" w:hAnsiTheme="minorHAnsi" w:cs="Cambria"/>
            <w:color w:val="0000FF"/>
            <w:sz w:val="18"/>
            <w:szCs w:val="18"/>
            <w:u w:val="single"/>
            <w:lang w:val="es-MX"/>
          </w:rPr>
          <w:t>Maternidad tras las rejas: una realidad de miles de mujeres en el sistema penitenciario mexicano</w:t>
        </w:r>
      </w:hyperlink>
      <w:r w:rsidRPr="000D1DE6">
        <w:rPr>
          <w:rFonts w:asciiTheme="minorHAnsi" w:eastAsia="Cambria" w:hAnsiTheme="minorHAnsi" w:cs="Cambria"/>
          <w:sz w:val="18"/>
          <w:szCs w:val="18"/>
          <w:lang w:val="es-MX"/>
        </w:rPr>
        <w:t>, 9 de mayo de 2021.</w:t>
      </w:r>
    </w:p>
  </w:footnote>
  <w:footnote w:id="353">
    <w:p w14:paraId="6EE19069" w14:textId="23E4FA48" w:rsidR="000235D8" w:rsidRPr="000D1DE6" w:rsidRDefault="000235D8" w:rsidP="00F46807">
      <w:pPr>
        <w:pBdr>
          <w:top w:val="nil"/>
          <w:left w:val="nil"/>
          <w:bottom w:val="nil"/>
          <w:right w:val="nil"/>
          <w:between w:val="nil"/>
        </w:pBdr>
        <w:spacing w:after="120" w:line="240" w:lineRule="auto"/>
        <w:ind w:firstLine="720"/>
        <w:jc w:val="both"/>
        <w:rPr>
          <w:rFonts w:asciiTheme="minorHAnsi" w:eastAsia="Cambria" w:hAnsiTheme="minorHAnsi" w:cs="Cambria"/>
          <w:color w:val="000000"/>
          <w:sz w:val="18"/>
          <w:szCs w:val="18"/>
          <w:lang w:val="es-MX"/>
        </w:rPr>
      </w:pPr>
      <w:r w:rsidRPr="000D1DE6">
        <w:rPr>
          <w:rStyle w:val="FootnoteReference"/>
          <w:rFonts w:asciiTheme="minorHAnsi" w:hAnsiTheme="minorHAnsi"/>
          <w:sz w:val="18"/>
          <w:szCs w:val="18"/>
          <w:lang w:val="es-MX"/>
        </w:rPr>
        <w:footnoteRef/>
      </w:r>
      <w:r w:rsidRPr="000D1DE6">
        <w:rPr>
          <w:rFonts w:asciiTheme="minorHAnsi" w:eastAsia="Cambria" w:hAnsiTheme="minorHAnsi" w:cs="Cambria"/>
          <w:sz w:val="18"/>
          <w:szCs w:val="18"/>
          <w:lang w:val="es-MX"/>
        </w:rPr>
        <w:t xml:space="preserve"> </w:t>
      </w:r>
      <w:r w:rsidRPr="000D1DE6">
        <w:rPr>
          <w:rFonts w:asciiTheme="minorHAnsi" w:eastAsia="Cambria" w:hAnsiTheme="minorHAnsi" w:cs="Cambria"/>
          <w:color w:val="000000"/>
          <w:sz w:val="18"/>
          <w:szCs w:val="18"/>
          <w:lang w:val="es-MX"/>
        </w:rPr>
        <w:t xml:space="preserve">CNDH, </w:t>
      </w:r>
      <w:hyperlink r:id="rId266">
        <w:r w:rsidRPr="000D1DE6">
          <w:rPr>
            <w:rFonts w:asciiTheme="minorHAnsi" w:eastAsia="Cambria" w:hAnsiTheme="minorHAnsi" w:cs="Cambria"/>
            <w:color w:val="0000FF"/>
            <w:sz w:val="18"/>
            <w:szCs w:val="18"/>
            <w:u w:val="single"/>
            <w:lang w:val="es-MX"/>
          </w:rPr>
          <w:t>Diagnóstico Nacional de Supervisión Penitenciaria</w:t>
        </w:r>
      </w:hyperlink>
      <w:r w:rsidRPr="000D1DE6">
        <w:rPr>
          <w:rFonts w:asciiTheme="minorHAnsi" w:eastAsia="Cambria" w:hAnsiTheme="minorHAnsi" w:cs="Cambria"/>
          <w:color w:val="000000"/>
          <w:sz w:val="18"/>
          <w:szCs w:val="18"/>
          <w:lang w:val="es-MX"/>
        </w:rPr>
        <w:t>, Mayo de 2021, pág. 104.</w:t>
      </w:r>
    </w:p>
  </w:footnote>
  <w:footnote w:id="354">
    <w:p w14:paraId="3D165883" w14:textId="2FC68C39" w:rsidR="000235D8" w:rsidRPr="000D1DE6" w:rsidRDefault="000235D8" w:rsidP="00F46807">
      <w:pPr>
        <w:pBdr>
          <w:top w:val="nil"/>
          <w:left w:val="nil"/>
          <w:bottom w:val="nil"/>
          <w:right w:val="nil"/>
          <w:between w:val="nil"/>
        </w:pBdr>
        <w:spacing w:after="120" w:line="240" w:lineRule="auto"/>
        <w:ind w:firstLine="720"/>
        <w:jc w:val="both"/>
        <w:rPr>
          <w:rFonts w:asciiTheme="minorHAnsi" w:eastAsia="Cambria" w:hAnsiTheme="minorHAnsi" w:cs="Cambria"/>
          <w:color w:val="000000"/>
          <w:sz w:val="18"/>
          <w:szCs w:val="18"/>
          <w:lang w:val="es-MX"/>
        </w:rPr>
      </w:pPr>
      <w:r w:rsidRPr="000D1DE6">
        <w:rPr>
          <w:rStyle w:val="FootnoteReference"/>
          <w:rFonts w:asciiTheme="minorHAnsi" w:hAnsiTheme="minorHAnsi"/>
          <w:sz w:val="18"/>
          <w:szCs w:val="18"/>
          <w:lang w:val="es-MX"/>
        </w:rPr>
        <w:footnoteRef/>
      </w:r>
      <w:r w:rsidRPr="000D1DE6">
        <w:rPr>
          <w:rFonts w:asciiTheme="minorHAnsi" w:eastAsia="Cambria" w:hAnsiTheme="minorHAnsi" w:cs="Cambria"/>
          <w:sz w:val="18"/>
          <w:szCs w:val="18"/>
          <w:lang w:val="es-MX"/>
        </w:rPr>
        <w:t xml:space="preserve"> </w:t>
      </w:r>
      <w:r w:rsidRPr="000D1DE6">
        <w:rPr>
          <w:rFonts w:asciiTheme="minorHAnsi" w:eastAsia="Cambria" w:hAnsiTheme="minorHAnsi" w:cs="Cambria"/>
          <w:color w:val="000000"/>
          <w:sz w:val="18"/>
          <w:szCs w:val="18"/>
          <w:lang w:val="es-MX"/>
        </w:rPr>
        <w:t xml:space="preserve">CNDH, </w:t>
      </w:r>
      <w:hyperlink r:id="rId267">
        <w:r w:rsidRPr="000D1DE6">
          <w:rPr>
            <w:rFonts w:asciiTheme="minorHAnsi" w:eastAsia="Cambria" w:hAnsiTheme="minorHAnsi" w:cs="Cambria"/>
            <w:color w:val="0000FF"/>
            <w:sz w:val="18"/>
            <w:szCs w:val="18"/>
            <w:u w:val="single"/>
            <w:lang w:val="es-MX"/>
          </w:rPr>
          <w:t>Diagnóstico Nacional de Supervisión Penitenciaria</w:t>
        </w:r>
      </w:hyperlink>
      <w:r w:rsidRPr="000D1DE6">
        <w:rPr>
          <w:rFonts w:asciiTheme="minorHAnsi" w:eastAsia="Cambria" w:hAnsiTheme="minorHAnsi" w:cs="Cambria"/>
          <w:color w:val="000000"/>
          <w:sz w:val="18"/>
          <w:szCs w:val="18"/>
          <w:lang w:val="es-MX"/>
        </w:rPr>
        <w:t>, Mayo de 2021, págs. 294-295.</w:t>
      </w:r>
    </w:p>
  </w:footnote>
  <w:footnote w:id="355">
    <w:p w14:paraId="6680EB31" w14:textId="6A1A5F77" w:rsidR="000235D8" w:rsidRPr="000D1DE6" w:rsidRDefault="000235D8" w:rsidP="00F46807">
      <w:pPr>
        <w:pBdr>
          <w:top w:val="nil"/>
          <w:left w:val="nil"/>
          <w:bottom w:val="nil"/>
          <w:right w:val="nil"/>
          <w:between w:val="nil"/>
        </w:pBdr>
        <w:spacing w:after="120" w:line="240" w:lineRule="auto"/>
        <w:ind w:firstLine="720"/>
        <w:jc w:val="both"/>
        <w:rPr>
          <w:rFonts w:asciiTheme="minorHAnsi" w:eastAsia="Cambria" w:hAnsiTheme="minorHAnsi" w:cs="Cambria"/>
          <w:color w:val="000000"/>
          <w:sz w:val="18"/>
          <w:szCs w:val="18"/>
          <w:lang w:val="es-MX"/>
        </w:rPr>
      </w:pPr>
      <w:r w:rsidRPr="000D1DE6">
        <w:rPr>
          <w:rStyle w:val="FootnoteReference"/>
          <w:rFonts w:asciiTheme="minorHAnsi" w:hAnsiTheme="minorHAnsi"/>
          <w:sz w:val="18"/>
          <w:szCs w:val="18"/>
          <w:lang w:val="es-MX"/>
        </w:rPr>
        <w:footnoteRef/>
      </w:r>
      <w:r w:rsidRPr="000D1DE6">
        <w:rPr>
          <w:rFonts w:asciiTheme="minorHAnsi" w:eastAsia="Cambria" w:hAnsiTheme="minorHAnsi" w:cs="Cambria"/>
          <w:color w:val="000000"/>
          <w:sz w:val="18"/>
          <w:szCs w:val="18"/>
          <w:lang w:val="es-MX"/>
        </w:rPr>
        <w:t xml:space="preserve"> CNDH, Recomendación No. 35/2021, 31 de agosto de 2021.</w:t>
      </w:r>
    </w:p>
  </w:footnote>
  <w:footnote w:id="356">
    <w:p w14:paraId="6F504B8C" w14:textId="33B511C9" w:rsidR="000235D8" w:rsidRPr="000D1DE6" w:rsidRDefault="000235D8" w:rsidP="00F46807">
      <w:pPr>
        <w:pBdr>
          <w:top w:val="nil"/>
          <w:left w:val="nil"/>
          <w:bottom w:val="nil"/>
          <w:right w:val="nil"/>
          <w:between w:val="nil"/>
        </w:pBdr>
        <w:spacing w:after="120" w:line="240" w:lineRule="auto"/>
        <w:ind w:firstLine="720"/>
        <w:jc w:val="both"/>
        <w:rPr>
          <w:rFonts w:asciiTheme="minorHAnsi" w:eastAsia="Cambria" w:hAnsiTheme="minorHAnsi" w:cs="Cambria"/>
          <w:color w:val="000000"/>
          <w:sz w:val="18"/>
          <w:szCs w:val="18"/>
          <w:lang w:val="es-MX"/>
        </w:rPr>
      </w:pPr>
      <w:r w:rsidRPr="000D1DE6">
        <w:rPr>
          <w:rStyle w:val="FootnoteReference"/>
          <w:rFonts w:asciiTheme="minorHAnsi" w:hAnsiTheme="minorHAnsi"/>
          <w:sz w:val="18"/>
          <w:szCs w:val="18"/>
          <w:lang w:val="es-MX"/>
        </w:rPr>
        <w:footnoteRef/>
      </w:r>
      <w:r w:rsidRPr="000D1DE6">
        <w:rPr>
          <w:rFonts w:asciiTheme="minorHAnsi" w:eastAsia="Cambria" w:hAnsiTheme="minorHAnsi" w:cs="Cambria"/>
          <w:color w:val="000000"/>
          <w:sz w:val="18"/>
          <w:szCs w:val="18"/>
          <w:lang w:val="es-MX"/>
        </w:rPr>
        <w:t xml:space="preserve"> CNDH, Recomendación No. 35/2021, 31 de agosto de 2021.</w:t>
      </w:r>
    </w:p>
  </w:footnote>
  <w:footnote w:id="357">
    <w:p w14:paraId="23B18DF5" w14:textId="2AED8652" w:rsidR="000235D8" w:rsidRPr="000D1DE6" w:rsidRDefault="000235D8" w:rsidP="00F46807">
      <w:pPr>
        <w:pBdr>
          <w:top w:val="nil"/>
          <w:left w:val="nil"/>
          <w:bottom w:val="nil"/>
          <w:right w:val="nil"/>
          <w:between w:val="nil"/>
        </w:pBdr>
        <w:spacing w:after="120" w:line="240" w:lineRule="auto"/>
        <w:ind w:firstLine="720"/>
        <w:jc w:val="both"/>
        <w:rPr>
          <w:rFonts w:asciiTheme="minorHAnsi" w:eastAsia="Cambria" w:hAnsiTheme="minorHAnsi" w:cs="Cambria"/>
          <w:color w:val="000000"/>
          <w:sz w:val="18"/>
          <w:szCs w:val="18"/>
          <w:lang w:val="es-MX"/>
        </w:rPr>
      </w:pPr>
      <w:r w:rsidRPr="000D1DE6">
        <w:rPr>
          <w:rStyle w:val="FootnoteReference"/>
          <w:rFonts w:asciiTheme="minorHAnsi" w:hAnsiTheme="minorHAnsi"/>
          <w:sz w:val="18"/>
          <w:szCs w:val="18"/>
          <w:lang w:val="es-MX"/>
        </w:rPr>
        <w:footnoteRef/>
      </w:r>
      <w:r w:rsidRPr="000D1DE6">
        <w:rPr>
          <w:rFonts w:asciiTheme="minorHAnsi" w:eastAsia="Cambria" w:hAnsiTheme="minorHAnsi" w:cs="Cambria"/>
          <w:sz w:val="18"/>
          <w:szCs w:val="18"/>
          <w:lang w:val="es-MX"/>
        </w:rPr>
        <w:t xml:space="preserve"> </w:t>
      </w:r>
      <w:r w:rsidRPr="000D1DE6">
        <w:rPr>
          <w:rFonts w:asciiTheme="minorHAnsi" w:eastAsia="Cambria" w:hAnsiTheme="minorHAnsi" w:cs="Cambria"/>
          <w:color w:val="000000"/>
          <w:sz w:val="18"/>
          <w:szCs w:val="18"/>
          <w:lang w:val="es-MX"/>
        </w:rPr>
        <w:t>Noveno Informe del Estado mexicano sobre el cumplimiento y seguimiento de las recomendaciones contenidas en el informe “Situación de los Derechos Humanos en México”, pág. 79.</w:t>
      </w:r>
    </w:p>
  </w:footnote>
  <w:footnote w:id="358">
    <w:p w14:paraId="250C80C8" w14:textId="02D4FC8D" w:rsidR="000235D8" w:rsidRPr="000D1DE6" w:rsidRDefault="000235D8" w:rsidP="00F46807">
      <w:pPr>
        <w:pBdr>
          <w:top w:val="nil"/>
          <w:left w:val="nil"/>
          <w:bottom w:val="nil"/>
          <w:right w:val="nil"/>
          <w:between w:val="nil"/>
        </w:pBdr>
        <w:spacing w:after="120" w:line="240" w:lineRule="auto"/>
        <w:ind w:firstLine="720"/>
        <w:jc w:val="both"/>
        <w:rPr>
          <w:rFonts w:asciiTheme="minorHAnsi" w:eastAsia="Cambria" w:hAnsiTheme="minorHAnsi" w:cs="Cambria"/>
          <w:color w:val="000000"/>
          <w:sz w:val="18"/>
          <w:szCs w:val="18"/>
          <w:lang w:val="es-MX"/>
        </w:rPr>
      </w:pPr>
      <w:r w:rsidRPr="000D1DE6">
        <w:rPr>
          <w:rStyle w:val="FootnoteReference"/>
          <w:rFonts w:asciiTheme="minorHAnsi" w:hAnsiTheme="minorHAnsi"/>
          <w:sz w:val="18"/>
          <w:szCs w:val="18"/>
          <w:lang w:val="es-MX"/>
        </w:rPr>
        <w:footnoteRef/>
      </w:r>
      <w:r w:rsidRPr="000D1DE6">
        <w:rPr>
          <w:rFonts w:asciiTheme="minorHAnsi" w:eastAsia="Cambria" w:hAnsiTheme="minorHAnsi" w:cs="Cambria"/>
          <w:color w:val="000000"/>
          <w:sz w:val="18"/>
          <w:szCs w:val="18"/>
          <w:lang w:val="es-MX"/>
        </w:rPr>
        <w:t xml:space="preserve"> Diario Oficial de la Federación, México, </w:t>
      </w:r>
      <w:hyperlink r:id="rId268">
        <w:r w:rsidRPr="000D1DE6">
          <w:rPr>
            <w:rFonts w:asciiTheme="minorHAnsi" w:eastAsia="Cambria" w:hAnsiTheme="minorHAnsi" w:cs="Cambria"/>
            <w:color w:val="0000FF"/>
            <w:sz w:val="18"/>
            <w:szCs w:val="18"/>
            <w:u w:val="single"/>
            <w:lang w:val="es-MX"/>
          </w:rPr>
          <w:t>Acuerdo por el que se instruyen a las instituciones que en el mismo se indican, a realizar acciones para gestionar, ante las autoridades competentes, las solicitudes de preliberación de personas sentenciadas, así como para identificar casos tanto de personas en prisión preventiva, como de aquellas que hayan sido víctimas de tortura, en términos de las disposiciones jurídicas aplicables</w:t>
        </w:r>
      </w:hyperlink>
      <w:r w:rsidRPr="000D1DE6">
        <w:rPr>
          <w:rFonts w:asciiTheme="minorHAnsi" w:eastAsia="Cambria" w:hAnsiTheme="minorHAnsi" w:cs="Cambria"/>
          <w:color w:val="000000"/>
          <w:sz w:val="18"/>
          <w:szCs w:val="18"/>
          <w:lang w:val="es-MX"/>
        </w:rPr>
        <w:t>, adoptado el 25 de agosto de 2021.</w:t>
      </w:r>
    </w:p>
  </w:footnote>
  <w:footnote w:id="359">
    <w:p w14:paraId="2430BA92" w14:textId="3968B0D9" w:rsidR="000235D8" w:rsidRPr="000D1DE6" w:rsidRDefault="000235D8" w:rsidP="00F46807">
      <w:pPr>
        <w:pBdr>
          <w:top w:val="nil"/>
          <w:left w:val="nil"/>
          <w:bottom w:val="nil"/>
          <w:right w:val="nil"/>
          <w:between w:val="nil"/>
        </w:pBdr>
        <w:spacing w:after="120" w:line="240" w:lineRule="auto"/>
        <w:ind w:firstLine="720"/>
        <w:jc w:val="both"/>
        <w:rPr>
          <w:rFonts w:asciiTheme="minorHAnsi" w:eastAsia="Cambria" w:hAnsiTheme="minorHAnsi" w:cs="Cambria"/>
          <w:sz w:val="18"/>
          <w:szCs w:val="18"/>
          <w:lang w:val="es-MX"/>
        </w:rPr>
      </w:pPr>
      <w:r w:rsidRPr="000D1DE6">
        <w:rPr>
          <w:rStyle w:val="FootnoteReference"/>
          <w:rFonts w:asciiTheme="minorHAnsi" w:hAnsiTheme="minorHAnsi"/>
          <w:sz w:val="18"/>
          <w:szCs w:val="18"/>
          <w:lang w:val="es-MX"/>
        </w:rPr>
        <w:footnoteRef/>
      </w:r>
      <w:r w:rsidRPr="000D1DE6">
        <w:rPr>
          <w:rFonts w:asciiTheme="minorHAnsi" w:eastAsia="Cambria" w:hAnsiTheme="minorHAnsi" w:cs="Cambria"/>
          <w:color w:val="000000"/>
          <w:sz w:val="18"/>
          <w:szCs w:val="18"/>
          <w:lang w:val="es-MX"/>
        </w:rPr>
        <w:t xml:space="preserve"> RT, </w:t>
      </w:r>
      <w:hyperlink r:id="rId269">
        <w:r w:rsidRPr="000D1DE6">
          <w:rPr>
            <w:rFonts w:asciiTheme="minorHAnsi" w:eastAsia="Cambria" w:hAnsiTheme="minorHAnsi" w:cs="Cambria"/>
            <w:color w:val="0000FF"/>
            <w:sz w:val="18"/>
            <w:szCs w:val="18"/>
            <w:u w:val="single"/>
            <w:lang w:val="es-MX"/>
          </w:rPr>
          <w:t>Torturados o sin condena firme: México libera a los primeros 682 presos por el decreto de López Obrador</w:t>
        </w:r>
      </w:hyperlink>
      <w:r w:rsidRPr="000D1DE6">
        <w:rPr>
          <w:rFonts w:asciiTheme="minorHAnsi" w:eastAsia="Cambria" w:hAnsiTheme="minorHAnsi" w:cs="Cambria"/>
          <w:color w:val="000000"/>
          <w:sz w:val="18"/>
          <w:szCs w:val="18"/>
          <w:lang w:val="es-MX"/>
        </w:rPr>
        <w:t>, 14 de septiembre de 2021</w:t>
      </w:r>
      <w:r w:rsidRPr="000D1DE6">
        <w:rPr>
          <w:rFonts w:asciiTheme="minorHAnsi" w:eastAsia="Cambria" w:hAnsiTheme="minorHAnsi" w:cs="Cambria"/>
          <w:sz w:val="18"/>
          <w:szCs w:val="18"/>
          <w:lang w:val="es-MX"/>
        </w:rPr>
        <w:t>; El Heraldo,</w:t>
      </w:r>
      <w:hyperlink r:id="rId270">
        <w:r w:rsidRPr="000D1DE6">
          <w:rPr>
            <w:rFonts w:asciiTheme="minorHAnsi" w:eastAsia="Cambria" w:hAnsiTheme="minorHAnsi" w:cs="Cambria"/>
            <w:sz w:val="18"/>
            <w:szCs w:val="18"/>
            <w:lang w:val="es-MX"/>
          </w:rPr>
          <w:t xml:space="preserve"> </w:t>
        </w:r>
      </w:hyperlink>
      <w:hyperlink r:id="rId271">
        <w:r w:rsidRPr="000D1DE6">
          <w:rPr>
            <w:rFonts w:asciiTheme="minorHAnsi" w:eastAsia="Cambria" w:hAnsiTheme="minorHAnsi" w:cs="Cambria"/>
            <w:color w:val="1155CC"/>
            <w:sz w:val="18"/>
            <w:szCs w:val="18"/>
            <w:u w:val="single"/>
            <w:lang w:val="es-MX"/>
          </w:rPr>
          <w:t>México libera los primeros 682 presos por el decreto de Andrés López</w:t>
        </w:r>
      </w:hyperlink>
      <w:r w:rsidRPr="000D1DE6">
        <w:rPr>
          <w:rFonts w:asciiTheme="minorHAnsi" w:eastAsia="Cambria" w:hAnsiTheme="minorHAnsi" w:cs="Cambria"/>
          <w:sz w:val="18"/>
          <w:szCs w:val="18"/>
          <w:lang w:val="es-MX"/>
        </w:rPr>
        <w:t>, 14 de septiembre de 2021; y El país,</w:t>
      </w:r>
      <w:hyperlink r:id="rId272">
        <w:r w:rsidRPr="000D1DE6">
          <w:rPr>
            <w:rFonts w:asciiTheme="minorHAnsi" w:eastAsia="Cambria" w:hAnsiTheme="minorHAnsi" w:cs="Cambria"/>
            <w:sz w:val="18"/>
            <w:szCs w:val="18"/>
            <w:lang w:val="es-MX"/>
          </w:rPr>
          <w:t xml:space="preserve"> </w:t>
        </w:r>
      </w:hyperlink>
      <w:hyperlink r:id="rId273">
        <w:r w:rsidRPr="000D1DE6">
          <w:rPr>
            <w:rFonts w:asciiTheme="minorHAnsi" w:eastAsia="Cambria" w:hAnsiTheme="minorHAnsi" w:cs="Cambria"/>
            <w:color w:val="1155CC"/>
            <w:sz w:val="18"/>
            <w:szCs w:val="18"/>
            <w:u w:val="single"/>
            <w:lang w:val="es-MX"/>
          </w:rPr>
          <w:t>México libera a 682 presos por el decreto de AMLO</w:t>
        </w:r>
      </w:hyperlink>
      <w:r w:rsidRPr="000D1DE6">
        <w:rPr>
          <w:rFonts w:asciiTheme="minorHAnsi" w:eastAsia="Cambria" w:hAnsiTheme="minorHAnsi" w:cs="Cambria"/>
          <w:sz w:val="18"/>
          <w:szCs w:val="18"/>
          <w:lang w:val="es-MX"/>
        </w:rPr>
        <w:t xml:space="preserve">, 15 de septiembre de 2021. </w:t>
      </w:r>
    </w:p>
  </w:footnote>
  <w:footnote w:id="360">
    <w:p w14:paraId="4766AC23" w14:textId="71B7E05E" w:rsidR="000235D8" w:rsidRPr="000D1DE6" w:rsidRDefault="000235D8" w:rsidP="00F46807">
      <w:pPr>
        <w:pBdr>
          <w:top w:val="nil"/>
          <w:left w:val="nil"/>
          <w:bottom w:val="nil"/>
          <w:right w:val="nil"/>
          <w:between w:val="nil"/>
        </w:pBdr>
        <w:spacing w:after="120" w:line="240" w:lineRule="auto"/>
        <w:ind w:firstLine="720"/>
        <w:jc w:val="both"/>
        <w:rPr>
          <w:rFonts w:asciiTheme="minorHAnsi" w:eastAsia="Cambria" w:hAnsiTheme="minorHAnsi" w:cs="Cambria"/>
          <w:color w:val="000000"/>
          <w:sz w:val="18"/>
          <w:szCs w:val="18"/>
          <w:lang w:val="es-MX"/>
        </w:rPr>
      </w:pPr>
      <w:r w:rsidRPr="000D1DE6">
        <w:rPr>
          <w:rStyle w:val="FootnoteReference"/>
          <w:rFonts w:asciiTheme="minorHAnsi" w:hAnsiTheme="minorHAnsi"/>
          <w:sz w:val="18"/>
          <w:szCs w:val="18"/>
          <w:lang w:val="es-MX"/>
        </w:rPr>
        <w:footnoteRef/>
      </w:r>
      <w:r w:rsidRPr="000D1DE6">
        <w:rPr>
          <w:rFonts w:asciiTheme="minorHAnsi" w:eastAsia="Cambria" w:hAnsiTheme="minorHAnsi" w:cs="Cambria"/>
          <w:sz w:val="18"/>
          <w:szCs w:val="18"/>
          <w:lang w:val="es-MX"/>
        </w:rPr>
        <w:t xml:space="preserve"> </w:t>
      </w:r>
      <w:r w:rsidRPr="000D1DE6">
        <w:rPr>
          <w:rFonts w:asciiTheme="minorHAnsi" w:eastAsia="Cambria" w:hAnsiTheme="minorHAnsi" w:cs="Cambria"/>
          <w:color w:val="000000"/>
          <w:sz w:val="18"/>
          <w:szCs w:val="18"/>
          <w:lang w:val="es-MX"/>
        </w:rPr>
        <w:t xml:space="preserve">RT, </w:t>
      </w:r>
      <w:hyperlink r:id="rId274">
        <w:r w:rsidRPr="000D1DE6">
          <w:rPr>
            <w:rFonts w:asciiTheme="minorHAnsi" w:eastAsia="Cambria" w:hAnsiTheme="minorHAnsi" w:cs="Cambria"/>
            <w:color w:val="0000FF"/>
            <w:sz w:val="18"/>
            <w:szCs w:val="18"/>
            <w:u w:val="single"/>
            <w:lang w:val="es-MX"/>
          </w:rPr>
          <w:t>Torturados o sin condena firme: México libera a los primeros 682 presos por el decreto de López Obrador</w:t>
        </w:r>
      </w:hyperlink>
      <w:r w:rsidRPr="000D1DE6">
        <w:rPr>
          <w:rFonts w:asciiTheme="minorHAnsi" w:eastAsia="Cambria" w:hAnsiTheme="minorHAnsi" w:cs="Cambria"/>
          <w:color w:val="000000"/>
          <w:sz w:val="18"/>
          <w:szCs w:val="18"/>
          <w:lang w:val="es-MX"/>
        </w:rPr>
        <w:t>, 14 de septiembre de 2021</w:t>
      </w:r>
      <w:r w:rsidRPr="000D1DE6">
        <w:rPr>
          <w:rFonts w:asciiTheme="minorHAnsi" w:eastAsia="Cambria" w:hAnsiTheme="minorHAnsi" w:cs="Cambria"/>
          <w:sz w:val="18"/>
          <w:szCs w:val="18"/>
          <w:lang w:val="es-MX"/>
        </w:rPr>
        <w:t>; El Heraldo,</w:t>
      </w:r>
      <w:hyperlink r:id="rId275">
        <w:r w:rsidRPr="000D1DE6">
          <w:rPr>
            <w:rFonts w:asciiTheme="minorHAnsi" w:eastAsia="Cambria" w:hAnsiTheme="minorHAnsi" w:cs="Cambria"/>
            <w:sz w:val="18"/>
            <w:szCs w:val="18"/>
            <w:lang w:val="es-MX"/>
          </w:rPr>
          <w:t xml:space="preserve"> </w:t>
        </w:r>
      </w:hyperlink>
      <w:hyperlink r:id="rId276">
        <w:r w:rsidRPr="000D1DE6">
          <w:rPr>
            <w:rFonts w:asciiTheme="minorHAnsi" w:eastAsia="Cambria" w:hAnsiTheme="minorHAnsi" w:cs="Cambria"/>
            <w:color w:val="1155CC"/>
            <w:sz w:val="18"/>
            <w:szCs w:val="18"/>
            <w:u w:val="single"/>
            <w:lang w:val="es-MX"/>
          </w:rPr>
          <w:t>México libera los primeros 682 presos por el decreto de Andrés López</w:t>
        </w:r>
      </w:hyperlink>
      <w:r w:rsidRPr="000D1DE6">
        <w:rPr>
          <w:rFonts w:asciiTheme="minorHAnsi" w:eastAsia="Cambria" w:hAnsiTheme="minorHAnsi" w:cs="Cambria"/>
          <w:sz w:val="18"/>
          <w:szCs w:val="18"/>
          <w:lang w:val="es-MX"/>
        </w:rPr>
        <w:t>, 14 de septiembre de 2021; y El país,</w:t>
      </w:r>
      <w:hyperlink r:id="rId277">
        <w:r w:rsidRPr="000D1DE6">
          <w:rPr>
            <w:rFonts w:asciiTheme="minorHAnsi" w:eastAsia="Cambria" w:hAnsiTheme="minorHAnsi" w:cs="Cambria"/>
            <w:sz w:val="18"/>
            <w:szCs w:val="18"/>
            <w:lang w:val="es-MX"/>
          </w:rPr>
          <w:t xml:space="preserve"> </w:t>
        </w:r>
      </w:hyperlink>
      <w:hyperlink r:id="rId278">
        <w:r w:rsidRPr="000D1DE6">
          <w:rPr>
            <w:rFonts w:asciiTheme="minorHAnsi" w:eastAsia="Cambria" w:hAnsiTheme="minorHAnsi" w:cs="Cambria"/>
            <w:color w:val="1155CC"/>
            <w:sz w:val="18"/>
            <w:szCs w:val="18"/>
            <w:u w:val="single"/>
            <w:lang w:val="es-MX"/>
          </w:rPr>
          <w:t>México libera a 682 presos por el decreto de AMLO</w:t>
        </w:r>
      </w:hyperlink>
      <w:r w:rsidRPr="000D1DE6">
        <w:rPr>
          <w:rFonts w:asciiTheme="minorHAnsi" w:eastAsia="Cambria" w:hAnsiTheme="minorHAnsi" w:cs="Cambria"/>
          <w:sz w:val="18"/>
          <w:szCs w:val="18"/>
          <w:lang w:val="es-MX"/>
        </w:rPr>
        <w:t xml:space="preserve">, 15 de septiembre de 2021. </w:t>
      </w:r>
    </w:p>
  </w:footnote>
  <w:footnote w:id="361">
    <w:p w14:paraId="4E70F931" w14:textId="485725EF" w:rsidR="000235D8" w:rsidRPr="000D1DE6" w:rsidRDefault="000235D8" w:rsidP="00F46807">
      <w:pPr>
        <w:spacing w:after="120" w:line="240" w:lineRule="auto"/>
        <w:ind w:firstLine="720"/>
        <w:jc w:val="both"/>
        <w:rPr>
          <w:rFonts w:asciiTheme="minorHAnsi" w:eastAsia="Cambria" w:hAnsiTheme="minorHAnsi" w:cs="Cambria"/>
          <w:sz w:val="18"/>
          <w:szCs w:val="18"/>
          <w:lang w:val="es-MX"/>
        </w:rPr>
      </w:pPr>
      <w:r w:rsidRPr="000D1DE6">
        <w:rPr>
          <w:rStyle w:val="FootnoteReference"/>
          <w:rFonts w:asciiTheme="minorHAnsi" w:hAnsiTheme="minorHAnsi"/>
          <w:sz w:val="18"/>
          <w:szCs w:val="18"/>
          <w:lang w:val="es-MX"/>
        </w:rPr>
        <w:footnoteRef/>
      </w:r>
      <w:r w:rsidRPr="000D1DE6">
        <w:rPr>
          <w:rFonts w:asciiTheme="minorHAnsi" w:eastAsia="Cambria" w:hAnsiTheme="minorHAnsi" w:cs="Cambria"/>
          <w:sz w:val="18"/>
          <w:szCs w:val="18"/>
          <w:lang w:val="es-MX"/>
        </w:rPr>
        <w:t xml:space="preserve"> La CIDH obtuvo dichos números sumando los datos estadísticos reportados por el Estado en diversos informes. En este sentido, ver Secretaría de Seguridad y Protección Ciudadana, México, </w:t>
      </w:r>
      <w:hyperlink r:id="rId279">
        <w:r w:rsidRPr="000D1DE6">
          <w:rPr>
            <w:rFonts w:asciiTheme="minorHAnsi" w:eastAsia="Cambria" w:hAnsiTheme="minorHAnsi" w:cs="Cambria"/>
            <w:color w:val="0000FF"/>
            <w:sz w:val="18"/>
            <w:szCs w:val="18"/>
            <w:u w:val="single"/>
            <w:lang w:val="es-MX"/>
          </w:rPr>
          <w:t>Cuaderno mensual de información estadística penitenciaria nacional</w:t>
        </w:r>
      </w:hyperlink>
      <w:r w:rsidRPr="000D1DE6">
        <w:rPr>
          <w:rFonts w:asciiTheme="minorHAnsi" w:eastAsia="Cambria" w:hAnsiTheme="minorHAnsi" w:cs="Cambria"/>
          <w:sz w:val="18"/>
          <w:szCs w:val="18"/>
          <w:lang w:val="es-MX"/>
        </w:rPr>
        <w:t xml:space="preserve">, septiembre de 2021, pág. 49; </w:t>
      </w:r>
      <w:hyperlink r:id="rId280">
        <w:r w:rsidRPr="000D1DE6">
          <w:rPr>
            <w:rFonts w:asciiTheme="minorHAnsi" w:eastAsia="Cambria" w:hAnsiTheme="minorHAnsi" w:cs="Cambria"/>
            <w:color w:val="0000FF"/>
            <w:sz w:val="18"/>
            <w:szCs w:val="18"/>
            <w:u w:val="single"/>
            <w:lang w:val="es-MX"/>
          </w:rPr>
          <w:t>Cuaderno mensual de información estadística penitenciaria nacional</w:t>
        </w:r>
      </w:hyperlink>
      <w:r w:rsidRPr="000D1DE6">
        <w:rPr>
          <w:rFonts w:asciiTheme="minorHAnsi" w:eastAsia="Cambria" w:hAnsiTheme="minorHAnsi" w:cs="Cambria"/>
          <w:sz w:val="18"/>
          <w:szCs w:val="18"/>
          <w:lang w:val="es-MX"/>
        </w:rPr>
        <w:t xml:space="preserve">, agosto de 2021, pág. 48; </w:t>
      </w:r>
      <w:hyperlink r:id="rId281">
        <w:r w:rsidRPr="000D1DE6">
          <w:rPr>
            <w:rFonts w:asciiTheme="minorHAnsi" w:eastAsia="Cambria" w:hAnsiTheme="minorHAnsi" w:cs="Cambria"/>
            <w:color w:val="0000FF"/>
            <w:sz w:val="18"/>
            <w:szCs w:val="18"/>
            <w:u w:val="single"/>
            <w:lang w:val="es-MX"/>
          </w:rPr>
          <w:t>Cuaderno mensual de información estadística penitenciaria nacional</w:t>
        </w:r>
      </w:hyperlink>
      <w:r w:rsidRPr="000D1DE6">
        <w:rPr>
          <w:rFonts w:asciiTheme="minorHAnsi" w:eastAsia="Cambria" w:hAnsiTheme="minorHAnsi" w:cs="Cambria"/>
          <w:sz w:val="18"/>
          <w:szCs w:val="18"/>
          <w:lang w:val="es-MX"/>
        </w:rPr>
        <w:t xml:space="preserve">, julio de 2021, pág. 47; </w:t>
      </w:r>
      <w:hyperlink r:id="rId282">
        <w:r w:rsidRPr="000D1DE6">
          <w:rPr>
            <w:rFonts w:asciiTheme="minorHAnsi" w:eastAsia="Cambria" w:hAnsiTheme="minorHAnsi" w:cs="Cambria"/>
            <w:color w:val="0000FF"/>
            <w:sz w:val="18"/>
            <w:szCs w:val="18"/>
            <w:u w:val="single"/>
            <w:lang w:val="es-MX"/>
          </w:rPr>
          <w:t>Cuaderno mensual de información estadística penitenciaria nacional</w:t>
        </w:r>
      </w:hyperlink>
      <w:r w:rsidRPr="000D1DE6">
        <w:rPr>
          <w:rFonts w:asciiTheme="minorHAnsi" w:eastAsia="Cambria" w:hAnsiTheme="minorHAnsi" w:cs="Cambria"/>
          <w:sz w:val="18"/>
          <w:szCs w:val="18"/>
          <w:lang w:val="es-MX"/>
        </w:rPr>
        <w:t xml:space="preserve">, junio de 2021, pág. 44; </w:t>
      </w:r>
      <w:hyperlink r:id="rId283">
        <w:r w:rsidRPr="000D1DE6">
          <w:rPr>
            <w:rFonts w:asciiTheme="minorHAnsi" w:eastAsia="Cambria" w:hAnsiTheme="minorHAnsi" w:cs="Cambria"/>
            <w:color w:val="0000FF"/>
            <w:sz w:val="18"/>
            <w:szCs w:val="18"/>
            <w:u w:val="single"/>
            <w:lang w:val="es-MX"/>
          </w:rPr>
          <w:t>Cuaderno mensual de información estadística penitenciaria nacional</w:t>
        </w:r>
      </w:hyperlink>
      <w:r w:rsidRPr="000D1DE6">
        <w:rPr>
          <w:rFonts w:asciiTheme="minorHAnsi" w:eastAsia="Cambria" w:hAnsiTheme="minorHAnsi" w:cs="Cambria"/>
          <w:sz w:val="18"/>
          <w:szCs w:val="18"/>
          <w:lang w:val="es-MX"/>
        </w:rPr>
        <w:t xml:space="preserve">, mayo de 2021, pág. 45; </w:t>
      </w:r>
      <w:hyperlink r:id="rId284">
        <w:r w:rsidRPr="000D1DE6">
          <w:rPr>
            <w:rFonts w:asciiTheme="minorHAnsi" w:eastAsia="Cambria" w:hAnsiTheme="minorHAnsi" w:cs="Cambria"/>
            <w:color w:val="0000FF"/>
            <w:sz w:val="18"/>
            <w:szCs w:val="18"/>
            <w:u w:val="single"/>
            <w:lang w:val="es-MX"/>
          </w:rPr>
          <w:t>Cuaderno mensual de información estadística penitenciaria nacional</w:t>
        </w:r>
      </w:hyperlink>
      <w:r w:rsidRPr="000D1DE6">
        <w:rPr>
          <w:rFonts w:asciiTheme="minorHAnsi" w:eastAsia="Cambria" w:hAnsiTheme="minorHAnsi" w:cs="Cambria"/>
          <w:sz w:val="18"/>
          <w:szCs w:val="18"/>
          <w:lang w:val="es-MX"/>
        </w:rPr>
        <w:t xml:space="preserve">, abril de 2021, pág. 45; </w:t>
      </w:r>
      <w:hyperlink r:id="rId285">
        <w:r w:rsidRPr="000D1DE6">
          <w:rPr>
            <w:rFonts w:asciiTheme="minorHAnsi" w:eastAsia="Cambria" w:hAnsiTheme="minorHAnsi" w:cs="Cambria"/>
            <w:color w:val="0000FF"/>
            <w:sz w:val="18"/>
            <w:szCs w:val="18"/>
            <w:u w:val="single"/>
            <w:lang w:val="es-MX"/>
          </w:rPr>
          <w:t>Cuaderno mensual de información estadística penitenciaria nacional</w:t>
        </w:r>
      </w:hyperlink>
      <w:r w:rsidRPr="000D1DE6">
        <w:rPr>
          <w:rFonts w:asciiTheme="minorHAnsi" w:eastAsia="Cambria" w:hAnsiTheme="minorHAnsi" w:cs="Cambria"/>
          <w:sz w:val="18"/>
          <w:szCs w:val="18"/>
          <w:lang w:val="es-MX"/>
        </w:rPr>
        <w:t>, marzo de 2021, pág. 45;</w:t>
      </w:r>
      <w:hyperlink r:id="rId286">
        <w:r w:rsidRPr="000D1DE6">
          <w:rPr>
            <w:rFonts w:asciiTheme="minorHAnsi" w:eastAsia="Cambria" w:hAnsiTheme="minorHAnsi" w:cs="Cambria"/>
            <w:color w:val="0000FF"/>
            <w:sz w:val="18"/>
            <w:szCs w:val="18"/>
            <w:u w:val="single"/>
            <w:lang w:val="es-MX"/>
          </w:rPr>
          <w:t>Cuaderno mensual de información estadística penitenciaria nacional</w:t>
        </w:r>
      </w:hyperlink>
      <w:r w:rsidRPr="000D1DE6">
        <w:rPr>
          <w:rFonts w:asciiTheme="minorHAnsi" w:eastAsia="Cambria" w:hAnsiTheme="minorHAnsi" w:cs="Cambria"/>
          <w:sz w:val="18"/>
          <w:szCs w:val="18"/>
          <w:lang w:val="es-MX"/>
        </w:rPr>
        <w:t xml:space="preserve">, febrero de 2021, pág. 43; y </w:t>
      </w:r>
      <w:hyperlink r:id="rId287">
        <w:r w:rsidRPr="000D1DE6">
          <w:rPr>
            <w:rFonts w:asciiTheme="minorHAnsi" w:eastAsia="Cambria" w:hAnsiTheme="minorHAnsi" w:cs="Cambria"/>
            <w:color w:val="0000FF"/>
            <w:sz w:val="18"/>
            <w:szCs w:val="18"/>
            <w:u w:val="single"/>
            <w:lang w:val="es-MX"/>
          </w:rPr>
          <w:t>Cuaderno mensual de información estadística penitenciaria nacional</w:t>
        </w:r>
      </w:hyperlink>
      <w:r w:rsidRPr="000D1DE6">
        <w:rPr>
          <w:rFonts w:asciiTheme="minorHAnsi" w:eastAsia="Cambria" w:hAnsiTheme="minorHAnsi" w:cs="Cambria"/>
          <w:sz w:val="18"/>
          <w:szCs w:val="18"/>
          <w:lang w:val="es-MX"/>
        </w:rPr>
        <w:t>, enero de 2021, pág. 46.</w:t>
      </w:r>
    </w:p>
  </w:footnote>
  <w:footnote w:id="362">
    <w:p w14:paraId="37636694" w14:textId="258CEBFF" w:rsidR="000235D8" w:rsidRPr="000D1DE6" w:rsidRDefault="000235D8" w:rsidP="00F46807">
      <w:pPr>
        <w:spacing w:after="120" w:line="240" w:lineRule="auto"/>
        <w:ind w:firstLine="720"/>
        <w:jc w:val="both"/>
        <w:rPr>
          <w:rFonts w:asciiTheme="minorHAnsi" w:eastAsia="Cambria" w:hAnsiTheme="minorHAnsi" w:cs="Cambria"/>
          <w:sz w:val="18"/>
          <w:szCs w:val="18"/>
          <w:lang w:val="es-MX"/>
        </w:rPr>
      </w:pPr>
      <w:r w:rsidRPr="000D1DE6">
        <w:rPr>
          <w:rStyle w:val="FootnoteReference"/>
          <w:rFonts w:asciiTheme="minorHAnsi" w:hAnsiTheme="minorHAnsi"/>
          <w:sz w:val="18"/>
          <w:szCs w:val="18"/>
          <w:lang w:val="es-MX"/>
        </w:rPr>
        <w:footnoteRef/>
      </w:r>
      <w:r w:rsidRPr="000D1DE6">
        <w:rPr>
          <w:rFonts w:asciiTheme="minorHAnsi" w:eastAsia="Cambria" w:hAnsiTheme="minorHAnsi" w:cs="Cambria"/>
          <w:sz w:val="18"/>
          <w:szCs w:val="18"/>
          <w:lang w:val="es-MX"/>
        </w:rPr>
        <w:t xml:space="preserve"> Comisión de Amnistía, México, </w:t>
      </w:r>
      <w:hyperlink r:id="rId288">
        <w:r w:rsidRPr="000D1DE6">
          <w:rPr>
            <w:rFonts w:asciiTheme="minorHAnsi" w:eastAsia="Cambria" w:hAnsiTheme="minorHAnsi" w:cs="Cambria"/>
            <w:color w:val="0000FF"/>
            <w:sz w:val="18"/>
            <w:szCs w:val="18"/>
            <w:u w:val="single"/>
            <w:lang w:val="es-MX"/>
          </w:rPr>
          <w:t>Informe anual de las solicitudes de amnistía</w:t>
        </w:r>
      </w:hyperlink>
      <w:r w:rsidRPr="000D1DE6">
        <w:rPr>
          <w:rFonts w:asciiTheme="minorHAnsi" w:eastAsia="Cambria" w:hAnsiTheme="minorHAnsi" w:cs="Cambria"/>
          <w:sz w:val="18"/>
          <w:szCs w:val="18"/>
          <w:lang w:val="es-MX"/>
        </w:rPr>
        <w:t>, 10 de agosto de 2021, pág. 1.</w:t>
      </w:r>
    </w:p>
  </w:footnote>
  <w:footnote w:id="363">
    <w:p w14:paraId="202750AD" w14:textId="6167554D" w:rsidR="000235D8" w:rsidRPr="000D1DE6" w:rsidRDefault="000235D8" w:rsidP="00F46807">
      <w:pPr>
        <w:spacing w:after="120" w:line="240" w:lineRule="auto"/>
        <w:ind w:firstLine="720"/>
        <w:jc w:val="both"/>
        <w:rPr>
          <w:rFonts w:asciiTheme="minorHAnsi" w:eastAsia="Cambria" w:hAnsiTheme="minorHAnsi" w:cs="Cambria"/>
          <w:sz w:val="18"/>
          <w:szCs w:val="18"/>
          <w:lang w:val="es-MX"/>
        </w:rPr>
      </w:pPr>
      <w:r w:rsidRPr="000D1DE6">
        <w:rPr>
          <w:rStyle w:val="FootnoteReference"/>
          <w:rFonts w:asciiTheme="minorHAnsi" w:hAnsiTheme="minorHAnsi"/>
          <w:sz w:val="18"/>
          <w:szCs w:val="18"/>
          <w:lang w:val="es-MX"/>
        </w:rPr>
        <w:footnoteRef/>
      </w:r>
      <w:r w:rsidRPr="000D1DE6">
        <w:rPr>
          <w:rFonts w:asciiTheme="minorHAnsi" w:eastAsia="Cambria" w:hAnsiTheme="minorHAnsi" w:cs="Cambria"/>
          <w:sz w:val="18"/>
          <w:szCs w:val="18"/>
          <w:lang w:val="es-MX"/>
        </w:rPr>
        <w:t xml:space="preserve"> Comisión de Amnistía, México, </w:t>
      </w:r>
      <w:hyperlink r:id="rId289">
        <w:r w:rsidRPr="000D1DE6">
          <w:rPr>
            <w:rFonts w:asciiTheme="minorHAnsi" w:eastAsia="Cambria" w:hAnsiTheme="minorHAnsi" w:cs="Cambria"/>
            <w:color w:val="0000FF"/>
            <w:sz w:val="18"/>
            <w:szCs w:val="18"/>
            <w:u w:val="single"/>
            <w:lang w:val="es-MX"/>
          </w:rPr>
          <w:t>Informe anual de las solicitudes de amnistía</w:t>
        </w:r>
      </w:hyperlink>
      <w:r w:rsidRPr="000D1DE6">
        <w:rPr>
          <w:rFonts w:asciiTheme="minorHAnsi" w:eastAsia="Cambria" w:hAnsiTheme="minorHAnsi" w:cs="Cambria"/>
          <w:sz w:val="18"/>
          <w:szCs w:val="18"/>
          <w:lang w:val="es-MX"/>
        </w:rPr>
        <w:t>, 10 de agosto de 2021, págs. 1-2.</w:t>
      </w:r>
    </w:p>
  </w:footnote>
  <w:footnote w:id="364">
    <w:p w14:paraId="2C7E0768" w14:textId="6345783F" w:rsidR="000235D8" w:rsidRPr="000D1DE6" w:rsidRDefault="000235D8" w:rsidP="00F46807">
      <w:pPr>
        <w:pBdr>
          <w:top w:val="nil"/>
          <w:left w:val="nil"/>
          <w:bottom w:val="nil"/>
          <w:right w:val="nil"/>
          <w:between w:val="nil"/>
        </w:pBdr>
        <w:spacing w:after="120" w:line="240" w:lineRule="auto"/>
        <w:ind w:firstLine="720"/>
        <w:jc w:val="both"/>
        <w:rPr>
          <w:rFonts w:asciiTheme="minorHAnsi" w:eastAsia="Cambria" w:hAnsiTheme="minorHAnsi" w:cs="Cambria"/>
          <w:color w:val="000000"/>
          <w:sz w:val="18"/>
          <w:szCs w:val="18"/>
          <w:lang w:val="es-MX"/>
        </w:rPr>
      </w:pPr>
      <w:r w:rsidRPr="000D1DE6">
        <w:rPr>
          <w:rStyle w:val="FootnoteReference"/>
          <w:rFonts w:asciiTheme="minorHAnsi" w:hAnsiTheme="minorHAnsi"/>
          <w:sz w:val="18"/>
          <w:szCs w:val="18"/>
          <w:lang w:val="es-MX"/>
        </w:rPr>
        <w:footnoteRef/>
      </w:r>
      <w:r w:rsidRPr="000D1DE6">
        <w:rPr>
          <w:rFonts w:asciiTheme="minorHAnsi" w:eastAsia="Cambria" w:hAnsiTheme="minorHAnsi" w:cs="Cambria"/>
          <w:color w:val="000000"/>
          <w:sz w:val="18"/>
          <w:szCs w:val="18"/>
          <w:lang w:val="es-MX"/>
        </w:rPr>
        <w:t xml:space="preserve"> En este sentido, EQUIS – Justicia para mujeres, Amnistía, ¿ya?, 8 de septiembre de 2021, Archivo de la CIDH, págs. 16-24. </w:t>
      </w:r>
    </w:p>
  </w:footnote>
  <w:footnote w:id="365">
    <w:p w14:paraId="79EEF12D" w14:textId="57930664" w:rsidR="000235D8" w:rsidRPr="000D1DE6" w:rsidRDefault="000235D8" w:rsidP="00F46807">
      <w:pPr>
        <w:pBdr>
          <w:top w:val="nil"/>
          <w:left w:val="nil"/>
          <w:bottom w:val="nil"/>
          <w:right w:val="nil"/>
          <w:between w:val="nil"/>
        </w:pBdr>
        <w:spacing w:after="120" w:line="240" w:lineRule="auto"/>
        <w:ind w:firstLine="720"/>
        <w:jc w:val="both"/>
        <w:rPr>
          <w:rFonts w:asciiTheme="minorHAnsi" w:eastAsia="Cambria" w:hAnsiTheme="minorHAnsi" w:cs="Cambria"/>
          <w:color w:val="000000"/>
          <w:sz w:val="18"/>
          <w:szCs w:val="18"/>
          <w:lang w:val="es-MX"/>
        </w:rPr>
      </w:pPr>
      <w:r w:rsidRPr="000D1DE6">
        <w:rPr>
          <w:rStyle w:val="FootnoteReference"/>
          <w:rFonts w:asciiTheme="minorHAnsi" w:hAnsiTheme="minorHAnsi"/>
          <w:sz w:val="18"/>
          <w:szCs w:val="18"/>
          <w:lang w:val="es-MX"/>
        </w:rPr>
        <w:footnoteRef/>
      </w:r>
      <w:r w:rsidRPr="000D1DE6">
        <w:rPr>
          <w:rFonts w:asciiTheme="minorHAnsi" w:eastAsia="Cambria" w:hAnsiTheme="minorHAnsi" w:cs="Cambria"/>
          <w:color w:val="000000"/>
          <w:sz w:val="18"/>
          <w:szCs w:val="18"/>
          <w:lang w:val="es-MX"/>
        </w:rPr>
        <w:t xml:space="preserve"> EQUIS – Justicia para mujeres, Amnistía, ¿ya?, 8 de septiembre de 2021, Archivo de la CIDH, pág. 1</w:t>
      </w:r>
      <w:r w:rsidRPr="000D1DE6">
        <w:rPr>
          <w:rFonts w:asciiTheme="minorHAnsi" w:eastAsia="Cambria" w:hAnsiTheme="minorHAnsi" w:cs="Cambria"/>
          <w:sz w:val="18"/>
          <w:szCs w:val="18"/>
          <w:lang w:val="es-MX"/>
        </w:rPr>
        <w:t>7</w:t>
      </w:r>
      <w:r w:rsidRPr="000D1DE6">
        <w:rPr>
          <w:rFonts w:asciiTheme="minorHAnsi" w:eastAsia="Cambria" w:hAnsiTheme="minorHAnsi" w:cs="Cambria"/>
          <w:color w:val="000000"/>
          <w:sz w:val="18"/>
          <w:szCs w:val="18"/>
          <w:lang w:val="es-MX"/>
        </w:rPr>
        <w:t>.</w:t>
      </w:r>
    </w:p>
  </w:footnote>
  <w:footnote w:id="366">
    <w:p w14:paraId="5277987D" w14:textId="27CA6A7F" w:rsidR="000235D8" w:rsidRPr="000D1DE6" w:rsidRDefault="000235D8" w:rsidP="00F46807">
      <w:pPr>
        <w:pBdr>
          <w:top w:val="nil"/>
          <w:left w:val="nil"/>
          <w:bottom w:val="nil"/>
          <w:right w:val="nil"/>
          <w:between w:val="nil"/>
        </w:pBdr>
        <w:spacing w:after="120" w:line="240" w:lineRule="auto"/>
        <w:ind w:firstLine="720"/>
        <w:jc w:val="both"/>
        <w:rPr>
          <w:rFonts w:asciiTheme="minorHAnsi" w:eastAsia="Cambria" w:hAnsiTheme="minorHAnsi" w:cs="Cambria"/>
          <w:color w:val="000000"/>
          <w:sz w:val="18"/>
          <w:szCs w:val="18"/>
          <w:lang w:val="es-MX"/>
        </w:rPr>
      </w:pPr>
      <w:r w:rsidRPr="000D1DE6">
        <w:rPr>
          <w:rStyle w:val="FootnoteReference"/>
          <w:rFonts w:asciiTheme="minorHAnsi" w:hAnsiTheme="minorHAnsi"/>
          <w:sz w:val="18"/>
          <w:szCs w:val="18"/>
          <w:lang w:val="es-MX"/>
        </w:rPr>
        <w:footnoteRef/>
      </w:r>
      <w:r w:rsidRPr="000D1DE6">
        <w:rPr>
          <w:rFonts w:asciiTheme="minorHAnsi" w:eastAsia="Cambria" w:hAnsiTheme="minorHAnsi" w:cs="Cambria"/>
          <w:color w:val="000000"/>
          <w:sz w:val="18"/>
          <w:szCs w:val="18"/>
          <w:lang w:val="pt-BR"/>
        </w:rPr>
        <w:t xml:space="preserve"> CIDH, </w:t>
      </w:r>
      <w:hyperlink r:id="rId290" w:history="1">
        <w:r w:rsidRPr="000D1DE6">
          <w:rPr>
            <w:rStyle w:val="Hyperlink"/>
            <w:rFonts w:asciiTheme="minorHAnsi" w:eastAsia="Cambria" w:hAnsiTheme="minorHAnsi" w:cs="Cambria"/>
            <w:sz w:val="18"/>
            <w:szCs w:val="18"/>
            <w:lang w:val="pt-BR"/>
          </w:rPr>
          <w:t>Informe Anual, Capítulo V. México</w:t>
        </w:r>
      </w:hyperlink>
      <w:r w:rsidRPr="000D1DE6">
        <w:rPr>
          <w:rFonts w:asciiTheme="minorHAnsi" w:eastAsia="Cambria" w:hAnsiTheme="minorHAnsi" w:cs="Cambria"/>
          <w:color w:val="000000"/>
          <w:sz w:val="18"/>
          <w:szCs w:val="18"/>
          <w:lang w:val="pt-BR"/>
        </w:rPr>
        <w:t xml:space="preserve">, 2020 párr. </w:t>
      </w:r>
      <w:r w:rsidRPr="000D1DE6">
        <w:rPr>
          <w:rFonts w:asciiTheme="minorHAnsi" w:eastAsia="Cambria" w:hAnsiTheme="minorHAnsi" w:cs="Cambria"/>
          <w:color w:val="000000"/>
          <w:sz w:val="18"/>
          <w:szCs w:val="18"/>
          <w:lang w:val="es-MX"/>
        </w:rPr>
        <w:t>276.</w:t>
      </w:r>
    </w:p>
  </w:footnote>
  <w:footnote w:id="367">
    <w:p w14:paraId="1B7AE304" w14:textId="01B70971" w:rsidR="000235D8" w:rsidRPr="000D1DE6" w:rsidRDefault="000235D8" w:rsidP="00F46807">
      <w:pPr>
        <w:pBdr>
          <w:top w:val="nil"/>
          <w:left w:val="nil"/>
          <w:bottom w:val="nil"/>
          <w:right w:val="nil"/>
          <w:between w:val="nil"/>
        </w:pBdr>
        <w:spacing w:after="120" w:line="240" w:lineRule="auto"/>
        <w:ind w:firstLine="720"/>
        <w:jc w:val="both"/>
        <w:rPr>
          <w:rFonts w:asciiTheme="minorHAnsi" w:eastAsia="Cambria" w:hAnsiTheme="minorHAnsi" w:cs="Cambria"/>
          <w:color w:val="000000"/>
          <w:sz w:val="18"/>
          <w:szCs w:val="18"/>
          <w:lang w:val="es-MX"/>
        </w:rPr>
      </w:pPr>
      <w:r w:rsidRPr="000D1DE6">
        <w:rPr>
          <w:rStyle w:val="FootnoteReference"/>
          <w:rFonts w:asciiTheme="minorHAnsi" w:hAnsiTheme="minorHAnsi"/>
          <w:sz w:val="18"/>
          <w:szCs w:val="18"/>
          <w:lang w:val="es-MX"/>
        </w:rPr>
        <w:footnoteRef/>
      </w:r>
      <w:r w:rsidRPr="000D1DE6">
        <w:rPr>
          <w:rFonts w:asciiTheme="minorHAnsi" w:eastAsia="Cambria" w:hAnsiTheme="minorHAnsi" w:cs="Cambria"/>
          <w:sz w:val="18"/>
          <w:szCs w:val="18"/>
          <w:lang w:val="es-MX"/>
        </w:rPr>
        <w:t xml:space="preserve"> </w:t>
      </w:r>
      <w:r w:rsidRPr="000D1DE6">
        <w:rPr>
          <w:rFonts w:asciiTheme="minorHAnsi" w:eastAsia="Cambria" w:hAnsiTheme="minorHAnsi" w:cs="Cambria"/>
          <w:color w:val="000000"/>
          <w:sz w:val="18"/>
          <w:szCs w:val="18"/>
          <w:lang w:val="es-MX"/>
        </w:rPr>
        <w:t>Noveno Informe del Estado mexicano sobre el cumplimiento y seguimiento de las recomendaciones contenidas en el informe “Situación de los Derechos Humanos en México”, pág. 79.</w:t>
      </w:r>
    </w:p>
  </w:footnote>
  <w:footnote w:id="368">
    <w:p w14:paraId="391FF49B" w14:textId="27BA4E07" w:rsidR="000235D8" w:rsidRPr="000D1DE6" w:rsidRDefault="000235D8" w:rsidP="00F46807">
      <w:pPr>
        <w:pBdr>
          <w:top w:val="nil"/>
          <w:left w:val="nil"/>
          <w:bottom w:val="nil"/>
          <w:right w:val="nil"/>
          <w:between w:val="nil"/>
        </w:pBdr>
        <w:spacing w:after="120" w:line="240" w:lineRule="auto"/>
        <w:ind w:firstLine="720"/>
        <w:jc w:val="both"/>
        <w:rPr>
          <w:rFonts w:asciiTheme="minorHAnsi" w:eastAsia="Cambria" w:hAnsiTheme="minorHAnsi" w:cs="Cambria"/>
          <w:color w:val="000000"/>
          <w:sz w:val="18"/>
          <w:szCs w:val="18"/>
          <w:lang w:val="es-MX"/>
        </w:rPr>
      </w:pPr>
      <w:r w:rsidRPr="000D1DE6">
        <w:rPr>
          <w:rStyle w:val="FootnoteReference"/>
          <w:rFonts w:asciiTheme="minorHAnsi" w:hAnsiTheme="minorHAnsi"/>
          <w:sz w:val="18"/>
          <w:szCs w:val="18"/>
          <w:lang w:val="es-MX"/>
        </w:rPr>
        <w:footnoteRef/>
      </w:r>
      <w:r w:rsidRPr="000D1DE6">
        <w:rPr>
          <w:rFonts w:asciiTheme="minorHAnsi" w:eastAsia="Cambria" w:hAnsiTheme="minorHAnsi" w:cs="Cambria"/>
          <w:color w:val="000000"/>
          <w:sz w:val="18"/>
          <w:szCs w:val="18"/>
          <w:lang w:val="es-MX"/>
        </w:rPr>
        <w:t xml:space="preserve"> Noveno Informe del Estado mexicano sobre el cumplimiento y seguimiento de las recomendaciones contenidas en el informe “Situación de los Derechos Humanos en México”, pág. 80.</w:t>
      </w:r>
    </w:p>
  </w:footnote>
  <w:footnote w:id="369">
    <w:p w14:paraId="19F7C15E" w14:textId="6D1D02F3" w:rsidR="000235D8" w:rsidRPr="000D1DE6" w:rsidRDefault="000235D8" w:rsidP="00F46807">
      <w:pPr>
        <w:pBdr>
          <w:top w:val="nil"/>
          <w:left w:val="nil"/>
          <w:bottom w:val="nil"/>
          <w:right w:val="nil"/>
          <w:between w:val="nil"/>
        </w:pBdr>
        <w:spacing w:after="120" w:line="240" w:lineRule="auto"/>
        <w:ind w:firstLine="720"/>
        <w:jc w:val="both"/>
        <w:rPr>
          <w:rFonts w:asciiTheme="minorHAnsi" w:eastAsia="Cambria" w:hAnsiTheme="minorHAnsi" w:cs="Cambria"/>
          <w:color w:val="000000"/>
          <w:sz w:val="18"/>
          <w:szCs w:val="18"/>
          <w:lang w:val="es-MX"/>
        </w:rPr>
      </w:pPr>
      <w:r w:rsidRPr="000D1DE6">
        <w:rPr>
          <w:rStyle w:val="FootnoteReference"/>
          <w:rFonts w:asciiTheme="minorHAnsi" w:hAnsiTheme="minorHAnsi"/>
          <w:sz w:val="18"/>
          <w:szCs w:val="18"/>
          <w:lang w:val="es-MX"/>
        </w:rPr>
        <w:footnoteRef/>
      </w:r>
      <w:r w:rsidRPr="000D1DE6">
        <w:rPr>
          <w:rFonts w:asciiTheme="minorHAnsi" w:eastAsia="Cambria" w:hAnsiTheme="minorHAnsi" w:cs="Cambria"/>
          <w:color w:val="000000"/>
          <w:sz w:val="18"/>
          <w:szCs w:val="18"/>
          <w:lang w:val="es-MX"/>
        </w:rPr>
        <w:t xml:space="preserve"> Noveno Informe del Estado mexicano sobre el cumplimiento y seguimiento de las recomendaciones contenidas en el informe “Situación de los Derechos Humanos en México”, pág. 80; Secretaría de Relaciones Exteriores, México, Respuesta del Estado mexicano a la solicitud de información de la Comisión Interamericana de Derechos Humanos a la luz del artículo 41º de la Convención Americana de Derechos Humanos relativa a las denuncias por rechazos de personas en situación de movilidad en puntos de internación terrestres y aéreos en México, 30 de agosto de 2021, pág. 23.</w:t>
      </w:r>
    </w:p>
  </w:footnote>
  <w:footnote w:id="370">
    <w:p w14:paraId="50C1EB92" w14:textId="77777777" w:rsidR="000235D8" w:rsidRPr="000D1DE6" w:rsidRDefault="000235D8" w:rsidP="00F46807">
      <w:pPr>
        <w:spacing w:after="120" w:line="240" w:lineRule="auto"/>
        <w:ind w:firstLine="720"/>
        <w:jc w:val="both"/>
        <w:rPr>
          <w:rFonts w:asciiTheme="minorHAnsi" w:hAnsiTheme="minorHAnsi"/>
          <w:sz w:val="18"/>
          <w:szCs w:val="18"/>
          <w:lang w:val="es-MX"/>
        </w:rPr>
      </w:pPr>
      <w:r w:rsidRPr="000D1DE6">
        <w:rPr>
          <w:rStyle w:val="FootnoteReference"/>
          <w:rFonts w:asciiTheme="minorHAnsi" w:hAnsiTheme="minorHAnsi"/>
          <w:sz w:val="18"/>
          <w:szCs w:val="18"/>
          <w:lang w:val="es-MX"/>
        </w:rPr>
        <w:footnoteRef/>
      </w:r>
      <w:r w:rsidRPr="000D1DE6">
        <w:rPr>
          <w:rFonts w:asciiTheme="minorHAnsi" w:hAnsiTheme="minorHAnsi"/>
          <w:sz w:val="18"/>
          <w:szCs w:val="18"/>
          <w:lang w:val="es-MX"/>
        </w:rPr>
        <w:t xml:space="preserve"> </w:t>
      </w:r>
      <w:r w:rsidRPr="000D1DE6">
        <w:rPr>
          <w:rFonts w:asciiTheme="minorHAnsi" w:eastAsia="Cambria" w:hAnsiTheme="minorHAnsi" w:cs="Cambria"/>
          <w:sz w:val="18"/>
          <w:szCs w:val="18"/>
          <w:lang w:val="es-MX"/>
        </w:rPr>
        <w:t xml:space="preserve">CIDH, </w:t>
      </w:r>
      <w:hyperlink r:id="rId291">
        <w:r w:rsidRPr="000D1DE6">
          <w:rPr>
            <w:rFonts w:asciiTheme="minorHAnsi" w:eastAsia="Cambria" w:hAnsiTheme="minorHAnsi" w:cs="Cambria"/>
            <w:color w:val="0563C1"/>
            <w:sz w:val="18"/>
            <w:szCs w:val="18"/>
            <w:u w:val="single"/>
            <w:lang w:val="es-MX"/>
          </w:rPr>
          <w:t>Derechos humanos de los migrantes y otras personas en el contexto de la movilidad humana en México</w:t>
        </w:r>
      </w:hyperlink>
      <w:r w:rsidRPr="000D1DE6">
        <w:rPr>
          <w:rFonts w:asciiTheme="minorHAnsi" w:eastAsia="Cambria" w:hAnsiTheme="minorHAnsi" w:cs="Cambria"/>
          <w:sz w:val="18"/>
          <w:szCs w:val="18"/>
          <w:lang w:val="es-MX"/>
        </w:rPr>
        <w:t>, OEA/Ser.L/V/II., Doc. 48/13, 30 de diciembre 2013, párr. 577.6.</w:t>
      </w:r>
    </w:p>
  </w:footnote>
  <w:footnote w:id="371">
    <w:p w14:paraId="3A771143" w14:textId="444444EC" w:rsidR="000235D8" w:rsidRPr="000D1DE6" w:rsidRDefault="000235D8" w:rsidP="00F46807">
      <w:pPr>
        <w:spacing w:after="120" w:line="240" w:lineRule="auto"/>
        <w:ind w:firstLine="720"/>
        <w:jc w:val="both"/>
        <w:rPr>
          <w:rFonts w:asciiTheme="minorHAnsi" w:eastAsia="Cambria" w:hAnsiTheme="minorHAnsi" w:cs="Cambria"/>
          <w:sz w:val="18"/>
          <w:szCs w:val="18"/>
          <w:lang w:val="es-MX"/>
        </w:rPr>
      </w:pPr>
      <w:r w:rsidRPr="000D1DE6">
        <w:rPr>
          <w:rStyle w:val="FootnoteReference"/>
          <w:rFonts w:asciiTheme="minorHAnsi" w:hAnsiTheme="minorHAnsi"/>
          <w:sz w:val="18"/>
          <w:szCs w:val="18"/>
          <w:lang w:val="es-MX"/>
        </w:rPr>
        <w:footnoteRef/>
      </w:r>
      <w:r w:rsidRPr="000D1DE6">
        <w:rPr>
          <w:rFonts w:asciiTheme="minorHAnsi" w:eastAsia="Cambria" w:hAnsiTheme="minorHAnsi" w:cs="Cambria"/>
          <w:sz w:val="18"/>
          <w:szCs w:val="18"/>
          <w:lang w:val="es-MX"/>
        </w:rPr>
        <w:t xml:space="preserve"> Secretaría de Relaciones Exteriores, México, Respuesta del Estado mexicano a la solicitud de información de la Comisión Interamericana de Derechos Humanos a la luz del artículo 41º de la Convención Americana de Derechos Humanos sobre la protección de las personas migrantes, solicitantes de refugio, refugiadas, con necesidades de protección complementaria y retornadas en México, pág. 15.</w:t>
      </w:r>
    </w:p>
  </w:footnote>
  <w:footnote w:id="372">
    <w:p w14:paraId="04DE0D49" w14:textId="77777777" w:rsidR="000235D8" w:rsidRPr="000D1DE6" w:rsidRDefault="000235D8" w:rsidP="00F46807">
      <w:pPr>
        <w:pBdr>
          <w:top w:val="nil"/>
          <w:left w:val="nil"/>
          <w:bottom w:val="nil"/>
          <w:right w:val="nil"/>
          <w:between w:val="nil"/>
        </w:pBdr>
        <w:spacing w:after="120" w:line="240" w:lineRule="auto"/>
        <w:ind w:firstLine="720"/>
        <w:jc w:val="both"/>
        <w:rPr>
          <w:rFonts w:asciiTheme="minorHAnsi" w:eastAsia="Cambria" w:hAnsiTheme="minorHAnsi" w:cs="Cambria"/>
          <w:color w:val="000000"/>
          <w:sz w:val="18"/>
          <w:szCs w:val="18"/>
          <w:lang w:val="es-MX"/>
        </w:rPr>
      </w:pPr>
      <w:r w:rsidRPr="000D1DE6">
        <w:rPr>
          <w:rStyle w:val="FootnoteReference"/>
          <w:rFonts w:asciiTheme="minorHAnsi" w:hAnsiTheme="minorHAnsi"/>
          <w:sz w:val="18"/>
          <w:szCs w:val="18"/>
          <w:lang w:val="es-MX"/>
        </w:rPr>
        <w:footnoteRef/>
      </w:r>
      <w:r w:rsidRPr="000D1DE6">
        <w:rPr>
          <w:rFonts w:asciiTheme="minorHAnsi" w:eastAsia="Cambria" w:hAnsiTheme="minorHAnsi" w:cs="Cambria"/>
          <w:color w:val="000000"/>
          <w:sz w:val="18"/>
          <w:szCs w:val="18"/>
          <w:lang w:val="es-MX"/>
        </w:rPr>
        <w:t xml:space="preserve"> CIDH, Comunicado de prensa 033/21 - </w:t>
      </w:r>
      <w:hyperlink r:id="rId292">
        <w:r w:rsidRPr="000D1DE6">
          <w:rPr>
            <w:rFonts w:asciiTheme="minorHAnsi" w:eastAsia="Cambria" w:hAnsiTheme="minorHAnsi" w:cs="Cambria"/>
            <w:color w:val="0563C1"/>
            <w:sz w:val="18"/>
            <w:szCs w:val="18"/>
            <w:u w:val="single"/>
            <w:lang w:val="es-MX"/>
          </w:rPr>
          <w:t>CIDH concluye visita de trabajo virtual a México sobre personas en situación de movilidad humana, y presenta sus Observaciones Preliminares</w:t>
        </w:r>
      </w:hyperlink>
      <w:r w:rsidRPr="000D1DE6">
        <w:rPr>
          <w:rFonts w:asciiTheme="minorHAnsi" w:eastAsia="Cambria" w:hAnsiTheme="minorHAnsi" w:cs="Cambria"/>
          <w:color w:val="000000"/>
          <w:sz w:val="18"/>
          <w:szCs w:val="18"/>
          <w:lang w:val="es-MX"/>
        </w:rPr>
        <w:t>, Washington, D.C., 12 de febrero de 2021.</w:t>
      </w:r>
    </w:p>
  </w:footnote>
  <w:footnote w:id="373">
    <w:p w14:paraId="41239C8A" w14:textId="1F2A375D" w:rsidR="002F1A6A" w:rsidRPr="000D1DE6" w:rsidRDefault="002F1A6A" w:rsidP="00F46807">
      <w:pPr>
        <w:pStyle w:val="FootnoteText"/>
        <w:spacing w:after="120"/>
        <w:ind w:firstLine="720"/>
      </w:pPr>
      <w:r w:rsidRPr="000D1DE6">
        <w:rPr>
          <w:rStyle w:val="FootnoteReference"/>
        </w:rPr>
        <w:footnoteRef/>
      </w:r>
      <w:r w:rsidRPr="000D1DE6">
        <w:t xml:space="preserve"> </w:t>
      </w:r>
      <w:r w:rsidRPr="000D1DE6">
        <w:rPr>
          <w:rFonts w:asciiTheme="minorHAnsi" w:eastAsia="Cambria" w:hAnsiTheme="minorHAnsi" w:cs="Cambria"/>
          <w:color w:val="000000"/>
          <w:lang w:val="es-MX"/>
        </w:rPr>
        <w:t>Observaciones y comentarios del Estado de 24 de enero de 2022, pág</w:t>
      </w:r>
      <w:r w:rsidRPr="000D1DE6">
        <w:t xml:space="preserve"> 25.</w:t>
      </w:r>
    </w:p>
  </w:footnote>
  <w:footnote w:id="374">
    <w:p w14:paraId="6BE37DAD" w14:textId="4BC1CC35" w:rsidR="000235D8" w:rsidRPr="000D1DE6" w:rsidRDefault="000235D8" w:rsidP="00F46807">
      <w:pPr>
        <w:pBdr>
          <w:top w:val="nil"/>
          <w:left w:val="nil"/>
          <w:bottom w:val="nil"/>
          <w:right w:val="nil"/>
          <w:between w:val="nil"/>
        </w:pBdr>
        <w:spacing w:after="120" w:line="240" w:lineRule="auto"/>
        <w:ind w:firstLine="720"/>
        <w:jc w:val="both"/>
        <w:rPr>
          <w:rFonts w:asciiTheme="minorHAnsi" w:eastAsia="Cambria" w:hAnsiTheme="minorHAnsi" w:cs="Cambria"/>
          <w:color w:val="000000"/>
          <w:sz w:val="18"/>
          <w:szCs w:val="18"/>
          <w:lang w:val="es-MX"/>
        </w:rPr>
      </w:pPr>
      <w:r w:rsidRPr="000D1DE6">
        <w:rPr>
          <w:rStyle w:val="FootnoteReference"/>
          <w:rFonts w:asciiTheme="minorHAnsi" w:hAnsiTheme="minorHAnsi"/>
          <w:sz w:val="18"/>
          <w:szCs w:val="18"/>
          <w:lang w:val="es-MX"/>
        </w:rPr>
        <w:footnoteRef/>
      </w:r>
      <w:r w:rsidRPr="000D1DE6">
        <w:rPr>
          <w:rFonts w:asciiTheme="minorHAnsi" w:eastAsia="Cambria" w:hAnsiTheme="minorHAnsi" w:cs="Cambria"/>
          <w:color w:val="000000"/>
          <w:sz w:val="18"/>
          <w:szCs w:val="18"/>
          <w:lang w:val="es-MX"/>
        </w:rPr>
        <w:t xml:space="preserve"> Noveno Informe del Estado mexicano sobre el cumplimiento y seguimiento de las recomendaciones contenidas en el informe “Situación de los Derechos Humanos en México”, pág. 84.</w:t>
      </w:r>
    </w:p>
  </w:footnote>
  <w:footnote w:id="375">
    <w:p w14:paraId="115936F5" w14:textId="77777777" w:rsidR="000235D8" w:rsidRPr="000D1DE6" w:rsidRDefault="000235D8" w:rsidP="00F46807">
      <w:pPr>
        <w:pBdr>
          <w:top w:val="nil"/>
          <w:left w:val="nil"/>
          <w:bottom w:val="nil"/>
          <w:right w:val="nil"/>
          <w:between w:val="nil"/>
        </w:pBdr>
        <w:spacing w:after="120" w:line="240" w:lineRule="auto"/>
        <w:ind w:firstLine="720"/>
        <w:jc w:val="both"/>
        <w:rPr>
          <w:rFonts w:asciiTheme="minorHAnsi" w:eastAsia="Cambria" w:hAnsiTheme="minorHAnsi" w:cs="Cambria"/>
          <w:color w:val="000000"/>
          <w:sz w:val="18"/>
          <w:szCs w:val="18"/>
          <w:lang w:val="es-MX"/>
        </w:rPr>
      </w:pPr>
      <w:r w:rsidRPr="000D1DE6">
        <w:rPr>
          <w:rStyle w:val="FootnoteReference"/>
          <w:rFonts w:asciiTheme="minorHAnsi" w:hAnsiTheme="minorHAnsi"/>
          <w:sz w:val="18"/>
          <w:szCs w:val="18"/>
          <w:lang w:val="es-MX"/>
        </w:rPr>
        <w:footnoteRef/>
      </w:r>
      <w:r w:rsidRPr="000D1DE6">
        <w:rPr>
          <w:rFonts w:asciiTheme="minorHAnsi" w:eastAsia="Cambria" w:hAnsiTheme="minorHAnsi" w:cs="Cambria"/>
          <w:color w:val="000000"/>
          <w:sz w:val="18"/>
          <w:szCs w:val="18"/>
          <w:lang w:val="es-MX"/>
        </w:rPr>
        <w:t xml:space="preserve"> CIDH, Comunicado de prensa 033/21 - </w:t>
      </w:r>
      <w:hyperlink r:id="rId293">
        <w:r w:rsidRPr="000D1DE6">
          <w:rPr>
            <w:rFonts w:asciiTheme="minorHAnsi" w:eastAsia="Cambria" w:hAnsiTheme="minorHAnsi" w:cs="Cambria"/>
            <w:color w:val="0563C1"/>
            <w:sz w:val="18"/>
            <w:szCs w:val="18"/>
            <w:u w:val="single"/>
            <w:lang w:val="es-MX"/>
          </w:rPr>
          <w:t>CIDH concluye visita de trabajo virtual a México sobre personas en situación de movilidad humana, y presenta sus Observaciones Preliminares</w:t>
        </w:r>
      </w:hyperlink>
      <w:r w:rsidRPr="000D1DE6">
        <w:rPr>
          <w:rFonts w:asciiTheme="minorHAnsi" w:eastAsia="Cambria" w:hAnsiTheme="minorHAnsi" w:cs="Cambria"/>
          <w:color w:val="000000"/>
          <w:sz w:val="18"/>
          <w:szCs w:val="18"/>
          <w:lang w:val="es-MX"/>
        </w:rPr>
        <w:t>, Washington, D.C., 12 de febrero de 2021.</w:t>
      </w:r>
    </w:p>
  </w:footnote>
  <w:footnote w:id="376">
    <w:p w14:paraId="269E1811" w14:textId="77777777" w:rsidR="000235D8" w:rsidRPr="000D1DE6" w:rsidRDefault="000235D8" w:rsidP="00F46807">
      <w:pPr>
        <w:pBdr>
          <w:top w:val="nil"/>
          <w:left w:val="nil"/>
          <w:bottom w:val="nil"/>
          <w:right w:val="nil"/>
          <w:between w:val="nil"/>
        </w:pBdr>
        <w:spacing w:after="120" w:line="240" w:lineRule="auto"/>
        <w:ind w:firstLine="720"/>
        <w:jc w:val="both"/>
        <w:rPr>
          <w:rFonts w:asciiTheme="minorHAnsi" w:eastAsia="Cambria" w:hAnsiTheme="minorHAnsi" w:cs="Cambria"/>
          <w:color w:val="000000"/>
          <w:sz w:val="18"/>
          <w:szCs w:val="18"/>
          <w:lang w:val="es-MX"/>
        </w:rPr>
      </w:pPr>
      <w:r w:rsidRPr="000D1DE6">
        <w:rPr>
          <w:rStyle w:val="FootnoteReference"/>
          <w:rFonts w:asciiTheme="minorHAnsi" w:hAnsiTheme="minorHAnsi"/>
          <w:sz w:val="18"/>
          <w:szCs w:val="18"/>
          <w:lang w:val="es-MX"/>
        </w:rPr>
        <w:footnoteRef/>
      </w:r>
      <w:r w:rsidRPr="000D1DE6">
        <w:rPr>
          <w:rFonts w:asciiTheme="minorHAnsi" w:eastAsia="Cambria" w:hAnsiTheme="minorHAnsi" w:cs="Cambria"/>
          <w:color w:val="000000"/>
          <w:sz w:val="18"/>
          <w:szCs w:val="18"/>
          <w:lang w:val="es-MX"/>
        </w:rPr>
        <w:t xml:space="preserve"> CIDH, </w:t>
      </w:r>
      <w:hyperlink r:id="rId294">
        <w:r w:rsidRPr="000D1DE6">
          <w:rPr>
            <w:rFonts w:asciiTheme="minorHAnsi" w:eastAsia="Cambria" w:hAnsiTheme="minorHAnsi" w:cs="Cambria"/>
            <w:color w:val="0563C1"/>
            <w:sz w:val="18"/>
            <w:szCs w:val="18"/>
            <w:u w:val="single"/>
            <w:lang w:val="es-MX"/>
          </w:rPr>
          <w:t>Derechos humanos de los migrantes y otras personas en el contexto de la movilidad humana en México</w:t>
        </w:r>
      </w:hyperlink>
      <w:r w:rsidRPr="000D1DE6">
        <w:rPr>
          <w:rFonts w:asciiTheme="minorHAnsi" w:eastAsia="Cambria" w:hAnsiTheme="minorHAnsi" w:cs="Cambria"/>
          <w:color w:val="000000"/>
          <w:sz w:val="18"/>
          <w:szCs w:val="18"/>
          <w:lang w:val="es-MX"/>
        </w:rPr>
        <w:t>, OEA/Ser.L/V/II., Doc. 48/13, 30 de diciembre 2013, párr. 409.2.</w:t>
      </w:r>
    </w:p>
  </w:footnote>
  <w:footnote w:id="377">
    <w:p w14:paraId="1A0E0D75" w14:textId="5C3116E9" w:rsidR="000235D8" w:rsidRPr="000D1DE6" w:rsidRDefault="000235D8" w:rsidP="00F46807">
      <w:pPr>
        <w:pBdr>
          <w:top w:val="nil"/>
          <w:left w:val="nil"/>
          <w:bottom w:val="nil"/>
          <w:right w:val="nil"/>
          <w:between w:val="nil"/>
        </w:pBdr>
        <w:spacing w:after="120" w:line="240" w:lineRule="auto"/>
        <w:ind w:firstLine="720"/>
        <w:jc w:val="both"/>
        <w:rPr>
          <w:rFonts w:asciiTheme="minorHAnsi" w:eastAsia="Cambria" w:hAnsiTheme="minorHAnsi" w:cs="Cambria"/>
          <w:color w:val="000000"/>
          <w:sz w:val="18"/>
          <w:szCs w:val="18"/>
          <w:lang w:val="es-MX"/>
        </w:rPr>
      </w:pPr>
      <w:r w:rsidRPr="000D1DE6">
        <w:rPr>
          <w:rStyle w:val="FootnoteReference"/>
          <w:rFonts w:asciiTheme="minorHAnsi" w:hAnsiTheme="minorHAnsi"/>
          <w:sz w:val="18"/>
          <w:szCs w:val="18"/>
          <w:lang w:val="es-MX"/>
        </w:rPr>
        <w:footnoteRef/>
      </w:r>
      <w:r w:rsidRPr="000D1DE6">
        <w:rPr>
          <w:rFonts w:asciiTheme="minorHAnsi" w:eastAsia="Cambria" w:hAnsiTheme="minorHAnsi" w:cs="Cambria"/>
          <w:color w:val="000000"/>
          <w:sz w:val="18"/>
          <w:szCs w:val="18"/>
          <w:lang w:val="es-MX"/>
        </w:rPr>
        <w:t xml:space="preserve"> OIM, </w:t>
      </w:r>
      <w:hyperlink r:id="rId295">
        <w:r w:rsidRPr="000D1DE6">
          <w:rPr>
            <w:rFonts w:asciiTheme="minorHAnsi" w:eastAsia="Cambria" w:hAnsiTheme="minorHAnsi" w:cs="Cambria"/>
            <w:color w:val="0563C1"/>
            <w:sz w:val="18"/>
            <w:szCs w:val="18"/>
            <w:u w:val="single"/>
            <w:lang w:val="es-MX"/>
          </w:rPr>
          <w:t>Informe sobre las Migraciones en el Mundo 2020</w:t>
        </w:r>
      </w:hyperlink>
      <w:r w:rsidRPr="000D1DE6">
        <w:rPr>
          <w:rFonts w:asciiTheme="minorHAnsi" w:eastAsia="Cambria" w:hAnsiTheme="minorHAnsi" w:cs="Cambria"/>
          <w:color w:val="000000"/>
          <w:sz w:val="18"/>
          <w:szCs w:val="18"/>
          <w:lang w:val="es-MX"/>
        </w:rPr>
        <w:t>, 21 de septiembre de 2021, pág. 104.</w:t>
      </w:r>
    </w:p>
  </w:footnote>
  <w:footnote w:id="378">
    <w:p w14:paraId="28270DB5" w14:textId="77777777" w:rsidR="000235D8" w:rsidRPr="000D1DE6" w:rsidRDefault="000235D8" w:rsidP="00F46807">
      <w:pPr>
        <w:pBdr>
          <w:top w:val="nil"/>
          <w:left w:val="nil"/>
          <w:bottom w:val="nil"/>
          <w:right w:val="nil"/>
          <w:between w:val="nil"/>
        </w:pBdr>
        <w:spacing w:after="120" w:line="240" w:lineRule="auto"/>
        <w:ind w:firstLine="720"/>
        <w:jc w:val="both"/>
        <w:rPr>
          <w:rFonts w:asciiTheme="minorHAnsi" w:eastAsia="Cambria" w:hAnsiTheme="minorHAnsi" w:cs="Cambria"/>
          <w:color w:val="000000"/>
          <w:sz w:val="18"/>
          <w:szCs w:val="18"/>
          <w:lang w:val="en-US"/>
        </w:rPr>
      </w:pPr>
      <w:r w:rsidRPr="000D1DE6">
        <w:rPr>
          <w:rStyle w:val="FootnoteReference"/>
          <w:rFonts w:asciiTheme="minorHAnsi" w:hAnsiTheme="minorHAnsi"/>
          <w:sz w:val="18"/>
          <w:szCs w:val="18"/>
          <w:lang w:val="es-MX"/>
        </w:rPr>
        <w:footnoteRef/>
      </w:r>
      <w:r w:rsidRPr="000D1DE6">
        <w:rPr>
          <w:rFonts w:asciiTheme="minorHAnsi" w:eastAsia="Cambria" w:hAnsiTheme="minorHAnsi" w:cs="Cambria"/>
          <w:color w:val="000000"/>
          <w:sz w:val="18"/>
          <w:szCs w:val="18"/>
          <w:lang w:val="en-US"/>
        </w:rPr>
        <w:t xml:space="preserve"> United Nations Department of Economic and Social Affairs, Population Division (2020). </w:t>
      </w:r>
      <w:hyperlink r:id="rId296">
        <w:r w:rsidRPr="000D1DE6">
          <w:rPr>
            <w:rFonts w:asciiTheme="minorHAnsi" w:eastAsia="Cambria" w:hAnsiTheme="minorHAnsi" w:cs="Cambria"/>
            <w:color w:val="0563C1"/>
            <w:sz w:val="18"/>
            <w:szCs w:val="18"/>
            <w:u w:val="single"/>
            <w:lang w:val="en-US"/>
          </w:rPr>
          <w:t>International Migrant Stock 2020</w:t>
        </w:r>
      </w:hyperlink>
      <w:r w:rsidRPr="000D1DE6">
        <w:rPr>
          <w:rFonts w:asciiTheme="minorHAnsi" w:eastAsia="Cambria" w:hAnsiTheme="minorHAnsi" w:cs="Cambria"/>
          <w:color w:val="000000"/>
          <w:sz w:val="18"/>
          <w:szCs w:val="18"/>
          <w:lang w:val="en-US"/>
        </w:rPr>
        <w:t>. Table 1: International migrant stock at mid-year by sex and by region, country or area of origin, 1990-2020.</w:t>
      </w:r>
    </w:p>
  </w:footnote>
  <w:footnote w:id="379">
    <w:p w14:paraId="7D45A82D" w14:textId="77777777" w:rsidR="000235D8" w:rsidRPr="000D1DE6" w:rsidRDefault="000235D8" w:rsidP="00F46807">
      <w:pPr>
        <w:pBdr>
          <w:top w:val="nil"/>
          <w:left w:val="nil"/>
          <w:bottom w:val="nil"/>
          <w:right w:val="nil"/>
          <w:between w:val="nil"/>
        </w:pBdr>
        <w:spacing w:after="120" w:line="240" w:lineRule="auto"/>
        <w:ind w:firstLine="720"/>
        <w:jc w:val="both"/>
        <w:rPr>
          <w:rFonts w:asciiTheme="minorHAnsi" w:eastAsia="Cambria" w:hAnsiTheme="minorHAnsi" w:cs="Cambria"/>
          <w:color w:val="000000"/>
          <w:sz w:val="18"/>
          <w:szCs w:val="18"/>
          <w:lang w:val="es-MX"/>
        </w:rPr>
      </w:pPr>
      <w:r w:rsidRPr="000D1DE6">
        <w:rPr>
          <w:rStyle w:val="FootnoteReference"/>
          <w:rFonts w:asciiTheme="minorHAnsi" w:hAnsiTheme="minorHAnsi"/>
          <w:sz w:val="18"/>
          <w:szCs w:val="18"/>
          <w:lang w:val="es-MX"/>
        </w:rPr>
        <w:footnoteRef/>
      </w:r>
      <w:r w:rsidRPr="000D1DE6">
        <w:rPr>
          <w:rFonts w:asciiTheme="minorHAnsi" w:eastAsia="Cambria" w:hAnsiTheme="minorHAnsi" w:cs="Cambria"/>
          <w:color w:val="000000"/>
          <w:sz w:val="18"/>
          <w:szCs w:val="18"/>
          <w:lang w:val="es-MX"/>
        </w:rPr>
        <w:t xml:space="preserve"> CIDH, Comunicado de prensa 033/21 - </w:t>
      </w:r>
      <w:hyperlink r:id="rId297">
        <w:r w:rsidRPr="000D1DE6">
          <w:rPr>
            <w:rFonts w:asciiTheme="minorHAnsi" w:eastAsia="Cambria" w:hAnsiTheme="minorHAnsi" w:cs="Cambria"/>
            <w:color w:val="0563C1"/>
            <w:sz w:val="18"/>
            <w:szCs w:val="18"/>
            <w:u w:val="single"/>
            <w:lang w:val="es-MX"/>
          </w:rPr>
          <w:t>CIDH concluye visita de trabajo virtual a México sobre personas en situación de movilidad humana, y presenta sus Observaciones Preliminares</w:t>
        </w:r>
      </w:hyperlink>
      <w:r w:rsidRPr="000D1DE6">
        <w:rPr>
          <w:rFonts w:asciiTheme="minorHAnsi" w:eastAsia="Cambria" w:hAnsiTheme="minorHAnsi" w:cs="Cambria"/>
          <w:color w:val="000000"/>
          <w:sz w:val="18"/>
          <w:szCs w:val="18"/>
          <w:lang w:val="es-MX"/>
        </w:rPr>
        <w:t>, Washington, D.C., 12 de febrero de 2021.</w:t>
      </w:r>
    </w:p>
  </w:footnote>
  <w:footnote w:id="380">
    <w:p w14:paraId="7451B4DD" w14:textId="77777777" w:rsidR="000235D8" w:rsidRPr="000D1DE6" w:rsidRDefault="000235D8" w:rsidP="00F46807">
      <w:pPr>
        <w:pBdr>
          <w:top w:val="nil"/>
          <w:left w:val="nil"/>
          <w:bottom w:val="nil"/>
          <w:right w:val="nil"/>
          <w:between w:val="nil"/>
        </w:pBdr>
        <w:spacing w:after="120" w:line="240" w:lineRule="auto"/>
        <w:ind w:firstLine="720"/>
        <w:jc w:val="both"/>
        <w:rPr>
          <w:rFonts w:asciiTheme="minorHAnsi" w:eastAsia="Cambria" w:hAnsiTheme="minorHAnsi" w:cs="Cambria"/>
          <w:color w:val="000000"/>
          <w:sz w:val="18"/>
          <w:szCs w:val="18"/>
          <w:lang w:val="es-MX"/>
        </w:rPr>
      </w:pPr>
      <w:r w:rsidRPr="000D1DE6">
        <w:rPr>
          <w:rStyle w:val="FootnoteReference"/>
          <w:rFonts w:asciiTheme="minorHAnsi" w:hAnsiTheme="minorHAnsi"/>
          <w:sz w:val="18"/>
          <w:szCs w:val="18"/>
          <w:lang w:val="es-MX"/>
        </w:rPr>
        <w:footnoteRef/>
      </w:r>
      <w:r w:rsidRPr="000D1DE6">
        <w:rPr>
          <w:rFonts w:asciiTheme="minorHAnsi" w:eastAsia="Cambria" w:hAnsiTheme="minorHAnsi" w:cs="Cambria"/>
          <w:color w:val="000000"/>
          <w:sz w:val="18"/>
          <w:szCs w:val="18"/>
          <w:lang w:val="es-MX"/>
        </w:rPr>
        <w:t xml:space="preserve"> COMAR, México, </w:t>
      </w:r>
      <w:hyperlink r:id="rId298">
        <w:r w:rsidRPr="000D1DE6">
          <w:rPr>
            <w:rFonts w:asciiTheme="minorHAnsi" w:eastAsia="Cambria" w:hAnsiTheme="minorHAnsi" w:cs="Cambria"/>
            <w:color w:val="0563C1"/>
            <w:sz w:val="18"/>
            <w:szCs w:val="18"/>
            <w:u w:val="single"/>
            <w:lang w:val="es-MX"/>
          </w:rPr>
          <w:t>Estadística agosto 2021</w:t>
        </w:r>
      </w:hyperlink>
      <w:r w:rsidRPr="000D1DE6">
        <w:rPr>
          <w:rFonts w:asciiTheme="minorHAnsi" w:eastAsia="Cambria" w:hAnsiTheme="minorHAnsi" w:cs="Cambria"/>
          <w:color w:val="000000"/>
          <w:sz w:val="18"/>
          <w:szCs w:val="18"/>
          <w:lang w:val="es-MX"/>
        </w:rPr>
        <w:t>, 8 de septiembre de 2021.</w:t>
      </w:r>
    </w:p>
  </w:footnote>
  <w:footnote w:id="381">
    <w:p w14:paraId="7D947F7D" w14:textId="77777777" w:rsidR="000235D8" w:rsidRPr="000D1DE6" w:rsidRDefault="000235D8" w:rsidP="00F46807">
      <w:pPr>
        <w:pBdr>
          <w:top w:val="nil"/>
          <w:left w:val="nil"/>
          <w:bottom w:val="nil"/>
          <w:right w:val="nil"/>
          <w:between w:val="nil"/>
        </w:pBdr>
        <w:spacing w:after="120" w:line="240" w:lineRule="auto"/>
        <w:ind w:firstLine="720"/>
        <w:jc w:val="both"/>
        <w:rPr>
          <w:rFonts w:asciiTheme="minorHAnsi" w:eastAsia="Cambria" w:hAnsiTheme="minorHAnsi" w:cs="Cambria"/>
          <w:color w:val="000000"/>
          <w:sz w:val="18"/>
          <w:szCs w:val="18"/>
          <w:lang w:val="es-MX"/>
        </w:rPr>
      </w:pPr>
      <w:r w:rsidRPr="000D1DE6">
        <w:rPr>
          <w:rStyle w:val="FootnoteReference"/>
          <w:rFonts w:asciiTheme="minorHAnsi" w:hAnsiTheme="minorHAnsi"/>
          <w:sz w:val="18"/>
          <w:szCs w:val="18"/>
          <w:lang w:val="es-MX"/>
        </w:rPr>
        <w:footnoteRef/>
      </w:r>
      <w:r w:rsidRPr="000D1DE6">
        <w:rPr>
          <w:rFonts w:asciiTheme="minorHAnsi" w:eastAsia="Cambria" w:hAnsiTheme="minorHAnsi" w:cs="Cambria"/>
          <w:color w:val="000000"/>
          <w:sz w:val="18"/>
          <w:szCs w:val="18"/>
          <w:lang w:val="es-MX"/>
        </w:rPr>
        <w:t xml:space="preserve"> COMAR, México, </w:t>
      </w:r>
      <w:hyperlink r:id="rId299">
        <w:r w:rsidRPr="000D1DE6">
          <w:rPr>
            <w:rFonts w:asciiTheme="minorHAnsi" w:eastAsia="Cambria" w:hAnsiTheme="minorHAnsi" w:cs="Cambria"/>
            <w:color w:val="0563C1"/>
            <w:sz w:val="18"/>
            <w:szCs w:val="18"/>
            <w:u w:val="single"/>
            <w:lang w:val="es-MX"/>
          </w:rPr>
          <w:t>Estadística agosto 2021</w:t>
        </w:r>
      </w:hyperlink>
      <w:r w:rsidRPr="000D1DE6">
        <w:rPr>
          <w:rFonts w:asciiTheme="minorHAnsi" w:eastAsia="Cambria" w:hAnsiTheme="minorHAnsi" w:cs="Cambria"/>
          <w:color w:val="000000"/>
          <w:sz w:val="18"/>
          <w:szCs w:val="18"/>
          <w:lang w:val="es-MX"/>
        </w:rPr>
        <w:t xml:space="preserve">, 8 de septiembre de 2021. CIDH, Comunicado de prensa 033/21 - </w:t>
      </w:r>
      <w:hyperlink r:id="rId300">
        <w:r w:rsidRPr="000D1DE6">
          <w:rPr>
            <w:rFonts w:asciiTheme="minorHAnsi" w:eastAsia="Cambria" w:hAnsiTheme="minorHAnsi" w:cs="Cambria"/>
            <w:color w:val="0563C1"/>
            <w:sz w:val="18"/>
            <w:szCs w:val="18"/>
            <w:u w:val="single"/>
            <w:lang w:val="es-MX"/>
          </w:rPr>
          <w:t>CIDH concluye visita de trabajo virtual a México sobre personas en situación de movilidad humana, y presenta sus Observaciones Preliminares</w:t>
        </w:r>
      </w:hyperlink>
      <w:r w:rsidRPr="000D1DE6">
        <w:rPr>
          <w:rFonts w:asciiTheme="minorHAnsi" w:eastAsia="Cambria" w:hAnsiTheme="minorHAnsi" w:cs="Cambria"/>
          <w:color w:val="000000"/>
          <w:sz w:val="18"/>
          <w:szCs w:val="18"/>
          <w:lang w:val="es-MX"/>
        </w:rPr>
        <w:t>, Washington, D.C., 12 de febrero de 2021.</w:t>
      </w:r>
    </w:p>
  </w:footnote>
  <w:footnote w:id="382">
    <w:p w14:paraId="44EBCC54" w14:textId="77777777" w:rsidR="000235D8" w:rsidRPr="000D1DE6" w:rsidRDefault="000235D8" w:rsidP="00F46807">
      <w:pPr>
        <w:pBdr>
          <w:top w:val="nil"/>
          <w:left w:val="nil"/>
          <w:bottom w:val="nil"/>
          <w:right w:val="nil"/>
          <w:between w:val="nil"/>
        </w:pBdr>
        <w:spacing w:after="120" w:line="240" w:lineRule="auto"/>
        <w:ind w:firstLine="720"/>
        <w:jc w:val="both"/>
        <w:rPr>
          <w:rFonts w:asciiTheme="minorHAnsi" w:eastAsia="Cambria" w:hAnsiTheme="minorHAnsi" w:cs="Cambria"/>
          <w:color w:val="000000"/>
          <w:sz w:val="18"/>
          <w:szCs w:val="18"/>
          <w:lang w:val="es-MX"/>
        </w:rPr>
      </w:pPr>
      <w:r w:rsidRPr="000D1DE6">
        <w:rPr>
          <w:rStyle w:val="FootnoteReference"/>
          <w:rFonts w:asciiTheme="minorHAnsi" w:hAnsiTheme="minorHAnsi"/>
          <w:sz w:val="18"/>
          <w:szCs w:val="18"/>
          <w:lang w:val="es-MX"/>
        </w:rPr>
        <w:footnoteRef/>
      </w:r>
      <w:r w:rsidRPr="000D1DE6">
        <w:rPr>
          <w:rFonts w:asciiTheme="minorHAnsi" w:eastAsia="Cambria" w:hAnsiTheme="minorHAnsi" w:cs="Cambria"/>
          <w:color w:val="000000"/>
          <w:sz w:val="18"/>
          <w:szCs w:val="18"/>
          <w:lang w:val="es-MX"/>
        </w:rPr>
        <w:t xml:space="preserve"> UPMRIP, México, </w:t>
      </w:r>
      <w:hyperlink r:id="rId301">
        <w:r w:rsidRPr="000D1DE6">
          <w:rPr>
            <w:rFonts w:asciiTheme="minorHAnsi" w:eastAsia="Cambria" w:hAnsiTheme="minorHAnsi" w:cs="Cambria"/>
            <w:color w:val="0563C1"/>
            <w:sz w:val="18"/>
            <w:szCs w:val="18"/>
            <w:u w:val="single"/>
            <w:lang w:val="es-MX"/>
          </w:rPr>
          <w:t>II Documentación y condición de estancia en México</w:t>
        </w:r>
      </w:hyperlink>
      <w:r w:rsidRPr="000D1DE6">
        <w:rPr>
          <w:rFonts w:asciiTheme="minorHAnsi" w:eastAsia="Cambria" w:hAnsiTheme="minorHAnsi" w:cs="Cambria"/>
          <w:color w:val="000000"/>
          <w:sz w:val="18"/>
          <w:szCs w:val="18"/>
          <w:lang w:val="es-MX"/>
        </w:rPr>
        <w:t>, 2021, Cuadro 2.1.</w:t>
      </w:r>
    </w:p>
  </w:footnote>
  <w:footnote w:id="383">
    <w:p w14:paraId="250A9E57" w14:textId="7D76ACE0" w:rsidR="000235D8" w:rsidRPr="000D1DE6" w:rsidRDefault="000235D8" w:rsidP="00F46807">
      <w:pPr>
        <w:pBdr>
          <w:top w:val="nil"/>
          <w:left w:val="nil"/>
          <w:bottom w:val="nil"/>
          <w:right w:val="nil"/>
          <w:between w:val="nil"/>
        </w:pBdr>
        <w:spacing w:after="120" w:line="240" w:lineRule="auto"/>
        <w:ind w:firstLine="720"/>
        <w:jc w:val="both"/>
        <w:rPr>
          <w:rFonts w:asciiTheme="minorHAnsi" w:eastAsia="Cambria" w:hAnsiTheme="minorHAnsi" w:cs="Cambria"/>
          <w:color w:val="000000"/>
          <w:sz w:val="18"/>
          <w:szCs w:val="18"/>
          <w:lang w:val="es-MX"/>
        </w:rPr>
      </w:pPr>
      <w:r w:rsidRPr="000D1DE6">
        <w:rPr>
          <w:rStyle w:val="FootnoteReference"/>
          <w:rFonts w:asciiTheme="minorHAnsi" w:hAnsiTheme="minorHAnsi"/>
          <w:sz w:val="18"/>
          <w:szCs w:val="18"/>
          <w:lang w:val="es-MX"/>
        </w:rPr>
        <w:footnoteRef/>
      </w:r>
      <w:r w:rsidRPr="000D1DE6">
        <w:rPr>
          <w:rFonts w:asciiTheme="minorHAnsi" w:eastAsia="Cambria" w:hAnsiTheme="minorHAnsi" w:cs="Cambria"/>
          <w:color w:val="000000"/>
          <w:sz w:val="18"/>
          <w:szCs w:val="18"/>
          <w:lang w:val="es-MX"/>
        </w:rPr>
        <w:t xml:space="preserve"> Secretaría de Relaciones Exteriores, México, Respuesta del Estado mexicano a la solicitud de información de la Comisión Interamericana de Derechos Humanos a la luz del artículo 41º de la Convención Americana de Derechos Humanos sobre la protección de las personas migrantes, solicitantes de refugio, refugiadas, con necesidades de protección complementaria y retornadas en México, pág. 14.</w:t>
      </w:r>
    </w:p>
  </w:footnote>
  <w:footnote w:id="384">
    <w:p w14:paraId="236931B2" w14:textId="77777777" w:rsidR="000235D8" w:rsidRPr="000D1DE6" w:rsidRDefault="000235D8" w:rsidP="00F46807">
      <w:pPr>
        <w:pBdr>
          <w:top w:val="nil"/>
          <w:left w:val="nil"/>
          <w:bottom w:val="nil"/>
          <w:right w:val="nil"/>
          <w:between w:val="nil"/>
        </w:pBdr>
        <w:spacing w:after="120" w:line="240" w:lineRule="auto"/>
        <w:ind w:firstLine="720"/>
        <w:jc w:val="both"/>
        <w:rPr>
          <w:rFonts w:asciiTheme="minorHAnsi" w:eastAsia="Cambria" w:hAnsiTheme="minorHAnsi" w:cs="Cambria"/>
          <w:b/>
          <w:color w:val="000000"/>
          <w:sz w:val="18"/>
          <w:szCs w:val="18"/>
          <w:lang w:val="es-MX"/>
        </w:rPr>
      </w:pPr>
      <w:r w:rsidRPr="000D1DE6">
        <w:rPr>
          <w:rStyle w:val="FootnoteReference"/>
          <w:rFonts w:asciiTheme="minorHAnsi" w:hAnsiTheme="minorHAnsi"/>
          <w:sz w:val="18"/>
          <w:szCs w:val="18"/>
          <w:lang w:val="es-MX"/>
        </w:rPr>
        <w:footnoteRef/>
      </w:r>
      <w:r w:rsidRPr="000D1DE6">
        <w:rPr>
          <w:rFonts w:asciiTheme="minorHAnsi" w:eastAsia="Cambria" w:hAnsiTheme="minorHAnsi" w:cs="Cambria"/>
          <w:color w:val="000000"/>
          <w:sz w:val="18"/>
          <w:szCs w:val="18"/>
          <w:lang w:val="es-MX"/>
        </w:rPr>
        <w:t xml:space="preserve"> INM, México, </w:t>
      </w:r>
      <w:hyperlink r:id="rId302">
        <w:r w:rsidRPr="000D1DE6">
          <w:rPr>
            <w:rFonts w:asciiTheme="minorHAnsi" w:eastAsia="Cambria" w:hAnsiTheme="minorHAnsi" w:cs="Cambria"/>
            <w:color w:val="0563C1"/>
            <w:sz w:val="18"/>
            <w:szCs w:val="18"/>
            <w:u w:val="single"/>
            <w:lang w:val="es-MX"/>
          </w:rPr>
          <w:t>Boletín No. 474/2021 Identifica INM aumento en el flujo de menores de edad migrantes irregulares</w:t>
        </w:r>
      </w:hyperlink>
      <w:r w:rsidRPr="000D1DE6">
        <w:rPr>
          <w:rFonts w:asciiTheme="minorHAnsi" w:eastAsia="Cambria" w:hAnsiTheme="minorHAnsi" w:cs="Cambria"/>
          <w:color w:val="000000"/>
          <w:sz w:val="18"/>
          <w:szCs w:val="18"/>
          <w:lang w:val="es-MX"/>
        </w:rPr>
        <w:t>, 31 de agosto de 2021.</w:t>
      </w:r>
    </w:p>
  </w:footnote>
  <w:footnote w:id="385">
    <w:p w14:paraId="15A43516" w14:textId="77777777" w:rsidR="000235D8" w:rsidRPr="000D1DE6" w:rsidRDefault="000235D8" w:rsidP="00F46807">
      <w:pPr>
        <w:pBdr>
          <w:top w:val="nil"/>
          <w:left w:val="nil"/>
          <w:bottom w:val="nil"/>
          <w:right w:val="nil"/>
          <w:between w:val="nil"/>
        </w:pBdr>
        <w:spacing w:after="120" w:line="240" w:lineRule="auto"/>
        <w:ind w:firstLine="720"/>
        <w:jc w:val="both"/>
        <w:rPr>
          <w:rFonts w:asciiTheme="minorHAnsi" w:hAnsiTheme="minorHAnsi"/>
          <w:color w:val="000000"/>
          <w:sz w:val="18"/>
          <w:szCs w:val="18"/>
          <w:lang w:val="es-MX"/>
        </w:rPr>
      </w:pPr>
      <w:r w:rsidRPr="000D1DE6">
        <w:rPr>
          <w:rStyle w:val="FootnoteReference"/>
          <w:rFonts w:asciiTheme="minorHAnsi" w:hAnsiTheme="minorHAnsi"/>
          <w:sz w:val="18"/>
          <w:szCs w:val="18"/>
          <w:lang w:val="es-MX"/>
        </w:rPr>
        <w:footnoteRef/>
      </w:r>
      <w:r w:rsidRPr="000D1DE6">
        <w:rPr>
          <w:rFonts w:asciiTheme="minorHAnsi" w:hAnsiTheme="minorHAnsi"/>
          <w:color w:val="000000"/>
          <w:sz w:val="18"/>
          <w:szCs w:val="18"/>
          <w:lang w:val="es-MX"/>
        </w:rPr>
        <w:t xml:space="preserve"> </w:t>
      </w:r>
      <w:r w:rsidRPr="000D1DE6">
        <w:rPr>
          <w:rFonts w:asciiTheme="minorHAnsi" w:eastAsia="Cambria" w:hAnsiTheme="minorHAnsi" w:cs="Cambria"/>
          <w:color w:val="000000"/>
          <w:sz w:val="18"/>
          <w:szCs w:val="18"/>
          <w:lang w:val="es-MX"/>
        </w:rPr>
        <w:t xml:space="preserve">CIDH, Comunicado de prensa 033/21 - </w:t>
      </w:r>
      <w:hyperlink r:id="rId303">
        <w:r w:rsidRPr="000D1DE6">
          <w:rPr>
            <w:rFonts w:asciiTheme="minorHAnsi" w:eastAsia="Cambria" w:hAnsiTheme="minorHAnsi" w:cs="Cambria"/>
            <w:color w:val="0563C1"/>
            <w:sz w:val="18"/>
            <w:szCs w:val="18"/>
            <w:u w:val="single"/>
            <w:lang w:val="es-MX"/>
          </w:rPr>
          <w:t>CIDH concluye visita de trabajo virtual a México sobre personas en situación de movilidad humana, y presenta sus Observaciones Preliminares</w:t>
        </w:r>
      </w:hyperlink>
      <w:r w:rsidRPr="000D1DE6">
        <w:rPr>
          <w:rFonts w:asciiTheme="minorHAnsi" w:eastAsia="Cambria" w:hAnsiTheme="minorHAnsi" w:cs="Cambria"/>
          <w:color w:val="000000"/>
          <w:sz w:val="18"/>
          <w:szCs w:val="18"/>
          <w:lang w:val="es-MX"/>
        </w:rPr>
        <w:t>, Washington, D.C., 12 de febrero de 2021.</w:t>
      </w:r>
    </w:p>
  </w:footnote>
  <w:footnote w:id="386">
    <w:p w14:paraId="5795420A" w14:textId="77777777" w:rsidR="000235D8" w:rsidRPr="000D1DE6" w:rsidRDefault="000235D8" w:rsidP="00F46807">
      <w:pPr>
        <w:pBdr>
          <w:top w:val="nil"/>
          <w:left w:val="nil"/>
          <w:bottom w:val="nil"/>
          <w:right w:val="nil"/>
          <w:between w:val="nil"/>
        </w:pBdr>
        <w:spacing w:after="120" w:line="240" w:lineRule="auto"/>
        <w:ind w:firstLine="720"/>
        <w:jc w:val="both"/>
        <w:rPr>
          <w:rFonts w:asciiTheme="minorHAnsi" w:eastAsia="Cambria" w:hAnsiTheme="minorHAnsi" w:cs="Cambria"/>
          <w:b/>
          <w:color w:val="000000"/>
          <w:sz w:val="18"/>
          <w:szCs w:val="18"/>
          <w:lang w:val="es-MX"/>
        </w:rPr>
      </w:pPr>
      <w:r w:rsidRPr="000D1DE6">
        <w:rPr>
          <w:rStyle w:val="FootnoteReference"/>
          <w:rFonts w:asciiTheme="minorHAnsi" w:hAnsiTheme="minorHAnsi"/>
          <w:sz w:val="18"/>
          <w:szCs w:val="18"/>
          <w:lang w:val="es-MX"/>
        </w:rPr>
        <w:footnoteRef/>
      </w:r>
      <w:r w:rsidRPr="000D1DE6">
        <w:rPr>
          <w:rFonts w:asciiTheme="minorHAnsi" w:eastAsia="Cambria" w:hAnsiTheme="minorHAnsi" w:cs="Cambria"/>
          <w:color w:val="000000"/>
          <w:sz w:val="18"/>
          <w:szCs w:val="18"/>
          <w:lang w:val="es-MX"/>
        </w:rPr>
        <w:t xml:space="preserve"> CIDH, Comunicado de prensa 082/21 - </w:t>
      </w:r>
      <w:hyperlink r:id="rId304">
        <w:r w:rsidRPr="000D1DE6">
          <w:rPr>
            <w:rFonts w:asciiTheme="minorHAnsi" w:eastAsia="Cambria" w:hAnsiTheme="minorHAnsi" w:cs="Cambria"/>
            <w:color w:val="0563C1"/>
            <w:sz w:val="18"/>
            <w:szCs w:val="18"/>
            <w:u w:val="single"/>
            <w:lang w:val="es-MX"/>
          </w:rPr>
          <w:t>La CIDH llama a los Estados de la región a adoptar políticas migratorias y de gestión de fronteras que incorporen un enfoque de derechos humanos</w:t>
        </w:r>
      </w:hyperlink>
      <w:r w:rsidRPr="000D1DE6">
        <w:rPr>
          <w:rFonts w:asciiTheme="minorHAnsi" w:eastAsia="Cambria" w:hAnsiTheme="minorHAnsi" w:cs="Cambria"/>
          <w:color w:val="000000"/>
          <w:sz w:val="18"/>
          <w:szCs w:val="18"/>
          <w:lang w:val="es-MX"/>
        </w:rPr>
        <w:t>, 1 de abril de 2021.</w:t>
      </w:r>
    </w:p>
  </w:footnote>
  <w:footnote w:id="387">
    <w:p w14:paraId="14136A8E" w14:textId="77777777" w:rsidR="000235D8" w:rsidRPr="000D1DE6" w:rsidRDefault="000235D8" w:rsidP="00F46807">
      <w:pPr>
        <w:pBdr>
          <w:top w:val="nil"/>
          <w:left w:val="nil"/>
          <w:bottom w:val="nil"/>
          <w:right w:val="nil"/>
          <w:between w:val="nil"/>
        </w:pBdr>
        <w:spacing w:after="120" w:line="240" w:lineRule="auto"/>
        <w:ind w:firstLine="720"/>
        <w:jc w:val="both"/>
        <w:rPr>
          <w:rFonts w:asciiTheme="minorHAnsi" w:eastAsia="Cambria" w:hAnsiTheme="minorHAnsi" w:cs="Cambria"/>
          <w:color w:val="000000"/>
          <w:sz w:val="18"/>
          <w:szCs w:val="18"/>
          <w:lang w:val="es-MX"/>
        </w:rPr>
      </w:pPr>
      <w:r w:rsidRPr="000D1DE6">
        <w:rPr>
          <w:rStyle w:val="FootnoteReference"/>
          <w:rFonts w:asciiTheme="minorHAnsi" w:hAnsiTheme="minorHAnsi"/>
          <w:sz w:val="18"/>
          <w:szCs w:val="18"/>
          <w:lang w:val="es-MX"/>
        </w:rPr>
        <w:footnoteRef/>
      </w:r>
      <w:r w:rsidRPr="000D1DE6">
        <w:rPr>
          <w:rFonts w:asciiTheme="minorHAnsi" w:eastAsia="Cambria" w:hAnsiTheme="minorHAnsi" w:cs="Cambria"/>
          <w:color w:val="000000"/>
          <w:sz w:val="18"/>
          <w:szCs w:val="18"/>
          <w:lang w:val="es-MX"/>
        </w:rPr>
        <w:t xml:space="preserve"> COMAR, México, </w:t>
      </w:r>
      <w:hyperlink r:id="rId305">
        <w:r w:rsidRPr="000D1DE6">
          <w:rPr>
            <w:rFonts w:asciiTheme="minorHAnsi" w:eastAsia="Cambria" w:hAnsiTheme="minorHAnsi" w:cs="Cambria"/>
            <w:color w:val="0563C1"/>
            <w:sz w:val="18"/>
            <w:szCs w:val="18"/>
            <w:u w:val="single"/>
            <w:lang w:val="es-MX"/>
          </w:rPr>
          <w:t>Chiapas concentra 72 por ciento de las solicitudes de refugio en el país, señala Alejandro Encinas</w:t>
        </w:r>
      </w:hyperlink>
      <w:r w:rsidRPr="000D1DE6">
        <w:rPr>
          <w:rFonts w:asciiTheme="minorHAnsi" w:eastAsia="Cambria" w:hAnsiTheme="minorHAnsi" w:cs="Cambria"/>
          <w:color w:val="000000"/>
          <w:sz w:val="18"/>
          <w:szCs w:val="18"/>
          <w:lang w:val="es-MX"/>
        </w:rPr>
        <w:t>, 24 de julio de 2021.</w:t>
      </w:r>
    </w:p>
  </w:footnote>
  <w:footnote w:id="388">
    <w:p w14:paraId="569EE51B" w14:textId="282EF335" w:rsidR="002F1A6A" w:rsidRPr="000D1DE6" w:rsidRDefault="002F1A6A" w:rsidP="00F46807">
      <w:pPr>
        <w:pStyle w:val="FootnoteText"/>
        <w:spacing w:after="120"/>
        <w:ind w:firstLine="720"/>
      </w:pPr>
      <w:r w:rsidRPr="000D1DE6">
        <w:rPr>
          <w:rStyle w:val="FootnoteReference"/>
        </w:rPr>
        <w:footnoteRef/>
      </w:r>
      <w:r w:rsidRPr="000D1DE6">
        <w:t xml:space="preserve"> </w:t>
      </w:r>
      <w:r w:rsidRPr="000D1DE6">
        <w:rPr>
          <w:rFonts w:asciiTheme="minorHAnsi" w:eastAsia="Cambria" w:hAnsiTheme="minorHAnsi" w:cs="Cambria"/>
          <w:color w:val="000000"/>
          <w:lang w:val="es-MX"/>
        </w:rPr>
        <w:t>Observaciones y comentarios del Estado de 24 de enero de 2022, pág</w:t>
      </w:r>
      <w:r w:rsidRPr="000D1DE6">
        <w:t xml:space="preserve"> 25.</w:t>
      </w:r>
    </w:p>
  </w:footnote>
  <w:footnote w:id="389">
    <w:p w14:paraId="47EB72CC" w14:textId="77777777" w:rsidR="000235D8" w:rsidRPr="000D1DE6" w:rsidRDefault="000235D8" w:rsidP="00F46807">
      <w:pPr>
        <w:pBdr>
          <w:top w:val="nil"/>
          <w:left w:val="nil"/>
          <w:bottom w:val="nil"/>
          <w:right w:val="nil"/>
          <w:between w:val="nil"/>
        </w:pBdr>
        <w:spacing w:after="120" w:line="240" w:lineRule="auto"/>
        <w:ind w:firstLine="720"/>
        <w:jc w:val="both"/>
        <w:rPr>
          <w:rFonts w:asciiTheme="minorHAnsi" w:eastAsia="Cambria" w:hAnsiTheme="minorHAnsi" w:cs="Cambria"/>
          <w:b/>
          <w:color w:val="000000"/>
          <w:sz w:val="18"/>
          <w:szCs w:val="18"/>
          <w:lang w:val="es-MX"/>
        </w:rPr>
      </w:pPr>
      <w:r w:rsidRPr="000D1DE6">
        <w:rPr>
          <w:rStyle w:val="FootnoteReference"/>
          <w:rFonts w:asciiTheme="minorHAnsi" w:hAnsiTheme="minorHAnsi"/>
          <w:sz w:val="18"/>
          <w:szCs w:val="18"/>
          <w:lang w:val="es-MX"/>
        </w:rPr>
        <w:footnoteRef/>
      </w:r>
      <w:r w:rsidRPr="000D1DE6">
        <w:rPr>
          <w:rFonts w:asciiTheme="minorHAnsi" w:eastAsia="Cambria" w:hAnsiTheme="minorHAnsi" w:cs="Cambria"/>
          <w:color w:val="000000"/>
          <w:sz w:val="18"/>
          <w:szCs w:val="18"/>
          <w:lang w:val="es-MX"/>
        </w:rPr>
        <w:t xml:space="preserve"> CIDH, Comunicado de prensa 255/21 - </w:t>
      </w:r>
      <w:hyperlink r:id="rId306">
        <w:r w:rsidRPr="000D1DE6">
          <w:rPr>
            <w:rFonts w:asciiTheme="minorHAnsi" w:eastAsia="Cambria" w:hAnsiTheme="minorHAnsi" w:cs="Cambria"/>
            <w:color w:val="0563C1"/>
            <w:sz w:val="18"/>
            <w:szCs w:val="18"/>
            <w:u w:val="single"/>
            <w:lang w:val="es-MX"/>
          </w:rPr>
          <w:t>La CIDH condena el uso de la fuerza en contra de población en movilidad en México, y llama al Estado a investigar los hechos, y a evitar su repetición</w:t>
        </w:r>
      </w:hyperlink>
      <w:r w:rsidRPr="000D1DE6">
        <w:rPr>
          <w:rFonts w:asciiTheme="minorHAnsi" w:eastAsia="Cambria" w:hAnsiTheme="minorHAnsi" w:cs="Cambria"/>
          <w:color w:val="000000"/>
          <w:sz w:val="18"/>
          <w:szCs w:val="18"/>
          <w:lang w:val="es-MX"/>
        </w:rPr>
        <w:t xml:space="preserve">, Washington, D.C., 27 de septiembre de 2021. INM, México, </w:t>
      </w:r>
      <w:hyperlink r:id="rId307">
        <w:r w:rsidRPr="000D1DE6">
          <w:rPr>
            <w:rFonts w:asciiTheme="minorHAnsi" w:eastAsia="Cambria" w:hAnsiTheme="minorHAnsi" w:cs="Cambria"/>
            <w:color w:val="0563C1"/>
            <w:sz w:val="18"/>
            <w:szCs w:val="18"/>
            <w:u w:val="single"/>
            <w:lang w:val="es-MX"/>
          </w:rPr>
          <w:t>Comunicado No. 081/2021 - INM suspende de sus funciones a dos agentes federales</w:t>
        </w:r>
      </w:hyperlink>
      <w:r w:rsidRPr="000D1DE6">
        <w:rPr>
          <w:rFonts w:asciiTheme="minorHAnsi" w:eastAsia="Cambria" w:hAnsiTheme="minorHAnsi" w:cs="Cambria"/>
          <w:color w:val="000000"/>
          <w:sz w:val="18"/>
          <w:szCs w:val="18"/>
          <w:lang w:val="es-MX"/>
        </w:rPr>
        <w:t>, 30 de agosto de 2021.</w:t>
      </w:r>
    </w:p>
  </w:footnote>
  <w:footnote w:id="390">
    <w:p w14:paraId="2E9FD234" w14:textId="77777777" w:rsidR="000235D8" w:rsidRPr="000D1DE6" w:rsidRDefault="000235D8" w:rsidP="00F46807">
      <w:pPr>
        <w:pBdr>
          <w:top w:val="nil"/>
          <w:left w:val="nil"/>
          <w:bottom w:val="nil"/>
          <w:right w:val="nil"/>
          <w:between w:val="nil"/>
        </w:pBdr>
        <w:spacing w:after="120" w:line="240" w:lineRule="auto"/>
        <w:ind w:firstLine="720"/>
        <w:jc w:val="both"/>
        <w:rPr>
          <w:rFonts w:asciiTheme="minorHAnsi" w:eastAsia="Cambria" w:hAnsiTheme="minorHAnsi" w:cs="Cambria"/>
          <w:b/>
          <w:color w:val="000000"/>
          <w:sz w:val="18"/>
          <w:szCs w:val="18"/>
          <w:lang w:val="es-MX"/>
        </w:rPr>
      </w:pPr>
      <w:r w:rsidRPr="000D1DE6">
        <w:rPr>
          <w:rStyle w:val="FootnoteReference"/>
          <w:rFonts w:asciiTheme="minorHAnsi" w:hAnsiTheme="minorHAnsi"/>
          <w:sz w:val="18"/>
          <w:szCs w:val="18"/>
          <w:lang w:val="es-MX"/>
        </w:rPr>
        <w:footnoteRef/>
      </w:r>
      <w:r w:rsidRPr="000D1DE6">
        <w:rPr>
          <w:rFonts w:asciiTheme="minorHAnsi" w:eastAsia="Cambria" w:hAnsiTheme="minorHAnsi" w:cs="Cambria"/>
          <w:color w:val="000000"/>
          <w:sz w:val="18"/>
          <w:szCs w:val="18"/>
          <w:lang w:val="es-MX"/>
        </w:rPr>
        <w:t xml:space="preserve"> ONU, </w:t>
      </w:r>
      <w:hyperlink r:id="rId308">
        <w:r w:rsidRPr="000D1DE6">
          <w:rPr>
            <w:rFonts w:asciiTheme="minorHAnsi" w:eastAsia="Cambria" w:hAnsiTheme="minorHAnsi" w:cs="Cambria"/>
            <w:color w:val="0563C1"/>
            <w:sz w:val="18"/>
            <w:szCs w:val="18"/>
            <w:u w:val="single"/>
            <w:lang w:val="es-MX"/>
          </w:rPr>
          <w:t>ACNUR, OIM y ONU-DH llaman a respetar los estándares internacionales en el uso de la fuerza</w:t>
        </w:r>
      </w:hyperlink>
      <w:r w:rsidRPr="000D1DE6">
        <w:rPr>
          <w:rFonts w:asciiTheme="minorHAnsi" w:eastAsia="Cambria" w:hAnsiTheme="minorHAnsi" w:cs="Cambria"/>
          <w:color w:val="000000"/>
          <w:sz w:val="18"/>
          <w:szCs w:val="18"/>
          <w:lang w:val="es-MX"/>
        </w:rPr>
        <w:t>, 31 de agosto de 2021.</w:t>
      </w:r>
    </w:p>
  </w:footnote>
  <w:footnote w:id="391">
    <w:p w14:paraId="444FE36A" w14:textId="77777777" w:rsidR="000235D8" w:rsidRPr="000D1DE6" w:rsidRDefault="000235D8" w:rsidP="00F46807">
      <w:pPr>
        <w:pBdr>
          <w:top w:val="nil"/>
          <w:left w:val="nil"/>
          <w:bottom w:val="nil"/>
          <w:right w:val="nil"/>
          <w:between w:val="nil"/>
        </w:pBdr>
        <w:spacing w:after="120" w:line="240" w:lineRule="auto"/>
        <w:ind w:firstLine="720"/>
        <w:jc w:val="both"/>
        <w:rPr>
          <w:rFonts w:asciiTheme="minorHAnsi" w:eastAsia="Cambria" w:hAnsiTheme="minorHAnsi" w:cs="Cambria"/>
          <w:color w:val="000000"/>
          <w:sz w:val="18"/>
          <w:szCs w:val="18"/>
          <w:lang w:val="es-MX"/>
        </w:rPr>
      </w:pPr>
      <w:r w:rsidRPr="000D1DE6">
        <w:rPr>
          <w:rStyle w:val="FootnoteReference"/>
          <w:rFonts w:asciiTheme="minorHAnsi" w:hAnsiTheme="minorHAnsi"/>
          <w:sz w:val="18"/>
          <w:szCs w:val="18"/>
          <w:lang w:val="es-MX"/>
        </w:rPr>
        <w:footnoteRef/>
      </w:r>
      <w:r w:rsidRPr="000D1DE6">
        <w:rPr>
          <w:rFonts w:asciiTheme="minorHAnsi" w:eastAsia="Cambria" w:hAnsiTheme="minorHAnsi" w:cs="Cambria"/>
          <w:color w:val="000000"/>
          <w:sz w:val="18"/>
          <w:szCs w:val="18"/>
          <w:lang w:val="es-MX"/>
        </w:rPr>
        <w:t xml:space="preserve"> CNDH, México, </w:t>
      </w:r>
      <w:hyperlink r:id="rId309">
        <w:r w:rsidRPr="000D1DE6">
          <w:rPr>
            <w:rFonts w:asciiTheme="minorHAnsi" w:eastAsia="Cambria" w:hAnsiTheme="minorHAnsi" w:cs="Cambria"/>
            <w:color w:val="0563C1"/>
            <w:sz w:val="18"/>
            <w:szCs w:val="18"/>
            <w:u w:val="single"/>
            <w:lang w:val="es-MX"/>
          </w:rPr>
          <w:t>Comunicado de prensa DGC/216/2021 - CNDH exhorta a COMAR E INM a fin de agilizar trámites en favor de personas migrantes en Tapachula</w:t>
        </w:r>
      </w:hyperlink>
      <w:r w:rsidRPr="000D1DE6">
        <w:rPr>
          <w:rFonts w:asciiTheme="minorHAnsi" w:eastAsia="Cambria" w:hAnsiTheme="minorHAnsi" w:cs="Cambria"/>
          <w:color w:val="000000"/>
          <w:sz w:val="18"/>
          <w:szCs w:val="18"/>
          <w:lang w:val="es-MX"/>
        </w:rPr>
        <w:t xml:space="preserve">, Chiapas, 29 de agosto de 2021. </w:t>
      </w:r>
      <w:r w:rsidRPr="000D1DE6">
        <w:rPr>
          <w:rFonts w:asciiTheme="minorHAnsi" w:eastAsia="Cambria" w:hAnsiTheme="minorHAnsi" w:cs="Cambria"/>
          <w:sz w:val="18"/>
          <w:szCs w:val="18"/>
          <w:lang w:val="es-MX"/>
        </w:rPr>
        <w:t xml:space="preserve">CNDH, México, </w:t>
      </w:r>
      <w:hyperlink r:id="rId310">
        <w:r w:rsidRPr="000D1DE6">
          <w:rPr>
            <w:rFonts w:asciiTheme="minorHAnsi" w:eastAsia="Cambria" w:hAnsiTheme="minorHAnsi" w:cs="Cambria"/>
            <w:color w:val="0563C1"/>
            <w:sz w:val="18"/>
            <w:szCs w:val="18"/>
            <w:u w:val="single"/>
            <w:lang w:val="es-MX"/>
          </w:rPr>
          <w:t>Comunicado de prensa DGC/220/2021 CNDH investiga agresiones a caravana migrante en Chiapas y emite medidas cautelares para proteger su integridad</w:t>
        </w:r>
      </w:hyperlink>
      <w:r w:rsidRPr="000D1DE6">
        <w:rPr>
          <w:rFonts w:asciiTheme="minorHAnsi" w:eastAsia="Cambria" w:hAnsiTheme="minorHAnsi" w:cs="Cambria"/>
          <w:sz w:val="18"/>
          <w:szCs w:val="18"/>
          <w:lang w:val="es-MX"/>
        </w:rPr>
        <w:t>, 30 de agosto de 2021.</w:t>
      </w:r>
    </w:p>
  </w:footnote>
  <w:footnote w:id="392">
    <w:p w14:paraId="47D44122" w14:textId="77777777" w:rsidR="000235D8" w:rsidRPr="000D1DE6" w:rsidRDefault="000235D8" w:rsidP="00F46807">
      <w:pPr>
        <w:spacing w:after="120" w:line="240" w:lineRule="auto"/>
        <w:ind w:firstLine="720"/>
        <w:jc w:val="both"/>
        <w:rPr>
          <w:rFonts w:asciiTheme="minorHAnsi" w:eastAsia="Cambria" w:hAnsiTheme="minorHAnsi" w:cs="Cambria"/>
          <w:sz w:val="18"/>
          <w:szCs w:val="18"/>
          <w:lang w:val="en-US"/>
        </w:rPr>
      </w:pPr>
      <w:r w:rsidRPr="000D1DE6">
        <w:rPr>
          <w:rStyle w:val="FootnoteReference"/>
          <w:rFonts w:asciiTheme="minorHAnsi" w:hAnsiTheme="minorHAnsi"/>
          <w:sz w:val="18"/>
          <w:szCs w:val="18"/>
          <w:lang w:val="es-MX"/>
        </w:rPr>
        <w:footnoteRef/>
      </w:r>
      <w:r w:rsidRPr="000D1DE6">
        <w:rPr>
          <w:rFonts w:asciiTheme="minorHAnsi" w:eastAsia="Cambria" w:hAnsiTheme="minorHAnsi" w:cs="Cambria"/>
          <w:sz w:val="18"/>
          <w:szCs w:val="18"/>
          <w:lang w:val="es-MX"/>
        </w:rPr>
        <w:t xml:space="preserve"> CIDH [@CIDH]. (26 de octubre de 2021). CIDH condena el uso excesivo de la fuerza contra personas de la caravana de migrantes en Chiapas. </w:t>
      </w:r>
      <w:r w:rsidRPr="000D1DE6">
        <w:rPr>
          <w:rFonts w:asciiTheme="minorHAnsi" w:eastAsia="Cambria" w:hAnsiTheme="minorHAnsi" w:cs="Cambria"/>
          <w:sz w:val="18"/>
          <w:szCs w:val="18"/>
          <w:lang w:val="en-US"/>
        </w:rPr>
        <w:t xml:space="preserve">[Tweet]. Twitter. </w:t>
      </w:r>
      <w:hyperlink r:id="rId311">
        <w:r w:rsidRPr="000D1DE6">
          <w:rPr>
            <w:rFonts w:asciiTheme="minorHAnsi" w:eastAsia="Cambria" w:hAnsiTheme="minorHAnsi" w:cs="Cambria"/>
            <w:color w:val="0563C1"/>
            <w:sz w:val="18"/>
            <w:szCs w:val="18"/>
            <w:u w:val="single"/>
            <w:lang w:val="en-US"/>
          </w:rPr>
          <w:t>https://twitter.com/CIDH/status/1452992812191043593?s=20</w:t>
        </w:r>
      </w:hyperlink>
      <w:r w:rsidRPr="000D1DE6">
        <w:rPr>
          <w:rFonts w:asciiTheme="minorHAnsi" w:eastAsia="Cambria" w:hAnsiTheme="minorHAnsi" w:cs="Cambria"/>
          <w:sz w:val="18"/>
          <w:szCs w:val="18"/>
          <w:lang w:val="en-US"/>
        </w:rPr>
        <w:t>.</w:t>
      </w:r>
    </w:p>
  </w:footnote>
  <w:footnote w:id="393">
    <w:p w14:paraId="34D39735" w14:textId="77777777" w:rsidR="000235D8" w:rsidRPr="000D1DE6" w:rsidRDefault="000235D8" w:rsidP="00F46807">
      <w:pPr>
        <w:spacing w:after="120" w:line="240" w:lineRule="auto"/>
        <w:ind w:firstLine="720"/>
        <w:jc w:val="both"/>
        <w:rPr>
          <w:rFonts w:asciiTheme="minorHAnsi" w:eastAsia="Cambria" w:hAnsiTheme="minorHAnsi" w:cs="Cambria"/>
          <w:sz w:val="18"/>
          <w:szCs w:val="18"/>
          <w:lang w:val="es-MX"/>
        </w:rPr>
      </w:pPr>
      <w:r w:rsidRPr="000D1DE6">
        <w:rPr>
          <w:rStyle w:val="FootnoteReference"/>
          <w:rFonts w:asciiTheme="minorHAnsi" w:hAnsiTheme="minorHAnsi"/>
          <w:sz w:val="18"/>
          <w:szCs w:val="18"/>
          <w:lang w:val="es-MX"/>
        </w:rPr>
        <w:footnoteRef/>
      </w:r>
      <w:r w:rsidRPr="000D1DE6">
        <w:rPr>
          <w:rFonts w:asciiTheme="minorHAnsi" w:eastAsia="Cambria" w:hAnsiTheme="minorHAnsi" w:cs="Cambria"/>
          <w:sz w:val="18"/>
          <w:szCs w:val="18"/>
          <w:lang w:val="en-US"/>
        </w:rPr>
        <w:t xml:space="preserve"> CIDH [@CIDH]. </w:t>
      </w:r>
      <w:r w:rsidRPr="000D1DE6">
        <w:rPr>
          <w:rFonts w:asciiTheme="minorHAnsi" w:eastAsia="Cambria" w:hAnsiTheme="minorHAnsi" w:cs="Cambria"/>
          <w:sz w:val="18"/>
          <w:szCs w:val="18"/>
          <w:lang w:val="es-MX"/>
        </w:rPr>
        <w:t>(4 de noviembre de 2021).</w:t>
      </w:r>
      <w:hyperlink r:id="rId312">
        <w:r w:rsidRPr="000D1DE6">
          <w:rPr>
            <w:rFonts w:asciiTheme="minorHAnsi" w:eastAsia="Cambria" w:hAnsiTheme="minorHAnsi" w:cs="Cambria"/>
            <w:sz w:val="18"/>
            <w:szCs w:val="18"/>
            <w:lang w:val="es-MX"/>
          </w:rPr>
          <w:t xml:space="preserve"> </w:t>
        </w:r>
      </w:hyperlink>
      <w:hyperlink r:id="rId313">
        <w:r w:rsidRPr="000D1DE6">
          <w:rPr>
            <w:rFonts w:asciiTheme="minorHAnsi" w:eastAsia="Cambria" w:hAnsiTheme="minorHAnsi" w:cs="Cambria"/>
            <w:i/>
            <w:sz w:val="18"/>
            <w:szCs w:val="18"/>
            <w:lang w:val="es-MX"/>
          </w:rPr>
          <w:t>#CIDH</w:t>
        </w:r>
      </w:hyperlink>
      <w:r w:rsidRPr="000D1DE6">
        <w:rPr>
          <w:rFonts w:asciiTheme="minorHAnsi" w:eastAsia="Cambria" w:hAnsiTheme="minorHAnsi" w:cs="Cambria"/>
          <w:i/>
          <w:sz w:val="18"/>
          <w:szCs w:val="18"/>
          <w:lang w:val="es-MX"/>
        </w:rPr>
        <w:t xml:space="preserve"> condena la muerte de 2</w:t>
      </w:r>
      <w:hyperlink r:id="rId314">
        <w:r w:rsidRPr="000D1DE6">
          <w:rPr>
            <w:rFonts w:asciiTheme="minorHAnsi" w:eastAsia="Cambria" w:hAnsiTheme="minorHAnsi" w:cs="Cambria"/>
            <w:i/>
            <w:sz w:val="18"/>
            <w:szCs w:val="18"/>
            <w:lang w:val="es-MX"/>
          </w:rPr>
          <w:t xml:space="preserve"> </w:t>
        </w:r>
      </w:hyperlink>
      <w:hyperlink r:id="rId315">
        <w:r w:rsidRPr="000D1DE6">
          <w:rPr>
            <w:rFonts w:asciiTheme="minorHAnsi" w:eastAsia="Cambria" w:hAnsiTheme="minorHAnsi" w:cs="Cambria"/>
            <w:i/>
            <w:sz w:val="18"/>
            <w:szCs w:val="18"/>
            <w:lang w:val="es-MX"/>
          </w:rPr>
          <w:t>#PersonasMigrantes</w:t>
        </w:r>
      </w:hyperlink>
      <w:r w:rsidRPr="000D1DE6">
        <w:rPr>
          <w:rFonts w:asciiTheme="minorHAnsi" w:eastAsia="Cambria" w:hAnsiTheme="minorHAnsi" w:cs="Cambria"/>
          <w:i/>
          <w:sz w:val="18"/>
          <w:szCs w:val="18"/>
          <w:lang w:val="es-MX"/>
        </w:rPr>
        <w:t xml:space="preserve"> a raíz de disparos por agentes de la Guardia Nacional en Chiapas, el</w:t>
      </w:r>
      <w:hyperlink r:id="rId316">
        <w:r w:rsidRPr="000D1DE6">
          <w:rPr>
            <w:rFonts w:asciiTheme="minorHAnsi" w:eastAsia="Cambria" w:hAnsiTheme="minorHAnsi" w:cs="Cambria"/>
            <w:i/>
            <w:sz w:val="18"/>
            <w:szCs w:val="18"/>
            <w:lang w:val="es-MX"/>
          </w:rPr>
          <w:t xml:space="preserve"> </w:t>
        </w:r>
      </w:hyperlink>
      <w:hyperlink r:id="rId317">
        <w:r w:rsidRPr="000D1DE6">
          <w:rPr>
            <w:rFonts w:asciiTheme="minorHAnsi" w:eastAsia="Cambria" w:hAnsiTheme="minorHAnsi" w:cs="Cambria"/>
            <w:i/>
            <w:sz w:val="18"/>
            <w:szCs w:val="18"/>
            <w:lang w:val="es-MX"/>
          </w:rPr>
          <w:t>#31Oct</w:t>
        </w:r>
      </w:hyperlink>
      <w:r w:rsidRPr="000D1DE6">
        <w:rPr>
          <w:rFonts w:asciiTheme="minorHAnsi" w:eastAsia="Cambria" w:hAnsiTheme="minorHAnsi" w:cs="Cambria"/>
          <w:i/>
          <w:sz w:val="18"/>
          <w:szCs w:val="18"/>
          <w:lang w:val="es-MX"/>
        </w:rPr>
        <w:t>.</w:t>
      </w:r>
      <w:r w:rsidRPr="000D1DE6">
        <w:rPr>
          <w:rFonts w:asciiTheme="minorHAnsi" w:eastAsia="Cambria" w:hAnsiTheme="minorHAnsi" w:cs="Cambria"/>
          <w:sz w:val="18"/>
          <w:szCs w:val="18"/>
          <w:lang w:val="es-MX"/>
        </w:rPr>
        <w:t xml:space="preserve"> [Tweet]. Twitter.</w:t>
      </w:r>
      <w:hyperlink r:id="rId318">
        <w:r w:rsidRPr="000D1DE6">
          <w:rPr>
            <w:rFonts w:asciiTheme="minorHAnsi" w:eastAsia="Cambria" w:hAnsiTheme="minorHAnsi" w:cs="Cambria"/>
            <w:sz w:val="18"/>
            <w:szCs w:val="18"/>
            <w:lang w:val="es-MX"/>
          </w:rPr>
          <w:t xml:space="preserve"> </w:t>
        </w:r>
      </w:hyperlink>
      <w:hyperlink r:id="rId319">
        <w:r w:rsidRPr="000D1DE6">
          <w:rPr>
            <w:rFonts w:asciiTheme="minorHAnsi" w:eastAsia="Cambria" w:hAnsiTheme="minorHAnsi" w:cs="Cambria"/>
            <w:color w:val="1155CC"/>
            <w:sz w:val="18"/>
            <w:szCs w:val="18"/>
            <w:u w:val="single"/>
            <w:lang w:val="es-MX"/>
          </w:rPr>
          <w:t>https://twitter.com/CIDH/status/1456262944593825804?s=20</w:t>
        </w:r>
      </w:hyperlink>
      <w:r w:rsidRPr="000D1DE6">
        <w:rPr>
          <w:rFonts w:asciiTheme="minorHAnsi" w:eastAsia="Cambria" w:hAnsiTheme="minorHAnsi" w:cs="Cambria"/>
          <w:sz w:val="18"/>
          <w:szCs w:val="18"/>
          <w:lang w:val="es-MX"/>
        </w:rPr>
        <w:t>.</w:t>
      </w:r>
    </w:p>
  </w:footnote>
  <w:footnote w:id="394">
    <w:p w14:paraId="345CAEA3" w14:textId="2E8C09E4" w:rsidR="000235D8" w:rsidRPr="000D1DE6" w:rsidRDefault="000235D8" w:rsidP="00F46807">
      <w:pPr>
        <w:pBdr>
          <w:top w:val="nil"/>
          <w:left w:val="nil"/>
          <w:bottom w:val="nil"/>
          <w:right w:val="nil"/>
          <w:between w:val="nil"/>
        </w:pBdr>
        <w:spacing w:after="120" w:line="240" w:lineRule="auto"/>
        <w:ind w:firstLine="720"/>
        <w:jc w:val="both"/>
        <w:rPr>
          <w:rFonts w:asciiTheme="minorHAnsi" w:eastAsia="Cambria" w:hAnsiTheme="minorHAnsi" w:cs="Cambria"/>
          <w:color w:val="000000"/>
          <w:sz w:val="18"/>
          <w:szCs w:val="18"/>
          <w:lang w:val="es-MX"/>
        </w:rPr>
      </w:pPr>
      <w:r w:rsidRPr="000D1DE6">
        <w:rPr>
          <w:rStyle w:val="FootnoteReference"/>
          <w:rFonts w:asciiTheme="minorHAnsi" w:hAnsiTheme="minorHAnsi"/>
          <w:sz w:val="18"/>
          <w:szCs w:val="18"/>
          <w:lang w:val="es-MX"/>
        </w:rPr>
        <w:footnoteRef/>
      </w:r>
      <w:r w:rsidRPr="000D1DE6">
        <w:rPr>
          <w:rFonts w:asciiTheme="minorHAnsi" w:eastAsia="Cambria" w:hAnsiTheme="minorHAnsi" w:cs="Cambria"/>
          <w:color w:val="000000"/>
          <w:sz w:val="18"/>
          <w:szCs w:val="18"/>
          <w:lang w:val="es-MX"/>
        </w:rPr>
        <w:t xml:space="preserve"> Misión Permanente de México ante la Organización de los Estados Americanos, Solicitud de información preliminar Visita virtual sobre Movilidad Humana, México, 15 de diciembre de 2020, pág. 2. Archivo CIDH.</w:t>
      </w:r>
    </w:p>
  </w:footnote>
  <w:footnote w:id="395">
    <w:p w14:paraId="62A469A5" w14:textId="77777777" w:rsidR="000235D8" w:rsidRPr="000D1DE6" w:rsidRDefault="000235D8" w:rsidP="00F46807">
      <w:pPr>
        <w:pBdr>
          <w:top w:val="nil"/>
          <w:left w:val="nil"/>
          <w:bottom w:val="nil"/>
          <w:right w:val="nil"/>
          <w:between w:val="nil"/>
        </w:pBdr>
        <w:spacing w:after="120" w:line="240" w:lineRule="auto"/>
        <w:ind w:firstLine="720"/>
        <w:jc w:val="both"/>
        <w:rPr>
          <w:rFonts w:asciiTheme="minorHAnsi" w:eastAsia="Cambria" w:hAnsiTheme="minorHAnsi" w:cs="Cambria"/>
          <w:color w:val="000000"/>
          <w:sz w:val="18"/>
          <w:szCs w:val="18"/>
          <w:lang w:val="es-MX"/>
        </w:rPr>
      </w:pPr>
      <w:r w:rsidRPr="000D1DE6">
        <w:rPr>
          <w:rStyle w:val="FootnoteReference"/>
          <w:rFonts w:asciiTheme="minorHAnsi" w:hAnsiTheme="minorHAnsi"/>
          <w:sz w:val="18"/>
          <w:szCs w:val="18"/>
          <w:lang w:val="es-MX"/>
        </w:rPr>
        <w:footnoteRef/>
      </w:r>
      <w:r w:rsidRPr="000D1DE6">
        <w:rPr>
          <w:rFonts w:asciiTheme="minorHAnsi" w:eastAsia="Cambria" w:hAnsiTheme="minorHAnsi" w:cs="Cambria"/>
          <w:color w:val="000000"/>
          <w:sz w:val="18"/>
          <w:szCs w:val="18"/>
          <w:lang w:val="es-MX"/>
        </w:rPr>
        <w:t xml:space="preserve"> COMAR, México, </w:t>
      </w:r>
      <w:hyperlink r:id="rId320">
        <w:r w:rsidRPr="000D1DE6">
          <w:rPr>
            <w:rFonts w:asciiTheme="minorHAnsi" w:eastAsia="Cambria" w:hAnsiTheme="minorHAnsi" w:cs="Cambria"/>
            <w:color w:val="0563C1"/>
            <w:sz w:val="18"/>
            <w:szCs w:val="18"/>
            <w:u w:val="single"/>
            <w:lang w:val="es-MX"/>
          </w:rPr>
          <w:t>Optimiza Comar procesos de atención en Tapachula</w:t>
        </w:r>
      </w:hyperlink>
      <w:r w:rsidRPr="000D1DE6">
        <w:rPr>
          <w:rFonts w:asciiTheme="minorHAnsi" w:eastAsia="Cambria" w:hAnsiTheme="minorHAnsi" w:cs="Cambria"/>
          <w:color w:val="000000"/>
          <w:sz w:val="18"/>
          <w:szCs w:val="18"/>
          <w:lang w:val="es-MX"/>
        </w:rPr>
        <w:t>, Chiapas, 19 de julio de 2021.</w:t>
      </w:r>
    </w:p>
  </w:footnote>
  <w:footnote w:id="396">
    <w:p w14:paraId="5875D541" w14:textId="77777777" w:rsidR="000235D8" w:rsidRPr="000D1DE6" w:rsidRDefault="000235D8" w:rsidP="00F46807">
      <w:pPr>
        <w:pBdr>
          <w:top w:val="nil"/>
          <w:left w:val="nil"/>
          <w:bottom w:val="nil"/>
          <w:right w:val="nil"/>
          <w:between w:val="nil"/>
        </w:pBdr>
        <w:spacing w:after="120" w:line="240" w:lineRule="auto"/>
        <w:ind w:firstLine="720"/>
        <w:jc w:val="both"/>
        <w:rPr>
          <w:rFonts w:asciiTheme="minorHAnsi" w:eastAsia="Cambria" w:hAnsiTheme="minorHAnsi" w:cs="Cambria"/>
          <w:color w:val="000000"/>
          <w:sz w:val="18"/>
          <w:szCs w:val="18"/>
          <w:lang w:val="es-MX"/>
        </w:rPr>
      </w:pPr>
      <w:r w:rsidRPr="000D1DE6">
        <w:rPr>
          <w:rStyle w:val="FootnoteReference"/>
          <w:rFonts w:asciiTheme="minorHAnsi" w:hAnsiTheme="minorHAnsi"/>
          <w:sz w:val="18"/>
          <w:szCs w:val="18"/>
          <w:lang w:val="es-MX"/>
        </w:rPr>
        <w:footnoteRef/>
      </w:r>
      <w:r w:rsidRPr="000D1DE6">
        <w:rPr>
          <w:rFonts w:asciiTheme="minorHAnsi" w:eastAsia="Cambria" w:hAnsiTheme="minorHAnsi" w:cs="Cambria"/>
          <w:color w:val="000000"/>
          <w:sz w:val="18"/>
          <w:szCs w:val="18"/>
          <w:lang w:val="es-MX"/>
        </w:rPr>
        <w:t xml:space="preserve"> CIDH, Comunicado de prensa 255/21 - </w:t>
      </w:r>
      <w:hyperlink r:id="rId321">
        <w:r w:rsidRPr="000D1DE6">
          <w:rPr>
            <w:rFonts w:asciiTheme="minorHAnsi" w:eastAsia="Cambria" w:hAnsiTheme="minorHAnsi" w:cs="Cambria"/>
            <w:color w:val="0563C1"/>
            <w:sz w:val="18"/>
            <w:szCs w:val="18"/>
            <w:u w:val="single"/>
            <w:lang w:val="es-MX"/>
          </w:rPr>
          <w:t>La CIDH condena el uso de la fuerza en contra de población en movilidad en México, y llama al Estado a investigar los hechos, y a evitar su repetición</w:t>
        </w:r>
      </w:hyperlink>
      <w:r w:rsidRPr="000D1DE6">
        <w:rPr>
          <w:rFonts w:asciiTheme="minorHAnsi" w:eastAsia="Cambria" w:hAnsiTheme="minorHAnsi" w:cs="Cambria"/>
          <w:color w:val="000000"/>
          <w:sz w:val="18"/>
          <w:szCs w:val="18"/>
          <w:lang w:val="es-MX"/>
        </w:rPr>
        <w:t xml:space="preserve">, Washington, D.C., 27 de septiembre de 2021. CIDH, </w:t>
      </w:r>
      <w:hyperlink r:id="rId322">
        <w:r w:rsidRPr="000D1DE6">
          <w:rPr>
            <w:rFonts w:asciiTheme="minorHAnsi" w:eastAsia="Cambria" w:hAnsiTheme="minorHAnsi" w:cs="Cambria"/>
            <w:color w:val="0563C1"/>
            <w:sz w:val="18"/>
            <w:szCs w:val="18"/>
            <w:u w:val="single"/>
            <w:lang w:val="es-MX"/>
          </w:rPr>
          <w:t>Debido proceso en los procedimientos para la determinación de la condición de persona refugiada, y apátrida y el otorgamiento de protección complementaria</w:t>
        </w:r>
      </w:hyperlink>
      <w:r w:rsidRPr="000D1DE6">
        <w:rPr>
          <w:rFonts w:asciiTheme="minorHAnsi" w:eastAsia="Cambria" w:hAnsiTheme="minorHAnsi" w:cs="Cambria"/>
          <w:color w:val="000000"/>
          <w:sz w:val="18"/>
          <w:szCs w:val="18"/>
          <w:lang w:val="es-MX"/>
        </w:rPr>
        <w:t>, OEA/Ser.L/V/II., Doc. 255, 5 agosto 2020.</w:t>
      </w:r>
    </w:p>
  </w:footnote>
  <w:footnote w:id="397">
    <w:p w14:paraId="3B82F12F" w14:textId="77777777" w:rsidR="000235D8" w:rsidRPr="000D1DE6" w:rsidRDefault="000235D8" w:rsidP="00F46807">
      <w:pPr>
        <w:pStyle w:val="FootnoteText"/>
        <w:spacing w:after="120"/>
        <w:ind w:firstLine="720"/>
        <w:rPr>
          <w:rFonts w:asciiTheme="minorHAnsi" w:hAnsiTheme="minorHAnsi"/>
          <w:lang w:val="es-MX"/>
        </w:rPr>
      </w:pPr>
      <w:r w:rsidRPr="000D1DE6">
        <w:rPr>
          <w:rStyle w:val="FootnoteReference"/>
          <w:rFonts w:asciiTheme="minorHAnsi" w:hAnsiTheme="minorHAnsi"/>
          <w:lang w:val="es-MX"/>
        </w:rPr>
        <w:footnoteRef/>
      </w:r>
      <w:r w:rsidRPr="000D1DE6">
        <w:rPr>
          <w:rFonts w:asciiTheme="minorHAnsi" w:hAnsiTheme="minorHAnsi"/>
          <w:lang w:val="es-MX"/>
        </w:rPr>
        <w:t xml:space="preserve"> CIDH, </w:t>
      </w:r>
      <w:hyperlink r:id="rId323">
        <w:r w:rsidRPr="000D1DE6">
          <w:rPr>
            <w:rFonts w:asciiTheme="minorHAnsi" w:hAnsiTheme="minorHAnsi"/>
            <w:lang w:val="es-MX"/>
          </w:rPr>
          <w:t>Resolución 04/19 Principios interamericanos sobre los derechos humanos de todas las personas migrantes, refugiadas, apátridas y las víctimas de la trata de personas</w:t>
        </w:r>
      </w:hyperlink>
      <w:r w:rsidRPr="000D1DE6">
        <w:rPr>
          <w:rFonts w:asciiTheme="minorHAnsi" w:hAnsiTheme="minorHAnsi"/>
          <w:lang w:val="es-MX"/>
        </w:rPr>
        <w:t>, 7 de diciembre de 2019, Principios 10, 49, 65.</w:t>
      </w:r>
    </w:p>
  </w:footnote>
  <w:footnote w:id="398">
    <w:p w14:paraId="296B785C" w14:textId="77777777" w:rsidR="000235D8" w:rsidRPr="000D1DE6" w:rsidRDefault="000235D8" w:rsidP="00F46807">
      <w:pPr>
        <w:pBdr>
          <w:top w:val="nil"/>
          <w:left w:val="nil"/>
          <w:bottom w:val="nil"/>
          <w:right w:val="nil"/>
          <w:between w:val="nil"/>
        </w:pBdr>
        <w:spacing w:after="120" w:line="240" w:lineRule="auto"/>
        <w:ind w:firstLine="720"/>
        <w:jc w:val="both"/>
        <w:rPr>
          <w:rFonts w:asciiTheme="minorHAnsi" w:eastAsia="Cambria" w:hAnsiTheme="minorHAnsi" w:cs="Cambria"/>
          <w:color w:val="000000"/>
          <w:sz w:val="18"/>
          <w:szCs w:val="18"/>
          <w:lang w:val="es-MX"/>
        </w:rPr>
      </w:pPr>
      <w:r w:rsidRPr="000D1DE6">
        <w:rPr>
          <w:rStyle w:val="FootnoteReference"/>
          <w:rFonts w:asciiTheme="minorHAnsi" w:hAnsiTheme="minorHAnsi"/>
          <w:sz w:val="18"/>
          <w:szCs w:val="18"/>
          <w:lang w:val="es-MX"/>
        </w:rPr>
        <w:footnoteRef/>
      </w:r>
      <w:r w:rsidRPr="000D1DE6">
        <w:rPr>
          <w:rFonts w:asciiTheme="minorHAnsi" w:eastAsia="Cambria" w:hAnsiTheme="minorHAnsi" w:cs="Cambria"/>
          <w:color w:val="000000"/>
          <w:sz w:val="18"/>
          <w:szCs w:val="18"/>
          <w:lang w:val="es-MX"/>
        </w:rPr>
        <w:t xml:space="preserve"> CIDH, </w:t>
      </w:r>
      <w:hyperlink r:id="rId324">
        <w:r w:rsidRPr="000D1DE6">
          <w:rPr>
            <w:rFonts w:asciiTheme="minorHAnsi" w:eastAsia="Cambria" w:hAnsiTheme="minorHAnsi" w:cs="Cambria"/>
            <w:color w:val="0563C1"/>
            <w:sz w:val="18"/>
            <w:szCs w:val="18"/>
            <w:u w:val="single"/>
            <w:lang w:val="es-MX"/>
          </w:rPr>
          <w:t>Audiencia pública “Protección de los derechos humanos de las personas en situación de movilidad humana en México</w:t>
        </w:r>
      </w:hyperlink>
      <w:r w:rsidRPr="000D1DE6">
        <w:rPr>
          <w:rFonts w:asciiTheme="minorHAnsi" w:eastAsia="Cambria" w:hAnsiTheme="minorHAnsi" w:cs="Cambria"/>
          <w:color w:val="0563C1"/>
          <w:sz w:val="18"/>
          <w:szCs w:val="18"/>
          <w:u w:val="single"/>
          <w:lang w:val="es-MX"/>
        </w:rPr>
        <w:t>”</w:t>
      </w:r>
      <w:r w:rsidRPr="000D1DE6">
        <w:rPr>
          <w:rFonts w:asciiTheme="minorHAnsi" w:eastAsia="Cambria" w:hAnsiTheme="minorHAnsi" w:cs="Cambria"/>
          <w:color w:val="000000"/>
          <w:sz w:val="18"/>
          <w:szCs w:val="18"/>
          <w:lang w:val="es-MX"/>
        </w:rPr>
        <w:t>, 180 periodo ordinario de sesiones, 1 de julio de 2021.</w:t>
      </w:r>
    </w:p>
  </w:footnote>
  <w:footnote w:id="399">
    <w:p w14:paraId="1AF5248F" w14:textId="77777777" w:rsidR="000235D8" w:rsidRPr="000D1DE6" w:rsidRDefault="000235D8" w:rsidP="00F46807">
      <w:pPr>
        <w:pBdr>
          <w:top w:val="nil"/>
          <w:left w:val="nil"/>
          <w:bottom w:val="nil"/>
          <w:right w:val="nil"/>
          <w:between w:val="nil"/>
        </w:pBdr>
        <w:spacing w:after="120" w:line="240" w:lineRule="auto"/>
        <w:ind w:firstLine="720"/>
        <w:jc w:val="both"/>
        <w:rPr>
          <w:rFonts w:asciiTheme="minorHAnsi" w:eastAsia="Cambria" w:hAnsiTheme="minorHAnsi" w:cs="Cambria"/>
          <w:color w:val="000000"/>
          <w:sz w:val="18"/>
          <w:szCs w:val="18"/>
          <w:lang w:val="es-MX"/>
        </w:rPr>
      </w:pPr>
      <w:r w:rsidRPr="000D1DE6">
        <w:rPr>
          <w:rStyle w:val="FootnoteReference"/>
          <w:rFonts w:asciiTheme="minorHAnsi" w:hAnsiTheme="minorHAnsi"/>
          <w:sz w:val="18"/>
          <w:szCs w:val="18"/>
          <w:lang w:val="es-MX"/>
        </w:rPr>
        <w:footnoteRef/>
      </w:r>
      <w:r w:rsidRPr="000D1DE6">
        <w:rPr>
          <w:rFonts w:asciiTheme="minorHAnsi" w:eastAsia="Cambria" w:hAnsiTheme="minorHAnsi" w:cs="Cambria"/>
          <w:color w:val="000000"/>
          <w:sz w:val="18"/>
          <w:szCs w:val="18"/>
          <w:lang w:val="es-MX"/>
        </w:rPr>
        <w:t xml:space="preserve"> CIDH, </w:t>
      </w:r>
      <w:hyperlink r:id="rId325">
        <w:r w:rsidRPr="000D1DE6">
          <w:rPr>
            <w:rFonts w:asciiTheme="minorHAnsi" w:eastAsia="Cambria" w:hAnsiTheme="minorHAnsi" w:cs="Cambria"/>
            <w:color w:val="0563C1"/>
            <w:sz w:val="18"/>
            <w:szCs w:val="18"/>
            <w:u w:val="single"/>
            <w:lang w:val="es-MX"/>
          </w:rPr>
          <w:t>Audiencia pública “Protección de los derechos humanos de las personas en situación de movilidad humana en México</w:t>
        </w:r>
      </w:hyperlink>
      <w:r w:rsidRPr="000D1DE6">
        <w:rPr>
          <w:rFonts w:asciiTheme="minorHAnsi" w:eastAsia="Cambria" w:hAnsiTheme="minorHAnsi" w:cs="Cambria"/>
          <w:color w:val="0563C1"/>
          <w:sz w:val="18"/>
          <w:szCs w:val="18"/>
          <w:u w:val="single"/>
          <w:lang w:val="es-MX"/>
        </w:rPr>
        <w:t>”</w:t>
      </w:r>
      <w:r w:rsidRPr="000D1DE6">
        <w:rPr>
          <w:rFonts w:asciiTheme="minorHAnsi" w:eastAsia="Cambria" w:hAnsiTheme="minorHAnsi" w:cs="Cambria"/>
          <w:color w:val="000000"/>
          <w:sz w:val="18"/>
          <w:szCs w:val="18"/>
          <w:lang w:val="es-MX"/>
        </w:rPr>
        <w:t>, 180 periodo ordinario de sesiones, 1 de julio de 2021.</w:t>
      </w:r>
    </w:p>
  </w:footnote>
  <w:footnote w:id="400">
    <w:p w14:paraId="07B5171B" w14:textId="20759FE8" w:rsidR="002F1A6A" w:rsidRPr="000D1DE6" w:rsidRDefault="002F1A6A" w:rsidP="00F46807">
      <w:pPr>
        <w:pStyle w:val="FootnoteText"/>
        <w:spacing w:after="120"/>
        <w:ind w:firstLine="720"/>
      </w:pPr>
      <w:r w:rsidRPr="000D1DE6">
        <w:rPr>
          <w:rStyle w:val="FootnoteReference"/>
        </w:rPr>
        <w:footnoteRef/>
      </w:r>
      <w:r w:rsidRPr="000D1DE6">
        <w:t xml:space="preserve"> </w:t>
      </w:r>
      <w:r w:rsidRPr="000D1DE6">
        <w:rPr>
          <w:rFonts w:asciiTheme="minorHAnsi" w:eastAsia="Cambria" w:hAnsiTheme="minorHAnsi" w:cs="Cambria"/>
          <w:color w:val="000000"/>
          <w:lang w:val="es-MX"/>
        </w:rPr>
        <w:t>Observaciones y comentarios del Estado de 24 de enero de 2022, pág</w:t>
      </w:r>
      <w:r w:rsidRPr="000D1DE6">
        <w:t xml:space="preserve"> 26</w:t>
      </w:r>
    </w:p>
  </w:footnote>
  <w:footnote w:id="401">
    <w:p w14:paraId="49885232" w14:textId="77777777" w:rsidR="000235D8" w:rsidRPr="000D1DE6" w:rsidRDefault="000235D8" w:rsidP="00F46807">
      <w:pPr>
        <w:pBdr>
          <w:top w:val="nil"/>
          <w:left w:val="nil"/>
          <w:bottom w:val="nil"/>
          <w:right w:val="nil"/>
          <w:between w:val="nil"/>
        </w:pBdr>
        <w:spacing w:after="120" w:line="240" w:lineRule="auto"/>
        <w:ind w:firstLine="720"/>
        <w:jc w:val="both"/>
        <w:rPr>
          <w:rFonts w:asciiTheme="minorHAnsi" w:eastAsia="Cambria" w:hAnsiTheme="minorHAnsi" w:cs="Cambria"/>
          <w:color w:val="000000"/>
          <w:sz w:val="18"/>
          <w:szCs w:val="18"/>
          <w:lang w:val="es-MX"/>
        </w:rPr>
      </w:pPr>
      <w:r w:rsidRPr="000D1DE6">
        <w:rPr>
          <w:rStyle w:val="FootnoteReference"/>
          <w:rFonts w:asciiTheme="minorHAnsi" w:hAnsiTheme="minorHAnsi"/>
          <w:sz w:val="18"/>
          <w:szCs w:val="18"/>
          <w:lang w:val="es-MX"/>
        </w:rPr>
        <w:footnoteRef/>
      </w:r>
      <w:r w:rsidRPr="000D1DE6">
        <w:rPr>
          <w:rFonts w:asciiTheme="minorHAnsi" w:eastAsia="Cambria" w:hAnsiTheme="minorHAnsi" w:cs="Cambria"/>
          <w:color w:val="000000"/>
          <w:sz w:val="18"/>
          <w:szCs w:val="18"/>
          <w:lang w:val="es-MX"/>
        </w:rPr>
        <w:t xml:space="preserve"> CIDH, </w:t>
      </w:r>
      <w:hyperlink r:id="rId326">
        <w:r w:rsidRPr="000D1DE6">
          <w:rPr>
            <w:rFonts w:asciiTheme="minorHAnsi" w:eastAsia="Cambria" w:hAnsiTheme="minorHAnsi" w:cs="Cambria"/>
            <w:color w:val="0563C1"/>
            <w:sz w:val="18"/>
            <w:szCs w:val="18"/>
            <w:u w:val="single"/>
            <w:lang w:val="es-MX"/>
          </w:rPr>
          <w:t>Derechos humanos de los migrantes y otras personas en el contexto de la movilidad humana en México</w:t>
        </w:r>
      </w:hyperlink>
      <w:r w:rsidRPr="000D1DE6">
        <w:rPr>
          <w:rFonts w:asciiTheme="minorHAnsi" w:eastAsia="Cambria" w:hAnsiTheme="minorHAnsi" w:cs="Cambria"/>
          <w:color w:val="000000"/>
          <w:sz w:val="18"/>
          <w:szCs w:val="18"/>
          <w:lang w:val="es-MX"/>
        </w:rPr>
        <w:t>, OEA/Ser.L/V/II., Doc. 48/13, 30 de diciembre 2013, párr. 409.1; 409.6; 409.7.</w:t>
      </w:r>
    </w:p>
  </w:footnote>
  <w:footnote w:id="402">
    <w:p w14:paraId="0DC6369D" w14:textId="77777777" w:rsidR="000235D8" w:rsidRPr="000D1DE6" w:rsidRDefault="000235D8" w:rsidP="00F46807">
      <w:pPr>
        <w:pBdr>
          <w:top w:val="nil"/>
          <w:left w:val="nil"/>
          <w:bottom w:val="nil"/>
          <w:right w:val="nil"/>
          <w:between w:val="nil"/>
        </w:pBdr>
        <w:spacing w:after="120" w:line="240" w:lineRule="auto"/>
        <w:ind w:firstLine="720"/>
        <w:jc w:val="both"/>
        <w:rPr>
          <w:rFonts w:asciiTheme="minorHAnsi" w:eastAsia="Cambria" w:hAnsiTheme="minorHAnsi" w:cs="Cambria"/>
          <w:color w:val="000000"/>
          <w:sz w:val="18"/>
          <w:szCs w:val="18"/>
          <w:lang w:val="es-MX"/>
        </w:rPr>
      </w:pPr>
      <w:r w:rsidRPr="000D1DE6">
        <w:rPr>
          <w:rStyle w:val="FootnoteReference"/>
          <w:rFonts w:asciiTheme="minorHAnsi" w:hAnsiTheme="minorHAnsi"/>
          <w:sz w:val="18"/>
          <w:szCs w:val="18"/>
          <w:lang w:val="es-MX"/>
        </w:rPr>
        <w:footnoteRef/>
      </w:r>
      <w:r w:rsidRPr="000D1DE6">
        <w:rPr>
          <w:rFonts w:asciiTheme="minorHAnsi" w:eastAsia="Cambria" w:hAnsiTheme="minorHAnsi" w:cs="Cambria"/>
          <w:color w:val="000000"/>
          <w:sz w:val="18"/>
          <w:szCs w:val="18"/>
          <w:lang w:val="es-MX"/>
        </w:rPr>
        <w:t xml:space="preserve"> CNDH, México, </w:t>
      </w:r>
      <w:hyperlink r:id="rId327">
        <w:r w:rsidRPr="000D1DE6">
          <w:rPr>
            <w:rFonts w:asciiTheme="minorHAnsi" w:eastAsia="Cambria" w:hAnsiTheme="minorHAnsi" w:cs="Cambria"/>
            <w:color w:val="0563C1"/>
            <w:sz w:val="18"/>
            <w:szCs w:val="18"/>
            <w:u w:val="single"/>
            <w:lang w:val="es-MX"/>
          </w:rPr>
          <w:t>Comunicado de Prensa 18/2021 - CNDH inicia investigación por el hallazgo de 19 cadáveres en el poblado de Santa Anita, municipio de Camargo, Tamaulipas</w:t>
        </w:r>
      </w:hyperlink>
      <w:r w:rsidRPr="000D1DE6">
        <w:rPr>
          <w:rFonts w:asciiTheme="minorHAnsi" w:eastAsia="Cambria" w:hAnsiTheme="minorHAnsi" w:cs="Cambria"/>
          <w:color w:val="000000"/>
          <w:sz w:val="18"/>
          <w:szCs w:val="18"/>
          <w:lang w:val="es-MX"/>
        </w:rPr>
        <w:t>, 24 de enero de 2021. El Universal,</w:t>
      </w:r>
      <w:hyperlink r:id="rId328">
        <w:r w:rsidRPr="000D1DE6">
          <w:rPr>
            <w:rFonts w:asciiTheme="minorHAnsi" w:eastAsia="Cambria" w:hAnsiTheme="minorHAnsi" w:cs="Cambria"/>
            <w:color w:val="0563C1"/>
            <w:sz w:val="18"/>
            <w:szCs w:val="18"/>
            <w:u w:val="single"/>
            <w:lang w:val="es-MX"/>
          </w:rPr>
          <w:t xml:space="preserve"> “No es un San Fernando”, dice Sánchez Cordero sobre los 19 cuerpos calcinados encontrados en Tamaulipas”</w:t>
        </w:r>
      </w:hyperlink>
      <w:r w:rsidRPr="000D1DE6">
        <w:rPr>
          <w:rFonts w:asciiTheme="minorHAnsi" w:eastAsia="Cambria" w:hAnsiTheme="minorHAnsi" w:cs="Cambria"/>
          <w:color w:val="000000"/>
          <w:sz w:val="18"/>
          <w:szCs w:val="18"/>
          <w:lang w:val="es-MX"/>
        </w:rPr>
        <w:t xml:space="preserve">, 27 de enero de 2021. El Universal, </w:t>
      </w:r>
      <w:hyperlink r:id="rId329">
        <w:r w:rsidRPr="000D1DE6">
          <w:rPr>
            <w:rFonts w:asciiTheme="minorHAnsi" w:eastAsia="Cambria" w:hAnsiTheme="minorHAnsi" w:cs="Cambria"/>
            <w:color w:val="0563C1"/>
            <w:sz w:val="18"/>
            <w:szCs w:val="18"/>
            <w:u w:val="single"/>
            <w:lang w:val="es-MX"/>
          </w:rPr>
          <w:t>Se indaga a personal de migración por camioneta hallada con 19 calcinados: Sánchez Cordero</w:t>
        </w:r>
      </w:hyperlink>
      <w:r w:rsidRPr="000D1DE6">
        <w:rPr>
          <w:rFonts w:asciiTheme="minorHAnsi" w:eastAsia="Cambria" w:hAnsiTheme="minorHAnsi" w:cs="Cambria"/>
          <w:color w:val="000000"/>
          <w:sz w:val="18"/>
          <w:szCs w:val="18"/>
          <w:lang w:val="es-MX"/>
        </w:rPr>
        <w:t>, 2 de febrero de 2021.</w:t>
      </w:r>
    </w:p>
  </w:footnote>
  <w:footnote w:id="403">
    <w:p w14:paraId="0829CE79" w14:textId="77777777" w:rsidR="000235D8" w:rsidRPr="000D1DE6" w:rsidRDefault="000235D8" w:rsidP="00F46807">
      <w:pPr>
        <w:pBdr>
          <w:top w:val="nil"/>
          <w:left w:val="nil"/>
          <w:bottom w:val="nil"/>
          <w:right w:val="nil"/>
          <w:between w:val="nil"/>
        </w:pBdr>
        <w:spacing w:after="120" w:line="240" w:lineRule="auto"/>
        <w:ind w:firstLine="720"/>
        <w:jc w:val="both"/>
        <w:rPr>
          <w:rFonts w:asciiTheme="minorHAnsi" w:eastAsia="Cambria" w:hAnsiTheme="minorHAnsi" w:cs="Cambria"/>
          <w:color w:val="000000"/>
          <w:sz w:val="18"/>
          <w:szCs w:val="18"/>
          <w:lang w:val="es-MX"/>
        </w:rPr>
      </w:pPr>
      <w:r w:rsidRPr="000D1DE6">
        <w:rPr>
          <w:rStyle w:val="FootnoteReference"/>
          <w:rFonts w:asciiTheme="minorHAnsi" w:hAnsiTheme="minorHAnsi"/>
          <w:sz w:val="18"/>
          <w:szCs w:val="18"/>
          <w:lang w:val="es-MX"/>
        </w:rPr>
        <w:footnoteRef/>
      </w:r>
      <w:r w:rsidRPr="000D1DE6">
        <w:rPr>
          <w:rFonts w:asciiTheme="minorHAnsi" w:eastAsia="Cambria" w:hAnsiTheme="minorHAnsi" w:cs="Cambria"/>
          <w:color w:val="000000"/>
          <w:sz w:val="18"/>
          <w:szCs w:val="18"/>
          <w:lang w:val="es-MX"/>
        </w:rPr>
        <w:t xml:space="preserve"> ONU-DH, </w:t>
      </w:r>
      <w:hyperlink r:id="rId330">
        <w:r w:rsidRPr="000D1DE6">
          <w:rPr>
            <w:rFonts w:asciiTheme="minorHAnsi" w:eastAsia="Cambria" w:hAnsiTheme="minorHAnsi" w:cs="Cambria"/>
            <w:color w:val="0563C1"/>
            <w:sz w:val="18"/>
            <w:szCs w:val="18"/>
            <w:u w:val="single"/>
            <w:lang w:val="es-MX"/>
          </w:rPr>
          <w:t>ONU-DH alienta a continuar avanzando en las investigaciones de la masacre de 19 personas en Tamaulipas y a garantizar los derechos de las familias de las víctimas</w:t>
        </w:r>
      </w:hyperlink>
      <w:r w:rsidRPr="000D1DE6">
        <w:rPr>
          <w:rFonts w:asciiTheme="minorHAnsi" w:eastAsia="Cambria" w:hAnsiTheme="minorHAnsi" w:cs="Cambria"/>
          <w:color w:val="000000"/>
          <w:sz w:val="18"/>
          <w:szCs w:val="18"/>
          <w:lang w:val="es-MX"/>
        </w:rPr>
        <w:t>, 4 de febrero de 2021.</w:t>
      </w:r>
    </w:p>
  </w:footnote>
  <w:footnote w:id="404">
    <w:p w14:paraId="46E2BC97" w14:textId="77777777" w:rsidR="000235D8" w:rsidRPr="000D1DE6" w:rsidRDefault="000235D8" w:rsidP="00F46807">
      <w:pPr>
        <w:pBdr>
          <w:top w:val="nil"/>
          <w:left w:val="nil"/>
          <w:bottom w:val="nil"/>
          <w:right w:val="nil"/>
          <w:between w:val="nil"/>
        </w:pBdr>
        <w:spacing w:after="120" w:line="240" w:lineRule="auto"/>
        <w:ind w:firstLine="720"/>
        <w:jc w:val="both"/>
        <w:rPr>
          <w:rFonts w:asciiTheme="minorHAnsi" w:eastAsia="Cambria" w:hAnsiTheme="minorHAnsi" w:cs="Cambria"/>
          <w:color w:val="000000"/>
          <w:sz w:val="18"/>
          <w:szCs w:val="18"/>
          <w:lang w:val="es-MX"/>
        </w:rPr>
      </w:pPr>
      <w:r w:rsidRPr="000D1DE6">
        <w:rPr>
          <w:rStyle w:val="FootnoteReference"/>
          <w:rFonts w:asciiTheme="minorHAnsi" w:hAnsiTheme="minorHAnsi"/>
          <w:sz w:val="18"/>
          <w:szCs w:val="18"/>
          <w:lang w:val="es-MX"/>
        </w:rPr>
        <w:footnoteRef/>
      </w:r>
      <w:r w:rsidRPr="000D1DE6">
        <w:rPr>
          <w:rFonts w:asciiTheme="minorHAnsi" w:eastAsia="Cambria" w:hAnsiTheme="minorHAnsi" w:cs="Cambria"/>
          <w:color w:val="000000"/>
          <w:sz w:val="18"/>
          <w:szCs w:val="18"/>
          <w:lang w:val="es-MX"/>
        </w:rPr>
        <w:t xml:space="preserve"> ONU, </w:t>
      </w:r>
      <w:hyperlink r:id="rId331">
        <w:r w:rsidRPr="000D1DE6">
          <w:rPr>
            <w:rFonts w:asciiTheme="minorHAnsi" w:eastAsia="Cambria" w:hAnsiTheme="minorHAnsi" w:cs="Cambria"/>
            <w:color w:val="0563C1"/>
            <w:sz w:val="18"/>
            <w:szCs w:val="18"/>
            <w:u w:val="single"/>
            <w:lang w:val="es-MX"/>
          </w:rPr>
          <w:t>Comunicado conjunto de las instituciones nacionales de derechos humanos de El Salvador, Guatemala, Honduras y México y las oficinas del Alto Comisionado de las Naciones Unidas para los Derechos Humanos de Guatemala, Honduras y México a 10 años del hallazgo de las fosas clandestinas de San Fernando, Tamaulipas</w:t>
        </w:r>
      </w:hyperlink>
      <w:r w:rsidRPr="000D1DE6">
        <w:rPr>
          <w:rFonts w:asciiTheme="minorHAnsi" w:eastAsia="Cambria" w:hAnsiTheme="minorHAnsi" w:cs="Cambria"/>
          <w:color w:val="000000"/>
          <w:sz w:val="18"/>
          <w:szCs w:val="18"/>
          <w:lang w:val="es-MX"/>
        </w:rPr>
        <w:t>, 7 de mayo de 2021.</w:t>
      </w:r>
    </w:p>
  </w:footnote>
  <w:footnote w:id="405">
    <w:p w14:paraId="0369D562" w14:textId="77777777" w:rsidR="000235D8" w:rsidRPr="000D1DE6" w:rsidRDefault="000235D8" w:rsidP="00F46807">
      <w:pPr>
        <w:pBdr>
          <w:top w:val="nil"/>
          <w:left w:val="nil"/>
          <w:bottom w:val="nil"/>
          <w:right w:val="nil"/>
          <w:between w:val="nil"/>
        </w:pBdr>
        <w:spacing w:after="120" w:line="240" w:lineRule="auto"/>
        <w:ind w:firstLine="720"/>
        <w:jc w:val="both"/>
        <w:rPr>
          <w:rFonts w:asciiTheme="minorHAnsi" w:eastAsia="Cambria" w:hAnsiTheme="minorHAnsi" w:cs="Cambria"/>
          <w:color w:val="000000"/>
          <w:sz w:val="18"/>
          <w:szCs w:val="18"/>
          <w:lang w:val="es-MX"/>
        </w:rPr>
      </w:pPr>
      <w:r w:rsidRPr="000D1DE6">
        <w:rPr>
          <w:rStyle w:val="FootnoteReference"/>
          <w:rFonts w:asciiTheme="minorHAnsi" w:hAnsiTheme="minorHAnsi"/>
          <w:sz w:val="18"/>
          <w:szCs w:val="18"/>
          <w:lang w:val="es-MX"/>
        </w:rPr>
        <w:footnoteRef/>
      </w:r>
      <w:r w:rsidRPr="000D1DE6">
        <w:rPr>
          <w:rFonts w:asciiTheme="minorHAnsi" w:eastAsia="Cambria" w:hAnsiTheme="minorHAnsi" w:cs="Cambria"/>
          <w:color w:val="000000"/>
          <w:sz w:val="18"/>
          <w:szCs w:val="18"/>
          <w:lang w:val="es-MX"/>
        </w:rPr>
        <w:t xml:space="preserve"> CIDH, </w:t>
      </w:r>
      <w:hyperlink r:id="rId332">
        <w:r w:rsidRPr="000D1DE6">
          <w:rPr>
            <w:rFonts w:asciiTheme="minorHAnsi" w:eastAsia="Cambria" w:hAnsiTheme="minorHAnsi" w:cs="Cambria"/>
            <w:color w:val="0563C1"/>
            <w:sz w:val="18"/>
            <w:szCs w:val="18"/>
            <w:u w:val="single"/>
            <w:lang w:val="es-MX"/>
          </w:rPr>
          <w:t>Derechos humanos de los migrantes y otras personas en el contexto de la movilidad humana en México</w:t>
        </w:r>
      </w:hyperlink>
      <w:r w:rsidRPr="000D1DE6">
        <w:rPr>
          <w:rFonts w:asciiTheme="minorHAnsi" w:eastAsia="Cambria" w:hAnsiTheme="minorHAnsi" w:cs="Cambria"/>
          <w:color w:val="000000"/>
          <w:sz w:val="18"/>
          <w:szCs w:val="18"/>
          <w:lang w:val="es-MX"/>
        </w:rPr>
        <w:t>, OEA/Ser.L/V/II., Doc. 48/13, 30 de diciembre 2013, párr. 409.6; 409.12.</w:t>
      </w:r>
    </w:p>
  </w:footnote>
  <w:footnote w:id="406">
    <w:p w14:paraId="0E2BD2FE" w14:textId="77777777" w:rsidR="000235D8" w:rsidRPr="000D1DE6" w:rsidRDefault="000235D8" w:rsidP="00F46807">
      <w:pPr>
        <w:pBdr>
          <w:top w:val="nil"/>
          <w:left w:val="nil"/>
          <w:bottom w:val="nil"/>
          <w:right w:val="nil"/>
          <w:between w:val="nil"/>
        </w:pBdr>
        <w:spacing w:after="120" w:line="240" w:lineRule="auto"/>
        <w:ind w:firstLine="720"/>
        <w:jc w:val="both"/>
        <w:rPr>
          <w:rFonts w:asciiTheme="minorHAnsi" w:eastAsia="Cambria" w:hAnsiTheme="minorHAnsi" w:cs="Cambria"/>
          <w:color w:val="000000"/>
          <w:sz w:val="18"/>
          <w:szCs w:val="18"/>
          <w:lang w:val="es-MX"/>
        </w:rPr>
      </w:pPr>
      <w:r w:rsidRPr="000D1DE6">
        <w:rPr>
          <w:rStyle w:val="FootnoteReference"/>
          <w:rFonts w:asciiTheme="minorHAnsi" w:hAnsiTheme="minorHAnsi"/>
          <w:sz w:val="18"/>
          <w:szCs w:val="18"/>
          <w:lang w:val="es-MX"/>
        </w:rPr>
        <w:footnoteRef/>
      </w:r>
      <w:r w:rsidRPr="000D1DE6">
        <w:rPr>
          <w:rFonts w:asciiTheme="minorHAnsi" w:eastAsia="Cambria" w:hAnsiTheme="minorHAnsi" w:cs="Cambria"/>
          <w:color w:val="000000"/>
          <w:sz w:val="18"/>
          <w:szCs w:val="18"/>
          <w:lang w:val="es-MX"/>
        </w:rPr>
        <w:t xml:space="preserve"> SCJN, México, </w:t>
      </w:r>
      <w:hyperlink r:id="rId333">
        <w:r w:rsidRPr="000D1DE6">
          <w:rPr>
            <w:rFonts w:asciiTheme="minorHAnsi" w:eastAsia="Cambria" w:hAnsiTheme="minorHAnsi" w:cs="Cambria"/>
            <w:color w:val="0563C1"/>
            <w:sz w:val="18"/>
            <w:szCs w:val="18"/>
            <w:u w:val="single"/>
            <w:lang w:val="es-MX"/>
          </w:rPr>
          <w:t>Protocolo para Juzgar Casos que involucren Personas Migrantes y Sujetas de Protección Internacional</w:t>
        </w:r>
      </w:hyperlink>
      <w:r w:rsidRPr="000D1DE6">
        <w:rPr>
          <w:rFonts w:asciiTheme="minorHAnsi" w:eastAsia="Cambria" w:hAnsiTheme="minorHAnsi" w:cs="Cambria"/>
          <w:color w:val="000000"/>
          <w:sz w:val="18"/>
          <w:szCs w:val="18"/>
          <w:lang w:val="es-MX"/>
        </w:rPr>
        <w:t>, mayo 2021.</w:t>
      </w:r>
    </w:p>
  </w:footnote>
  <w:footnote w:id="407">
    <w:p w14:paraId="424A0B34" w14:textId="77777777" w:rsidR="000235D8" w:rsidRPr="000D1DE6" w:rsidRDefault="000235D8" w:rsidP="00F46807">
      <w:pPr>
        <w:pBdr>
          <w:top w:val="nil"/>
          <w:left w:val="nil"/>
          <w:bottom w:val="nil"/>
          <w:right w:val="nil"/>
          <w:between w:val="nil"/>
        </w:pBdr>
        <w:spacing w:after="120" w:line="240" w:lineRule="auto"/>
        <w:ind w:firstLine="720"/>
        <w:jc w:val="both"/>
        <w:rPr>
          <w:rFonts w:asciiTheme="minorHAnsi" w:eastAsia="Cambria" w:hAnsiTheme="minorHAnsi" w:cs="Cambria"/>
          <w:color w:val="000000"/>
          <w:sz w:val="18"/>
          <w:szCs w:val="18"/>
          <w:lang w:val="es-MX"/>
        </w:rPr>
      </w:pPr>
      <w:r w:rsidRPr="000D1DE6">
        <w:rPr>
          <w:rStyle w:val="FootnoteReference"/>
          <w:rFonts w:asciiTheme="minorHAnsi" w:hAnsiTheme="minorHAnsi"/>
          <w:sz w:val="18"/>
          <w:szCs w:val="18"/>
          <w:lang w:val="es-MX"/>
        </w:rPr>
        <w:footnoteRef/>
      </w:r>
      <w:r w:rsidRPr="000D1DE6">
        <w:rPr>
          <w:rFonts w:asciiTheme="minorHAnsi" w:eastAsia="Cambria" w:hAnsiTheme="minorHAnsi" w:cs="Cambria"/>
          <w:color w:val="000000"/>
          <w:sz w:val="18"/>
          <w:szCs w:val="18"/>
          <w:lang w:val="es-MX"/>
        </w:rPr>
        <w:t xml:space="preserve"> CIDH, </w:t>
      </w:r>
      <w:hyperlink r:id="rId334">
        <w:r w:rsidRPr="000D1DE6">
          <w:rPr>
            <w:rFonts w:asciiTheme="minorHAnsi" w:eastAsia="Cambria" w:hAnsiTheme="minorHAnsi" w:cs="Cambria"/>
            <w:color w:val="0563C1"/>
            <w:sz w:val="18"/>
            <w:szCs w:val="18"/>
            <w:u w:val="single"/>
            <w:lang w:val="es-MX"/>
          </w:rPr>
          <w:t>Derechos humanos de los migrantes y otras personas en el contexto de la movilidad humana en México</w:t>
        </w:r>
      </w:hyperlink>
      <w:r w:rsidRPr="000D1DE6">
        <w:rPr>
          <w:rFonts w:asciiTheme="minorHAnsi" w:eastAsia="Cambria" w:hAnsiTheme="minorHAnsi" w:cs="Cambria"/>
          <w:color w:val="000000"/>
          <w:sz w:val="18"/>
          <w:szCs w:val="18"/>
          <w:lang w:val="es-MX"/>
        </w:rPr>
        <w:t>, OEA/Ser.L/V/II., Doc. 48/13, 30 de diciembre 2013, párr. 409.21.</w:t>
      </w:r>
    </w:p>
  </w:footnote>
  <w:footnote w:id="408">
    <w:p w14:paraId="2D9C94D2" w14:textId="77777777" w:rsidR="000235D8" w:rsidRPr="000D1DE6" w:rsidRDefault="000235D8" w:rsidP="00F46807">
      <w:pPr>
        <w:pBdr>
          <w:top w:val="nil"/>
          <w:left w:val="nil"/>
          <w:bottom w:val="nil"/>
          <w:right w:val="nil"/>
          <w:between w:val="nil"/>
        </w:pBdr>
        <w:spacing w:after="120" w:line="240" w:lineRule="auto"/>
        <w:ind w:firstLine="720"/>
        <w:jc w:val="both"/>
        <w:rPr>
          <w:rFonts w:asciiTheme="minorHAnsi" w:eastAsia="Cambria" w:hAnsiTheme="minorHAnsi" w:cs="Cambria"/>
          <w:b/>
          <w:color w:val="000000"/>
          <w:sz w:val="18"/>
          <w:szCs w:val="18"/>
          <w:lang w:val="es-MX"/>
        </w:rPr>
      </w:pPr>
      <w:r w:rsidRPr="000D1DE6">
        <w:rPr>
          <w:rStyle w:val="FootnoteReference"/>
          <w:rFonts w:asciiTheme="minorHAnsi" w:hAnsiTheme="minorHAnsi"/>
          <w:sz w:val="18"/>
          <w:szCs w:val="18"/>
          <w:lang w:val="es-MX"/>
        </w:rPr>
        <w:footnoteRef/>
      </w:r>
      <w:r w:rsidRPr="000D1DE6">
        <w:rPr>
          <w:rFonts w:asciiTheme="minorHAnsi" w:eastAsia="Cambria" w:hAnsiTheme="minorHAnsi" w:cs="Cambria"/>
          <w:color w:val="000000"/>
          <w:sz w:val="18"/>
          <w:szCs w:val="18"/>
          <w:lang w:val="es-MX"/>
        </w:rPr>
        <w:t xml:space="preserve"> Secretaría de Relaciones Exteriores, México, </w:t>
      </w:r>
      <w:hyperlink r:id="rId335">
        <w:r w:rsidRPr="000D1DE6">
          <w:rPr>
            <w:rFonts w:asciiTheme="minorHAnsi" w:eastAsia="Cambria" w:hAnsiTheme="minorHAnsi" w:cs="Cambria"/>
            <w:color w:val="0563C1"/>
            <w:sz w:val="18"/>
            <w:szCs w:val="18"/>
            <w:u w:val="single"/>
            <w:lang w:val="es-MX"/>
          </w:rPr>
          <w:t>Familias mexicanas migrantes en retorno y repatriadas tiene nuevas opciones de apoyo en educación, salud y desarrollo económico</w:t>
        </w:r>
      </w:hyperlink>
      <w:r w:rsidRPr="000D1DE6">
        <w:rPr>
          <w:rFonts w:asciiTheme="minorHAnsi" w:eastAsia="Cambria" w:hAnsiTheme="minorHAnsi" w:cs="Cambria"/>
          <w:color w:val="000000"/>
          <w:sz w:val="18"/>
          <w:szCs w:val="18"/>
          <w:lang w:val="es-MX"/>
        </w:rPr>
        <w:t xml:space="preserve">, 22 de junio de 2021. Diario Oficial de la Federación, </w:t>
      </w:r>
      <w:hyperlink r:id="rId336">
        <w:r w:rsidRPr="000D1DE6">
          <w:rPr>
            <w:rFonts w:asciiTheme="minorHAnsi" w:eastAsia="Cambria" w:hAnsiTheme="minorHAnsi" w:cs="Cambria"/>
            <w:color w:val="0563C1"/>
            <w:sz w:val="18"/>
            <w:szCs w:val="18"/>
            <w:u w:val="single"/>
            <w:lang w:val="es-MX"/>
          </w:rPr>
          <w:t>Acuerdo por el que se establece la Estrategia Interinstitucional de Atención Integral a Familias Mexicanas Repatriadas y en Retorno</w:t>
        </w:r>
      </w:hyperlink>
      <w:r w:rsidRPr="000D1DE6">
        <w:rPr>
          <w:rFonts w:asciiTheme="minorHAnsi" w:eastAsia="Cambria" w:hAnsiTheme="minorHAnsi" w:cs="Cambria"/>
          <w:color w:val="000000"/>
          <w:sz w:val="18"/>
          <w:szCs w:val="18"/>
          <w:lang w:val="es-MX"/>
        </w:rPr>
        <w:t>, 24 de junio de 2021.</w:t>
      </w:r>
    </w:p>
  </w:footnote>
  <w:footnote w:id="409">
    <w:p w14:paraId="6B060857" w14:textId="77777777" w:rsidR="000235D8" w:rsidRPr="000D1DE6" w:rsidRDefault="000235D8" w:rsidP="00F46807">
      <w:pPr>
        <w:pBdr>
          <w:top w:val="nil"/>
          <w:left w:val="nil"/>
          <w:bottom w:val="nil"/>
          <w:right w:val="nil"/>
          <w:between w:val="nil"/>
        </w:pBdr>
        <w:spacing w:after="120" w:line="240" w:lineRule="auto"/>
        <w:ind w:firstLine="720"/>
        <w:jc w:val="both"/>
        <w:rPr>
          <w:rFonts w:asciiTheme="minorHAnsi" w:eastAsia="Cambria" w:hAnsiTheme="minorHAnsi" w:cs="Cambria"/>
          <w:color w:val="000000"/>
          <w:sz w:val="18"/>
          <w:szCs w:val="18"/>
          <w:lang w:val="es-MX"/>
        </w:rPr>
      </w:pPr>
      <w:r w:rsidRPr="000D1DE6">
        <w:rPr>
          <w:rStyle w:val="FootnoteReference"/>
          <w:rFonts w:asciiTheme="minorHAnsi" w:hAnsiTheme="minorHAnsi"/>
          <w:sz w:val="18"/>
          <w:szCs w:val="18"/>
          <w:lang w:val="es-MX"/>
        </w:rPr>
        <w:footnoteRef/>
      </w:r>
      <w:r w:rsidRPr="000D1DE6">
        <w:rPr>
          <w:rFonts w:asciiTheme="minorHAnsi" w:eastAsia="Cambria" w:hAnsiTheme="minorHAnsi" w:cs="Cambria"/>
          <w:color w:val="000000"/>
          <w:sz w:val="18"/>
          <w:szCs w:val="18"/>
          <w:lang w:val="es-MX"/>
        </w:rPr>
        <w:t xml:space="preserve"> CIDH, </w:t>
      </w:r>
      <w:hyperlink r:id="rId337">
        <w:r w:rsidRPr="000D1DE6">
          <w:rPr>
            <w:rFonts w:asciiTheme="minorHAnsi" w:eastAsia="Cambria" w:hAnsiTheme="minorHAnsi" w:cs="Cambria"/>
            <w:color w:val="0563C1"/>
            <w:sz w:val="18"/>
            <w:szCs w:val="18"/>
            <w:u w:val="single"/>
            <w:lang w:val="es-MX"/>
          </w:rPr>
          <w:t>Derechos humanos de los migrantes y otras personas en el contexto de la movilidad humana en México</w:t>
        </w:r>
      </w:hyperlink>
      <w:r w:rsidRPr="000D1DE6">
        <w:rPr>
          <w:rFonts w:asciiTheme="minorHAnsi" w:eastAsia="Cambria" w:hAnsiTheme="minorHAnsi" w:cs="Cambria"/>
          <w:color w:val="000000"/>
          <w:sz w:val="18"/>
          <w:szCs w:val="18"/>
          <w:lang w:val="es-MX"/>
        </w:rPr>
        <w:t>, OEA/Ser.L/V/II., Doc. 48/13, 30 de diciembre 2013, párr. 409.22.</w:t>
      </w:r>
    </w:p>
  </w:footnote>
  <w:footnote w:id="410">
    <w:p w14:paraId="617AD974" w14:textId="2772DB34" w:rsidR="000235D8" w:rsidRPr="000D1DE6" w:rsidRDefault="000235D8" w:rsidP="00F46807">
      <w:pPr>
        <w:pBdr>
          <w:top w:val="nil"/>
          <w:left w:val="nil"/>
          <w:bottom w:val="nil"/>
          <w:right w:val="nil"/>
          <w:between w:val="nil"/>
        </w:pBdr>
        <w:spacing w:after="120" w:line="240" w:lineRule="auto"/>
        <w:ind w:firstLine="720"/>
        <w:jc w:val="both"/>
        <w:rPr>
          <w:rFonts w:asciiTheme="minorHAnsi" w:eastAsia="Cambria" w:hAnsiTheme="minorHAnsi" w:cs="Cambria"/>
          <w:color w:val="000000"/>
          <w:sz w:val="18"/>
          <w:szCs w:val="18"/>
          <w:lang w:val="es-MX"/>
        </w:rPr>
      </w:pPr>
      <w:r w:rsidRPr="000D1DE6">
        <w:rPr>
          <w:rStyle w:val="FootnoteReference"/>
          <w:rFonts w:asciiTheme="minorHAnsi" w:hAnsiTheme="minorHAnsi"/>
          <w:sz w:val="18"/>
          <w:szCs w:val="18"/>
          <w:lang w:val="es-MX"/>
        </w:rPr>
        <w:footnoteRef/>
      </w:r>
      <w:r w:rsidRPr="000D1DE6">
        <w:rPr>
          <w:rFonts w:asciiTheme="minorHAnsi" w:eastAsia="Cambria" w:hAnsiTheme="minorHAnsi" w:cs="Cambria"/>
          <w:color w:val="000000"/>
          <w:sz w:val="18"/>
          <w:szCs w:val="18"/>
          <w:lang w:val="es-MX"/>
        </w:rPr>
        <w:t xml:space="preserve"> Secretaría de Relaciones Exteriores, México, Respuesta del Estado mexicano a la solicitud de información de la Comisión Interamericana de Derechos Humanos a la luz del artículo 41º de la Convención Americana de Derechos Humanos sobre la protección de las personas migrantes, solicitantes de refugio, refugiadas, con necesidades de protección complementaria y retornadas en </w:t>
      </w:r>
      <w:r w:rsidRPr="000D1DE6">
        <w:rPr>
          <w:rFonts w:asciiTheme="minorHAnsi" w:eastAsia="Cambria" w:hAnsiTheme="minorHAnsi" w:cs="Cambria"/>
          <w:sz w:val="18"/>
          <w:szCs w:val="18"/>
          <w:lang w:val="es-MX"/>
        </w:rPr>
        <w:t>México, págs. 6-8 y 9</w:t>
      </w:r>
      <w:r w:rsidRPr="000D1DE6">
        <w:rPr>
          <w:rFonts w:asciiTheme="minorHAnsi" w:eastAsia="Cambria" w:hAnsiTheme="minorHAnsi" w:cs="Cambria"/>
          <w:color w:val="000000"/>
          <w:sz w:val="18"/>
          <w:szCs w:val="18"/>
          <w:lang w:val="es-MX"/>
        </w:rPr>
        <w:t>.</w:t>
      </w:r>
    </w:p>
  </w:footnote>
  <w:footnote w:id="411">
    <w:p w14:paraId="40F52E0D" w14:textId="656AEB12" w:rsidR="000235D8" w:rsidRPr="000D1DE6" w:rsidRDefault="000235D8" w:rsidP="00F46807">
      <w:pPr>
        <w:pBdr>
          <w:top w:val="nil"/>
          <w:left w:val="nil"/>
          <w:bottom w:val="nil"/>
          <w:right w:val="nil"/>
          <w:between w:val="nil"/>
        </w:pBdr>
        <w:spacing w:after="120" w:line="240" w:lineRule="auto"/>
        <w:ind w:firstLine="720"/>
        <w:jc w:val="both"/>
        <w:rPr>
          <w:rFonts w:asciiTheme="minorHAnsi" w:eastAsia="Cambria" w:hAnsiTheme="minorHAnsi" w:cs="Cambria"/>
          <w:color w:val="000000"/>
          <w:sz w:val="18"/>
          <w:szCs w:val="18"/>
          <w:lang w:val="es-MX"/>
        </w:rPr>
      </w:pPr>
      <w:r w:rsidRPr="000D1DE6">
        <w:rPr>
          <w:rStyle w:val="FootnoteReference"/>
          <w:rFonts w:asciiTheme="minorHAnsi" w:hAnsiTheme="minorHAnsi"/>
          <w:sz w:val="18"/>
          <w:szCs w:val="18"/>
          <w:lang w:val="es-MX"/>
        </w:rPr>
        <w:footnoteRef/>
      </w:r>
      <w:r w:rsidRPr="000D1DE6">
        <w:rPr>
          <w:rFonts w:asciiTheme="minorHAnsi" w:eastAsia="Cambria" w:hAnsiTheme="minorHAnsi" w:cs="Cambria"/>
          <w:color w:val="000000"/>
          <w:sz w:val="18"/>
          <w:szCs w:val="18"/>
          <w:lang w:val="es-MX"/>
        </w:rPr>
        <w:t xml:space="preserve"> Secretaría de Bienestar, México, “Protección de los derechos de las personas en situación de movilidad” Programa para el Bienestar de las Personas en Emergencia Social o Natural, en Atención a Población Migrante en la Frontera Sur, pág. 1.</w:t>
      </w:r>
    </w:p>
  </w:footnote>
  <w:footnote w:id="412">
    <w:p w14:paraId="18F48CAE" w14:textId="77777777" w:rsidR="000235D8" w:rsidRPr="000D1DE6" w:rsidRDefault="000235D8" w:rsidP="00F46807">
      <w:pPr>
        <w:pBdr>
          <w:top w:val="nil"/>
          <w:left w:val="nil"/>
          <w:bottom w:val="nil"/>
          <w:right w:val="nil"/>
          <w:between w:val="nil"/>
        </w:pBdr>
        <w:spacing w:after="120" w:line="240" w:lineRule="auto"/>
        <w:ind w:firstLine="720"/>
        <w:jc w:val="both"/>
        <w:rPr>
          <w:rFonts w:asciiTheme="minorHAnsi" w:eastAsia="Cambria" w:hAnsiTheme="minorHAnsi" w:cs="Cambria"/>
          <w:color w:val="000000"/>
          <w:sz w:val="18"/>
          <w:szCs w:val="18"/>
          <w:lang w:val="es-MX"/>
        </w:rPr>
      </w:pPr>
      <w:r w:rsidRPr="000D1DE6">
        <w:rPr>
          <w:rStyle w:val="FootnoteReference"/>
          <w:rFonts w:asciiTheme="minorHAnsi" w:hAnsiTheme="minorHAnsi"/>
          <w:sz w:val="18"/>
          <w:szCs w:val="18"/>
          <w:lang w:val="es-MX"/>
        </w:rPr>
        <w:footnoteRef/>
      </w:r>
      <w:r w:rsidRPr="000D1DE6">
        <w:rPr>
          <w:rFonts w:asciiTheme="minorHAnsi" w:eastAsia="Cambria" w:hAnsiTheme="minorHAnsi" w:cs="Cambria"/>
          <w:color w:val="000000"/>
          <w:sz w:val="18"/>
          <w:szCs w:val="18"/>
          <w:lang w:val="es-MX"/>
        </w:rPr>
        <w:t xml:space="preserve"> Corte IDH. </w:t>
      </w:r>
      <w:r w:rsidRPr="000D1DE6">
        <w:rPr>
          <w:rFonts w:asciiTheme="minorHAnsi" w:eastAsia="Cambria" w:hAnsiTheme="minorHAnsi" w:cs="Cambria"/>
          <w:i/>
          <w:color w:val="000000"/>
          <w:sz w:val="18"/>
          <w:szCs w:val="18"/>
          <w:lang w:val="es-MX"/>
        </w:rPr>
        <w:t>Derechos y garantías de niñas y niños en el contexto de la migración y/o en necesidad de protección internacional</w:t>
      </w:r>
      <w:r w:rsidRPr="000D1DE6">
        <w:rPr>
          <w:rFonts w:asciiTheme="minorHAnsi" w:eastAsia="Cambria" w:hAnsiTheme="minorHAnsi" w:cs="Cambria"/>
          <w:color w:val="000000"/>
          <w:sz w:val="18"/>
          <w:szCs w:val="18"/>
          <w:lang w:val="es-MX"/>
        </w:rPr>
        <w:t xml:space="preserve">. Opinión Consultiva OC-21/14 de 19 de agosto de 2014. Serie A No. 21, párr. 64. </w:t>
      </w:r>
    </w:p>
  </w:footnote>
  <w:footnote w:id="413">
    <w:p w14:paraId="78C5AE86" w14:textId="77777777" w:rsidR="000235D8" w:rsidRPr="000D1DE6" w:rsidRDefault="000235D8" w:rsidP="00F46807">
      <w:pPr>
        <w:pBdr>
          <w:top w:val="nil"/>
          <w:left w:val="nil"/>
          <w:bottom w:val="nil"/>
          <w:right w:val="nil"/>
          <w:between w:val="nil"/>
        </w:pBdr>
        <w:spacing w:after="120" w:line="240" w:lineRule="auto"/>
        <w:ind w:firstLine="720"/>
        <w:jc w:val="both"/>
        <w:rPr>
          <w:rFonts w:asciiTheme="minorHAnsi" w:eastAsia="Cambria" w:hAnsiTheme="minorHAnsi" w:cs="Cambria"/>
          <w:color w:val="000000"/>
          <w:sz w:val="18"/>
          <w:szCs w:val="18"/>
          <w:lang w:val="es-MX"/>
        </w:rPr>
      </w:pPr>
      <w:r w:rsidRPr="000D1DE6">
        <w:rPr>
          <w:rStyle w:val="FootnoteReference"/>
          <w:rFonts w:asciiTheme="minorHAnsi" w:hAnsiTheme="minorHAnsi"/>
          <w:sz w:val="18"/>
          <w:szCs w:val="18"/>
          <w:lang w:val="es-MX"/>
        </w:rPr>
        <w:footnoteRef/>
      </w:r>
      <w:r w:rsidRPr="000D1DE6">
        <w:rPr>
          <w:rFonts w:asciiTheme="minorHAnsi" w:eastAsia="Cambria" w:hAnsiTheme="minorHAnsi" w:cs="Cambria"/>
          <w:color w:val="000000"/>
          <w:sz w:val="18"/>
          <w:szCs w:val="18"/>
          <w:lang w:val="es-MX"/>
        </w:rPr>
        <w:t xml:space="preserve"> CIDH, </w:t>
      </w:r>
      <w:hyperlink r:id="rId338">
        <w:r w:rsidRPr="000D1DE6">
          <w:rPr>
            <w:rFonts w:asciiTheme="minorHAnsi" w:eastAsia="Cambria" w:hAnsiTheme="minorHAnsi" w:cs="Cambria"/>
            <w:color w:val="0563C1"/>
            <w:sz w:val="18"/>
            <w:szCs w:val="18"/>
            <w:u w:val="single"/>
            <w:lang w:val="es-MX"/>
          </w:rPr>
          <w:t>Derechos humanos de los migrantes y otras personas en el contexto de la movilidad humana en México</w:t>
        </w:r>
      </w:hyperlink>
      <w:r w:rsidRPr="000D1DE6">
        <w:rPr>
          <w:rFonts w:asciiTheme="minorHAnsi" w:eastAsia="Cambria" w:hAnsiTheme="minorHAnsi" w:cs="Cambria"/>
          <w:color w:val="000000"/>
          <w:sz w:val="18"/>
          <w:szCs w:val="18"/>
          <w:lang w:val="es-MX"/>
        </w:rPr>
        <w:t>, OEA/Ser.L/V/II., Doc. 48/13, 30 de diciembre 2013, párr. 577.2; 577.5; 577.9; 577.11; 577.12; 577.13.</w:t>
      </w:r>
    </w:p>
  </w:footnote>
  <w:footnote w:id="414">
    <w:p w14:paraId="52C5372D" w14:textId="77777777" w:rsidR="000235D8" w:rsidRPr="000D1DE6" w:rsidRDefault="000235D8" w:rsidP="00F46807">
      <w:pPr>
        <w:pBdr>
          <w:top w:val="nil"/>
          <w:left w:val="nil"/>
          <w:bottom w:val="nil"/>
          <w:right w:val="nil"/>
          <w:between w:val="nil"/>
        </w:pBdr>
        <w:spacing w:after="120" w:line="240" w:lineRule="auto"/>
        <w:ind w:firstLine="720"/>
        <w:jc w:val="both"/>
        <w:rPr>
          <w:rFonts w:asciiTheme="minorHAnsi" w:eastAsia="Cambria" w:hAnsiTheme="minorHAnsi" w:cs="Cambria"/>
          <w:color w:val="000000"/>
          <w:sz w:val="18"/>
          <w:szCs w:val="18"/>
          <w:lang w:val="es-MX"/>
        </w:rPr>
      </w:pPr>
      <w:r w:rsidRPr="000D1DE6">
        <w:rPr>
          <w:rStyle w:val="FootnoteReference"/>
          <w:rFonts w:asciiTheme="minorHAnsi" w:hAnsiTheme="minorHAnsi"/>
          <w:sz w:val="18"/>
          <w:szCs w:val="18"/>
          <w:lang w:val="es-MX"/>
        </w:rPr>
        <w:footnoteRef/>
      </w:r>
      <w:r w:rsidRPr="000D1DE6">
        <w:rPr>
          <w:rFonts w:asciiTheme="minorHAnsi" w:eastAsia="Cambria" w:hAnsiTheme="minorHAnsi" w:cs="Cambria"/>
          <w:color w:val="000000"/>
          <w:sz w:val="18"/>
          <w:szCs w:val="18"/>
          <w:lang w:val="pt-BR"/>
        </w:rPr>
        <w:t xml:space="preserve"> CIDH, </w:t>
      </w:r>
      <w:hyperlink r:id="rId339">
        <w:r w:rsidRPr="000D1DE6">
          <w:rPr>
            <w:rFonts w:asciiTheme="minorHAnsi" w:eastAsia="Cambria" w:hAnsiTheme="minorHAnsi" w:cs="Cambria"/>
            <w:color w:val="0563C1"/>
            <w:sz w:val="18"/>
            <w:szCs w:val="18"/>
            <w:u w:val="single"/>
            <w:lang w:val="pt-BR"/>
          </w:rPr>
          <w:t>Informe Anual. Capítulo V “México”</w:t>
        </w:r>
      </w:hyperlink>
      <w:r w:rsidRPr="000D1DE6">
        <w:rPr>
          <w:rFonts w:asciiTheme="minorHAnsi" w:eastAsia="Cambria" w:hAnsiTheme="minorHAnsi" w:cs="Cambria"/>
          <w:color w:val="000000"/>
          <w:sz w:val="18"/>
          <w:szCs w:val="18"/>
          <w:lang w:val="pt-BR"/>
        </w:rPr>
        <w:t xml:space="preserve">, 2020, párr. </w:t>
      </w:r>
      <w:r w:rsidRPr="000D1DE6">
        <w:rPr>
          <w:rFonts w:asciiTheme="minorHAnsi" w:eastAsia="Cambria" w:hAnsiTheme="minorHAnsi" w:cs="Cambria"/>
          <w:color w:val="000000"/>
          <w:sz w:val="18"/>
          <w:szCs w:val="18"/>
          <w:lang w:val="es-MX"/>
        </w:rPr>
        <w:t>300.</w:t>
      </w:r>
    </w:p>
  </w:footnote>
  <w:footnote w:id="415">
    <w:p w14:paraId="72E293C9" w14:textId="3CD334E1" w:rsidR="000235D8" w:rsidRPr="000D1DE6" w:rsidRDefault="000235D8" w:rsidP="00F46807">
      <w:pPr>
        <w:pBdr>
          <w:top w:val="nil"/>
          <w:left w:val="nil"/>
          <w:bottom w:val="nil"/>
          <w:right w:val="nil"/>
          <w:between w:val="nil"/>
        </w:pBdr>
        <w:spacing w:after="120" w:line="240" w:lineRule="auto"/>
        <w:ind w:firstLine="720"/>
        <w:jc w:val="both"/>
        <w:rPr>
          <w:rFonts w:asciiTheme="minorHAnsi" w:eastAsia="Cambria" w:hAnsiTheme="minorHAnsi" w:cs="Cambria"/>
          <w:color w:val="000000"/>
          <w:sz w:val="18"/>
          <w:szCs w:val="18"/>
          <w:lang w:val="es-MX"/>
        </w:rPr>
      </w:pPr>
      <w:r w:rsidRPr="000D1DE6">
        <w:rPr>
          <w:rStyle w:val="FootnoteReference"/>
          <w:rFonts w:asciiTheme="minorHAnsi" w:hAnsiTheme="minorHAnsi"/>
          <w:sz w:val="18"/>
          <w:szCs w:val="18"/>
          <w:lang w:val="es-MX"/>
        </w:rPr>
        <w:footnoteRef/>
      </w:r>
      <w:r w:rsidRPr="000D1DE6">
        <w:rPr>
          <w:rFonts w:asciiTheme="minorHAnsi" w:eastAsia="Cambria" w:hAnsiTheme="minorHAnsi" w:cs="Cambria"/>
          <w:color w:val="000000"/>
          <w:sz w:val="18"/>
          <w:szCs w:val="18"/>
          <w:lang w:val="es-MX"/>
        </w:rPr>
        <w:t xml:space="preserve"> Secretaría de Relaciones Exteriores, México, Respuesta del Estado mexicano a la solicitud de información de la Comisión Interamericana de Derechos Humanos a la luz del artículo 41º de la Convención Americana de Derechos Humanos relativa a las denuncias por rechazos de personas en situación de movilidad en puntos de internación terrestres y aéreos en México, 30 de agosto de 2021, pág. 18.</w:t>
      </w:r>
    </w:p>
  </w:footnote>
  <w:footnote w:id="416">
    <w:p w14:paraId="33A6F9CA" w14:textId="3FF0B179" w:rsidR="002F1A6A" w:rsidRPr="000D1DE6" w:rsidRDefault="002F1A6A" w:rsidP="00F46807">
      <w:pPr>
        <w:pStyle w:val="FootnoteText"/>
        <w:spacing w:after="120"/>
        <w:ind w:firstLine="720"/>
      </w:pPr>
      <w:r w:rsidRPr="000D1DE6">
        <w:rPr>
          <w:rStyle w:val="FootnoteReference"/>
        </w:rPr>
        <w:footnoteRef/>
      </w:r>
      <w:r w:rsidRPr="000D1DE6">
        <w:t xml:space="preserve"> </w:t>
      </w:r>
      <w:r w:rsidRPr="000D1DE6">
        <w:rPr>
          <w:rFonts w:asciiTheme="minorHAnsi" w:eastAsia="Cambria" w:hAnsiTheme="minorHAnsi" w:cs="Cambria"/>
          <w:color w:val="000000"/>
          <w:lang w:val="es-MX"/>
        </w:rPr>
        <w:t>Observaciones y comentarios del Estado de 24 de enero de 2022, pág</w:t>
      </w:r>
      <w:r w:rsidRPr="000D1DE6">
        <w:t xml:space="preserve"> 26.</w:t>
      </w:r>
    </w:p>
  </w:footnote>
  <w:footnote w:id="417">
    <w:p w14:paraId="794C6912" w14:textId="727A6189" w:rsidR="000235D8" w:rsidRPr="000D1DE6" w:rsidRDefault="000235D8" w:rsidP="00F46807">
      <w:pPr>
        <w:pStyle w:val="FootnoteText"/>
        <w:spacing w:after="120"/>
        <w:ind w:firstLine="720"/>
      </w:pPr>
      <w:r w:rsidRPr="000D1DE6">
        <w:rPr>
          <w:rStyle w:val="FootnoteReference"/>
          <w:rFonts w:asciiTheme="minorHAnsi" w:hAnsiTheme="minorHAnsi"/>
          <w:lang w:val="es-MX"/>
        </w:rPr>
        <w:footnoteRef/>
      </w:r>
      <w:r w:rsidR="002F1A6A" w:rsidRPr="000D1DE6">
        <w:rPr>
          <w:rFonts w:asciiTheme="minorHAnsi" w:eastAsia="Cambria" w:hAnsiTheme="minorHAnsi" w:cs="Cambria"/>
          <w:color w:val="000000"/>
          <w:lang w:val="es-MX"/>
        </w:rPr>
        <w:t xml:space="preserve"> Observaciones y comentarios del Estado de 24 de enero de 2022, pág</w:t>
      </w:r>
      <w:r w:rsidR="002F1A6A" w:rsidRPr="000D1DE6">
        <w:t xml:space="preserve"> 26.</w:t>
      </w:r>
      <w:r w:rsidRPr="000D1DE6">
        <w:rPr>
          <w:rFonts w:asciiTheme="minorHAnsi" w:eastAsia="Cambria" w:hAnsiTheme="minorHAnsi" w:cs="Cambria"/>
          <w:color w:val="000000"/>
          <w:lang w:val="es-MX"/>
        </w:rPr>
        <w:t>.</w:t>
      </w:r>
    </w:p>
  </w:footnote>
  <w:footnote w:id="418">
    <w:p w14:paraId="0367DCD7" w14:textId="77777777" w:rsidR="000235D8" w:rsidRPr="000D1DE6" w:rsidRDefault="000235D8" w:rsidP="00F46807">
      <w:pPr>
        <w:pBdr>
          <w:top w:val="nil"/>
          <w:left w:val="nil"/>
          <w:bottom w:val="nil"/>
          <w:right w:val="nil"/>
          <w:between w:val="nil"/>
        </w:pBdr>
        <w:spacing w:after="120" w:line="240" w:lineRule="auto"/>
        <w:ind w:firstLine="720"/>
        <w:jc w:val="both"/>
        <w:rPr>
          <w:rFonts w:asciiTheme="minorHAnsi" w:eastAsia="Cambria" w:hAnsiTheme="minorHAnsi" w:cs="Cambria"/>
          <w:color w:val="000000"/>
          <w:sz w:val="18"/>
          <w:szCs w:val="18"/>
          <w:lang w:val="es-MX"/>
        </w:rPr>
      </w:pPr>
      <w:r w:rsidRPr="000D1DE6">
        <w:rPr>
          <w:rStyle w:val="FootnoteReference"/>
          <w:rFonts w:asciiTheme="minorHAnsi" w:hAnsiTheme="minorHAnsi"/>
          <w:sz w:val="18"/>
          <w:szCs w:val="18"/>
          <w:lang w:val="es-MX"/>
        </w:rPr>
        <w:footnoteRef/>
      </w:r>
      <w:r w:rsidRPr="000D1DE6">
        <w:rPr>
          <w:rFonts w:asciiTheme="minorHAnsi" w:eastAsia="Cambria" w:hAnsiTheme="minorHAnsi" w:cs="Cambria"/>
          <w:color w:val="000000"/>
          <w:sz w:val="18"/>
          <w:szCs w:val="18"/>
          <w:lang w:val="es-MX"/>
        </w:rPr>
        <w:t xml:space="preserve"> Proceso</w:t>
      </w:r>
      <w:r w:rsidRPr="000D1DE6">
        <w:rPr>
          <w:rFonts w:asciiTheme="minorHAnsi" w:eastAsia="Cambria" w:hAnsiTheme="minorHAnsi" w:cs="Cambria"/>
          <w:color w:val="0563C1"/>
          <w:sz w:val="18"/>
          <w:szCs w:val="18"/>
          <w:u w:val="single"/>
          <w:lang w:val="es-MX"/>
        </w:rPr>
        <w:t xml:space="preserve">, </w:t>
      </w:r>
      <w:hyperlink r:id="rId340">
        <w:r w:rsidRPr="000D1DE6">
          <w:rPr>
            <w:rFonts w:asciiTheme="minorHAnsi" w:eastAsia="Cambria" w:hAnsiTheme="minorHAnsi" w:cs="Cambria"/>
            <w:color w:val="0563C1"/>
            <w:sz w:val="18"/>
            <w:szCs w:val="18"/>
            <w:u w:val="single"/>
            <w:lang w:val="es-MX"/>
          </w:rPr>
          <w:t>Condenan hacinamiento en centros de detención de migrantes en la frontera sur</w:t>
        </w:r>
      </w:hyperlink>
      <w:r w:rsidRPr="000D1DE6">
        <w:rPr>
          <w:rFonts w:asciiTheme="minorHAnsi" w:eastAsia="Cambria" w:hAnsiTheme="minorHAnsi" w:cs="Cambria"/>
          <w:color w:val="000000"/>
          <w:sz w:val="18"/>
          <w:szCs w:val="18"/>
          <w:lang w:val="es-MX"/>
        </w:rPr>
        <w:t xml:space="preserve">, 27 de marzo de 2021. Prensa Libre, </w:t>
      </w:r>
      <w:hyperlink r:id="rId341">
        <w:r w:rsidRPr="000D1DE6">
          <w:rPr>
            <w:rFonts w:asciiTheme="minorHAnsi" w:eastAsia="Cambria" w:hAnsiTheme="minorHAnsi" w:cs="Cambria"/>
            <w:color w:val="0563C1"/>
            <w:sz w:val="18"/>
            <w:szCs w:val="18"/>
            <w:u w:val="single"/>
            <w:lang w:val="es-MX"/>
          </w:rPr>
          <w:t>Migrantes sufren por hacinamiento y malas condiciones en centros de detención de México</w:t>
        </w:r>
      </w:hyperlink>
      <w:r w:rsidRPr="000D1DE6">
        <w:rPr>
          <w:rFonts w:asciiTheme="minorHAnsi" w:eastAsia="Cambria" w:hAnsiTheme="minorHAnsi" w:cs="Cambria"/>
          <w:color w:val="000000"/>
          <w:sz w:val="18"/>
          <w:szCs w:val="18"/>
          <w:lang w:val="es-MX"/>
        </w:rPr>
        <w:t xml:space="preserve">, 24 de abril de 2021. Senado de la República, México, </w:t>
      </w:r>
      <w:hyperlink r:id="rId342">
        <w:r w:rsidRPr="000D1DE6">
          <w:rPr>
            <w:rFonts w:asciiTheme="minorHAnsi" w:eastAsia="Cambria" w:hAnsiTheme="minorHAnsi" w:cs="Cambria"/>
            <w:color w:val="0563C1"/>
            <w:sz w:val="18"/>
            <w:szCs w:val="18"/>
            <w:u w:val="single"/>
            <w:lang w:val="es-MX"/>
          </w:rPr>
          <w:t>Demandan en la Permanente garantizar derechos humanos de menores migrantes</w:t>
        </w:r>
      </w:hyperlink>
      <w:r w:rsidRPr="000D1DE6">
        <w:rPr>
          <w:rFonts w:asciiTheme="minorHAnsi" w:eastAsia="Cambria" w:hAnsiTheme="minorHAnsi" w:cs="Cambria"/>
          <w:color w:val="000000"/>
          <w:sz w:val="18"/>
          <w:szCs w:val="18"/>
          <w:lang w:val="es-MX"/>
        </w:rPr>
        <w:t>, 20 de agosto de 2021.</w:t>
      </w:r>
    </w:p>
  </w:footnote>
  <w:footnote w:id="419">
    <w:p w14:paraId="428FDCFA" w14:textId="77777777" w:rsidR="000235D8" w:rsidRPr="000D1DE6" w:rsidRDefault="000235D8" w:rsidP="00F46807">
      <w:pPr>
        <w:pBdr>
          <w:top w:val="nil"/>
          <w:left w:val="nil"/>
          <w:bottom w:val="nil"/>
          <w:right w:val="nil"/>
          <w:between w:val="nil"/>
        </w:pBdr>
        <w:spacing w:after="120" w:line="240" w:lineRule="auto"/>
        <w:ind w:firstLine="720"/>
        <w:jc w:val="both"/>
        <w:rPr>
          <w:rFonts w:asciiTheme="minorHAnsi" w:eastAsia="Cambria" w:hAnsiTheme="minorHAnsi" w:cs="Cambria"/>
          <w:color w:val="000000"/>
          <w:sz w:val="18"/>
          <w:szCs w:val="18"/>
          <w:lang w:val="es-MX"/>
        </w:rPr>
      </w:pPr>
      <w:r w:rsidRPr="000D1DE6">
        <w:rPr>
          <w:rStyle w:val="FootnoteReference"/>
          <w:rFonts w:asciiTheme="minorHAnsi" w:hAnsiTheme="minorHAnsi"/>
          <w:sz w:val="18"/>
          <w:szCs w:val="18"/>
          <w:lang w:val="es-MX"/>
        </w:rPr>
        <w:footnoteRef/>
      </w:r>
      <w:r w:rsidRPr="000D1DE6">
        <w:rPr>
          <w:rFonts w:asciiTheme="minorHAnsi" w:eastAsia="Cambria" w:hAnsiTheme="minorHAnsi" w:cs="Cambria"/>
          <w:color w:val="000000"/>
          <w:sz w:val="18"/>
          <w:szCs w:val="18"/>
          <w:lang w:val="es-MX"/>
        </w:rPr>
        <w:t xml:space="preserve"> CIDH, Comunicado de prensa 033/21 - </w:t>
      </w:r>
      <w:hyperlink r:id="rId343">
        <w:r w:rsidRPr="000D1DE6">
          <w:rPr>
            <w:rFonts w:asciiTheme="minorHAnsi" w:eastAsia="Cambria" w:hAnsiTheme="minorHAnsi" w:cs="Cambria"/>
            <w:color w:val="0563C1"/>
            <w:sz w:val="18"/>
            <w:szCs w:val="18"/>
            <w:u w:val="single"/>
            <w:lang w:val="es-MX"/>
          </w:rPr>
          <w:t>CIDH concluye visita de trabajo virtual a México sobre personas en situación de movilidad humana, y presenta sus Observaciones Preliminares</w:t>
        </w:r>
      </w:hyperlink>
      <w:r w:rsidRPr="000D1DE6">
        <w:rPr>
          <w:rFonts w:asciiTheme="minorHAnsi" w:eastAsia="Cambria" w:hAnsiTheme="minorHAnsi" w:cs="Cambria"/>
          <w:color w:val="000000"/>
          <w:sz w:val="18"/>
          <w:szCs w:val="18"/>
          <w:lang w:val="es-MX"/>
        </w:rPr>
        <w:t>, Washington, D.C., 12 de febrero de 2021.</w:t>
      </w:r>
    </w:p>
  </w:footnote>
  <w:footnote w:id="420">
    <w:p w14:paraId="241D377E" w14:textId="77777777" w:rsidR="000235D8" w:rsidRPr="000D1DE6" w:rsidRDefault="000235D8" w:rsidP="00F46807">
      <w:pPr>
        <w:pBdr>
          <w:top w:val="nil"/>
          <w:left w:val="nil"/>
          <w:bottom w:val="nil"/>
          <w:right w:val="nil"/>
          <w:between w:val="nil"/>
        </w:pBdr>
        <w:spacing w:after="120" w:line="240" w:lineRule="auto"/>
        <w:ind w:firstLine="720"/>
        <w:jc w:val="both"/>
        <w:rPr>
          <w:rFonts w:asciiTheme="minorHAnsi" w:eastAsia="Cambria" w:hAnsiTheme="minorHAnsi" w:cs="Cambria"/>
          <w:color w:val="000000"/>
          <w:sz w:val="18"/>
          <w:szCs w:val="18"/>
          <w:lang w:val="es-MX"/>
        </w:rPr>
      </w:pPr>
      <w:r w:rsidRPr="000D1DE6">
        <w:rPr>
          <w:rStyle w:val="FootnoteReference"/>
          <w:rFonts w:asciiTheme="minorHAnsi" w:hAnsiTheme="minorHAnsi"/>
          <w:sz w:val="18"/>
          <w:szCs w:val="18"/>
          <w:lang w:val="es-MX"/>
        </w:rPr>
        <w:footnoteRef/>
      </w:r>
      <w:r w:rsidRPr="000D1DE6">
        <w:rPr>
          <w:rFonts w:asciiTheme="minorHAnsi" w:eastAsia="Cambria" w:hAnsiTheme="minorHAnsi" w:cs="Cambria"/>
          <w:color w:val="000000"/>
          <w:sz w:val="18"/>
          <w:szCs w:val="18"/>
          <w:lang w:val="es-MX"/>
        </w:rPr>
        <w:t xml:space="preserve"> Colectivo de Observación y Monitoreo de Derechos Humanos en el Sureste Mexicano, </w:t>
      </w:r>
      <w:hyperlink r:id="rId344">
        <w:r w:rsidRPr="000D1DE6">
          <w:rPr>
            <w:rFonts w:asciiTheme="minorHAnsi" w:eastAsia="Cambria" w:hAnsiTheme="minorHAnsi" w:cs="Cambria"/>
            <w:color w:val="0563C1"/>
            <w:sz w:val="18"/>
            <w:szCs w:val="18"/>
            <w:u w:val="single"/>
            <w:lang w:val="es-MX"/>
          </w:rPr>
          <w:t>Autoridades migratoria de abs torturan a personas migrantes y refugiadas tras protesta en Estación Migratoria Siglo XXI</w:t>
        </w:r>
      </w:hyperlink>
      <w:r w:rsidRPr="000D1DE6">
        <w:rPr>
          <w:rFonts w:asciiTheme="minorHAnsi" w:eastAsia="Cambria" w:hAnsiTheme="minorHAnsi" w:cs="Cambria"/>
          <w:color w:val="000000"/>
          <w:sz w:val="18"/>
          <w:szCs w:val="18"/>
          <w:lang w:val="es-MX"/>
        </w:rPr>
        <w:t>, 25 de junio de 2021.</w:t>
      </w:r>
    </w:p>
  </w:footnote>
  <w:footnote w:id="421">
    <w:p w14:paraId="0FE699FE" w14:textId="77777777" w:rsidR="000235D8" w:rsidRPr="000D1DE6" w:rsidRDefault="000235D8" w:rsidP="00F46807">
      <w:pPr>
        <w:pBdr>
          <w:top w:val="nil"/>
          <w:left w:val="nil"/>
          <w:bottom w:val="nil"/>
          <w:right w:val="nil"/>
          <w:between w:val="nil"/>
        </w:pBdr>
        <w:spacing w:after="120" w:line="240" w:lineRule="auto"/>
        <w:ind w:firstLine="720"/>
        <w:jc w:val="both"/>
        <w:rPr>
          <w:rFonts w:asciiTheme="minorHAnsi" w:eastAsia="Cambria" w:hAnsiTheme="minorHAnsi" w:cs="Cambria"/>
          <w:color w:val="000000"/>
          <w:sz w:val="18"/>
          <w:szCs w:val="18"/>
          <w:lang w:val="es-MX"/>
        </w:rPr>
      </w:pPr>
      <w:r w:rsidRPr="000D1DE6">
        <w:rPr>
          <w:rStyle w:val="FootnoteReference"/>
          <w:rFonts w:asciiTheme="minorHAnsi" w:hAnsiTheme="minorHAnsi"/>
          <w:sz w:val="18"/>
          <w:szCs w:val="18"/>
          <w:lang w:val="es-MX"/>
        </w:rPr>
        <w:footnoteRef/>
      </w:r>
      <w:r w:rsidRPr="000D1DE6">
        <w:rPr>
          <w:rFonts w:asciiTheme="minorHAnsi" w:eastAsia="Cambria" w:hAnsiTheme="minorHAnsi" w:cs="Cambria"/>
          <w:color w:val="000000"/>
          <w:sz w:val="18"/>
          <w:szCs w:val="18"/>
          <w:lang w:val="es-MX"/>
        </w:rPr>
        <w:t xml:space="preserve"> CNDH, México, </w:t>
      </w:r>
      <w:hyperlink r:id="rId345">
        <w:r w:rsidRPr="000D1DE6">
          <w:rPr>
            <w:rFonts w:asciiTheme="minorHAnsi" w:eastAsia="Cambria" w:hAnsiTheme="minorHAnsi" w:cs="Cambria"/>
            <w:color w:val="0563C1"/>
            <w:sz w:val="18"/>
            <w:szCs w:val="18"/>
            <w:u w:val="single"/>
            <w:lang w:val="es-MX"/>
          </w:rPr>
          <w:t>Comunicado de prensa DGC/069/2021 CNDH solicitó medidas cautelares a autoridades de Baja California y federales en favor de personas migrantes que habitan en el campamento “El Chaparral”</w:t>
        </w:r>
      </w:hyperlink>
      <w:r w:rsidRPr="000D1DE6">
        <w:rPr>
          <w:rFonts w:asciiTheme="minorHAnsi" w:eastAsia="Cambria" w:hAnsiTheme="minorHAnsi" w:cs="Cambria"/>
          <w:color w:val="000000"/>
          <w:sz w:val="18"/>
          <w:szCs w:val="18"/>
          <w:lang w:val="es-MX"/>
        </w:rPr>
        <w:t>, 20 de marzo de 2021.</w:t>
      </w:r>
    </w:p>
  </w:footnote>
  <w:footnote w:id="422">
    <w:p w14:paraId="1CAE681D" w14:textId="77777777" w:rsidR="000235D8" w:rsidRPr="000D1DE6" w:rsidRDefault="000235D8" w:rsidP="00F46807">
      <w:pPr>
        <w:pBdr>
          <w:top w:val="nil"/>
          <w:left w:val="nil"/>
          <w:bottom w:val="nil"/>
          <w:right w:val="nil"/>
          <w:between w:val="nil"/>
        </w:pBdr>
        <w:spacing w:after="120" w:line="240" w:lineRule="auto"/>
        <w:ind w:firstLine="720"/>
        <w:jc w:val="both"/>
        <w:rPr>
          <w:rFonts w:asciiTheme="minorHAnsi" w:eastAsia="Cambria" w:hAnsiTheme="minorHAnsi" w:cs="Cambria"/>
          <w:color w:val="000000"/>
          <w:sz w:val="18"/>
          <w:szCs w:val="18"/>
          <w:lang w:val="es-MX"/>
        </w:rPr>
      </w:pPr>
      <w:r w:rsidRPr="000D1DE6">
        <w:rPr>
          <w:rStyle w:val="FootnoteReference"/>
          <w:rFonts w:asciiTheme="minorHAnsi" w:hAnsiTheme="minorHAnsi"/>
          <w:sz w:val="18"/>
          <w:szCs w:val="18"/>
          <w:lang w:val="es-MX"/>
        </w:rPr>
        <w:footnoteRef/>
      </w:r>
      <w:r w:rsidRPr="000D1DE6">
        <w:rPr>
          <w:rFonts w:asciiTheme="minorHAnsi" w:eastAsia="Cambria" w:hAnsiTheme="minorHAnsi" w:cs="Cambria"/>
          <w:color w:val="000000"/>
          <w:sz w:val="18"/>
          <w:szCs w:val="18"/>
          <w:lang w:val="es-MX"/>
        </w:rPr>
        <w:t xml:space="preserve"> CNDH, México, </w:t>
      </w:r>
      <w:hyperlink r:id="rId346">
        <w:r w:rsidRPr="000D1DE6">
          <w:rPr>
            <w:rFonts w:asciiTheme="minorHAnsi" w:eastAsia="Cambria" w:hAnsiTheme="minorHAnsi" w:cs="Cambria"/>
            <w:color w:val="0563C1"/>
            <w:sz w:val="18"/>
            <w:szCs w:val="18"/>
            <w:u w:val="single"/>
            <w:lang w:val="es-MX"/>
          </w:rPr>
          <w:t>Comunicado de prensa DGC/075/2021 CNDH solicita otorgar atención humanitaria urgente a personas migrantes en Reynosa, Tamaulipas</w:t>
        </w:r>
      </w:hyperlink>
      <w:r w:rsidRPr="000D1DE6">
        <w:rPr>
          <w:rFonts w:asciiTheme="minorHAnsi" w:eastAsia="Cambria" w:hAnsiTheme="minorHAnsi" w:cs="Cambria"/>
          <w:color w:val="000000"/>
          <w:sz w:val="18"/>
          <w:szCs w:val="18"/>
          <w:lang w:val="es-MX"/>
        </w:rPr>
        <w:t>, 24 de marzo de 2021.</w:t>
      </w:r>
    </w:p>
  </w:footnote>
  <w:footnote w:id="423">
    <w:p w14:paraId="69DCD4E8" w14:textId="77777777" w:rsidR="000235D8" w:rsidRPr="000D1DE6" w:rsidRDefault="000235D8" w:rsidP="00F46807">
      <w:pPr>
        <w:pBdr>
          <w:top w:val="nil"/>
          <w:left w:val="nil"/>
          <w:bottom w:val="nil"/>
          <w:right w:val="nil"/>
          <w:between w:val="nil"/>
        </w:pBdr>
        <w:spacing w:after="120" w:line="240" w:lineRule="auto"/>
        <w:ind w:firstLine="720"/>
        <w:jc w:val="both"/>
        <w:rPr>
          <w:rFonts w:asciiTheme="minorHAnsi" w:eastAsia="Cambria" w:hAnsiTheme="minorHAnsi" w:cs="Cambria"/>
          <w:color w:val="000000"/>
          <w:sz w:val="18"/>
          <w:szCs w:val="18"/>
          <w:lang w:val="es-MX"/>
        </w:rPr>
      </w:pPr>
      <w:r w:rsidRPr="000D1DE6">
        <w:rPr>
          <w:rStyle w:val="FootnoteReference"/>
          <w:rFonts w:asciiTheme="minorHAnsi" w:hAnsiTheme="minorHAnsi"/>
          <w:sz w:val="18"/>
          <w:szCs w:val="18"/>
          <w:lang w:val="es-MX"/>
        </w:rPr>
        <w:footnoteRef/>
      </w:r>
      <w:r w:rsidRPr="000D1DE6">
        <w:rPr>
          <w:rFonts w:asciiTheme="minorHAnsi" w:eastAsia="Cambria" w:hAnsiTheme="minorHAnsi" w:cs="Cambria"/>
          <w:color w:val="000000"/>
          <w:sz w:val="18"/>
          <w:szCs w:val="18"/>
          <w:lang w:val="es-MX"/>
        </w:rPr>
        <w:t xml:space="preserve"> CNDH, México, </w:t>
      </w:r>
      <w:hyperlink r:id="rId347">
        <w:r w:rsidRPr="000D1DE6">
          <w:rPr>
            <w:rFonts w:asciiTheme="minorHAnsi" w:eastAsia="Cambria" w:hAnsiTheme="minorHAnsi" w:cs="Cambria"/>
            <w:color w:val="0563C1"/>
            <w:sz w:val="18"/>
            <w:szCs w:val="18"/>
            <w:u w:val="single"/>
            <w:lang w:val="es-MX"/>
          </w:rPr>
          <w:t>Comunicado de prensa DGC/181/2021 CNDH solicita medidas cautelares al INM en favor de personas migrantes alojadas en la Estación Migratoria de Saltillo, Coahuila</w:t>
        </w:r>
      </w:hyperlink>
      <w:r w:rsidRPr="000D1DE6">
        <w:rPr>
          <w:rFonts w:asciiTheme="minorHAnsi" w:eastAsia="Cambria" w:hAnsiTheme="minorHAnsi" w:cs="Cambria"/>
          <w:color w:val="000000"/>
          <w:sz w:val="18"/>
          <w:szCs w:val="18"/>
          <w:lang w:val="es-MX"/>
        </w:rPr>
        <w:t>, 5 de julio de 2021.</w:t>
      </w:r>
    </w:p>
  </w:footnote>
  <w:footnote w:id="424">
    <w:p w14:paraId="57E0C735" w14:textId="77777777" w:rsidR="000235D8" w:rsidRPr="000D1DE6" w:rsidRDefault="000235D8" w:rsidP="00F46807">
      <w:pPr>
        <w:pBdr>
          <w:top w:val="nil"/>
          <w:left w:val="nil"/>
          <w:bottom w:val="nil"/>
          <w:right w:val="nil"/>
          <w:between w:val="nil"/>
        </w:pBdr>
        <w:spacing w:after="120" w:line="240" w:lineRule="auto"/>
        <w:ind w:firstLine="720"/>
        <w:jc w:val="both"/>
        <w:rPr>
          <w:rFonts w:asciiTheme="minorHAnsi" w:eastAsia="Cambria" w:hAnsiTheme="minorHAnsi" w:cs="Cambria"/>
          <w:color w:val="000000"/>
          <w:sz w:val="18"/>
          <w:szCs w:val="18"/>
          <w:lang w:val="es-MX"/>
        </w:rPr>
      </w:pPr>
      <w:r w:rsidRPr="000D1DE6">
        <w:rPr>
          <w:rStyle w:val="FootnoteReference"/>
          <w:rFonts w:asciiTheme="minorHAnsi" w:hAnsiTheme="minorHAnsi"/>
          <w:sz w:val="18"/>
          <w:szCs w:val="18"/>
          <w:lang w:val="es-MX"/>
        </w:rPr>
        <w:footnoteRef/>
      </w:r>
      <w:r w:rsidRPr="000D1DE6">
        <w:rPr>
          <w:rFonts w:asciiTheme="minorHAnsi" w:eastAsia="Cambria" w:hAnsiTheme="minorHAnsi" w:cs="Cambria"/>
          <w:color w:val="000000"/>
          <w:sz w:val="18"/>
          <w:szCs w:val="18"/>
          <w:lang w:val="es-MX"/>
        </w:rPr>
        <w:t xml:space="preserve"> CNDH, México, </w:t>
      </w:r>
      <w:hyperlink r:id="rId348">
        <w:r w:rsidRPr="000D1DE6">
          <w:rPr>
            <w:rFonts w:asciiTheme="minorHAnsi" w:eastAsia="Cambria" w:hAnsiTheme="minorHAnsi" w:cs="Cambria"/>
            <w:color w:val="0563C1"/>
            <w:sz w:val="18"/>
            <w:szCs w:val="18"/>
            <w:u w:val="single"/>
            <w:lang w:val="es-MX"/>
          </w:rPr>
          <w:t>Comunicado de prensa DGC/199/2021 CNDH solicita medidas cautelares al INM, SNDIF y autoridades de Tamaulipas en favor de personas alojadas en casa migrante “Senda de Vida”</w:t>
        </w:r>
      </w:hyperlink>
      <w:r w:rsidRPr="000D1DE6">
        <w:rPr>
          <w:rFonts w:asciiTheme="minorHAnsi" w:eastAsia="Cambria" w:hAnsiTheme="minorHAnsi" w:cs="Cambria"/>
          <w:color w:val="000000"/>
          <w:sz w:val="18"/>
          <w:szCs w:val="18"/>
          <w:lang w:val="es-MX"/>
        </w:rPr>
        <w:t>, 24 de julio de 2021.</w:t>
      </w:r>
    </w:p>
  </w:footnote>
  <w:footnote w:id="425">
    <w:p w14:paraId="654730EA" w14:textId="77777777" w:rsidR="000235D8" w:rsidRPr="000D1DE6" w:rsidRDefault="000235D8" w:rsidP="00F46807">
      <w:pPr>
        <w:pBdr>
          <w:top w:val="nil"/>
          <w:left w:val="nil"/>
          <w:bottom w:val="nil"/>
          <w:right w:val="nil"/>
          <w:between w:val="nil"/>
        </w:pBdr>
        <w:spacing w:after="120" w:line="240" w:lineRule="auto"/>
        <w:ind w:firstLine="720"/>
        <w:jc w:val="both"/>
        <w:rPr>
          <w:rFonts w:asciiTheme="minorHAnsi" w:eastAsia="Cambria" w:hAnsiTheme="minorHAnsi" w:cs="Cambria"/>
          <w:color w:val="000000"/>
          <w:sz w:val="18"/>
          <w:szCs w:val="18"/>
          <w:lang w:val="es-MX"/>
        </w:rPr>
      </w:pPr>
      <w:r w:rsidRPr="000D1DE6">
        <w:rPr>
          <w:rStyle w:val="FootnoteReference"/>
          <w:rFonts w:asciiTheme="minorHAnsi" w:hAnsiTheme="minorHAnsi"/>
          <w:sz w:val="18"/>
          <w:szCs w:val="18"/>
          <w:lang w:val="es-MX"/>
        </w:rPr>
        <w:footnoteRef/>
      </w:r>
      <w:r w:rsidRPr="000D1DE6">
        <w:rPr>
          <w:rFonts w:asciiTheme="minorHAnsi" w:eastAsia="Cambria" w:hAnsiTheme="minorHAnsi" w:cs="Cambria"/>
          <w:color w:val="000000"/>
          <w:sz w:val="18"/>
          <w:szCs w:val="18"/>
          <w:lang w:val="es-MX"/>
        </w:rPr>
        <w:t xml:space="preserve"> CNDH, México, </w:t>
      </w:r>
      <w:hyperlink r:id="rId349">
        <w:r w:rsidRPr="000D1DE6">
          <w:rPr>
            <w:rFonts w:asciiTheme="minorHAnsi" w:eastAsia="Cambria" w:hAnsiTheme="minorHAnsi" w:cs="Cambria"/>
            <w:color w:val="0563C1"/>
            <w:sz w:val="18"/>
            <w:szCs w:val="18"/>
            <w:u w:val="single"/>
            <w:lang w:val="es-MX"/>
          </w:rPr>
          <w:t>Comunicado de prensa DGC/062/2021 CNDH emite medidas cautelares para proteger a personas migrantes hacinadas en autobuses y oficinas del INM en Tabasco</w:t>
        </w:r>
      </w:hyperlink>
      <w:r w:rsidRPr="000D1DE6">
        <w:rPr>
          <w:rFonts w:asciiTheme="minorHAnsi" w:eastAsia="Cambria" w:hAnsiTheme="minorHAnsi" w:cs="Cambria"/>
          <w:color w:val="000000"/>
          <w:sz w:val="18"/>
          <w:szCs w:val="18"/>
          <w:lang w:val="es-MX"/>
        </w:rPr>
        <w:t>, 13 de marzo de 2021.</w:t>
      </w:r>
    </w:p>
  </w:footnote>
  <w:footnote w:id="426">
    <w:p w14:paraId="772C7A17" w14:textId="77777777" w:rsidR="000235D8" w:rsidRPr="000D1DE6" w:rsidRDefault="000235D8" w:rsidP="00F46807">
      <w:pPr>
        <w:pBdr>
          <w:top w:val="nil"/>
          <w:left w:val="nil"/>
          <w:bottom w:val="nil"/>
          <w:right w:val="nil"/>
          <w:between w:val="nil"/>
        </w:pBdr>
        <w:spacing w:after="120" w:line="240" w:lineRule="auto"/>
        <w:ind w:firstLine="720"/>
        <w:jc w:val="both"/>
        <w:rPr>
          <w:rFonts w:asciiTheme="minorHAnsi" w:eastAsia="Cambria" w:hAnsiTheme="minorHAnsi" w:cs="Cambria"/>
          <w:color w:val="000000"/>
          <w:sz w:val="18"/>
          <w:szCs w:val="18"/>
          <w:lang w:val="es-MX"/>
        </w:rPr>
      </w:pPr>
      <w:r w:rsidRPr="000D1DE6">
        <w:rPr>
          <w:rStyle w:val="FootnoteReference"/>
          <w:rFonts w:asciiTheme="minorHAnsi" w:hAnsiTheme="minorHAnsi"/>
          <w:sz w:val="18"/>
          <w:szCs w:val="18"/>
          <w:lang w:val="es-MX"/>
        </w:rPr>
        <w:footnoteRef/>
      </w:r>
      <w:r w:rsidRPr="000D1DE6">
        <w:rPr>
          <w:rFonts w:asciiTheme="minorHAnsi" w:eastAsia="Cambria" w:hAnsiTheme="minorHAnsi" w:cs="Cambria"/>
          <w:color w:val="000000"/>
          <w:sz w:val="18"/>
          <w:szCs w:val="18"/>
          <w:lang w:val="es-MX"/>
        </w:rPr>
        <w:t xml:space="preserve"> CNDH, México, </w:t>
      </w:r>
      <w:hyperlink r:id="rId350">
        <w:r w:rsidRPr="000D1DE6">
          <w:rPr>
            <w:rFonts w:asciiTheme="minorHAnsi" w:eastAsia="Cambria" w:hAnsiTheme="minorHAnsi" w:cs="Cambria"/>
            <w:color w:val="0563C1"/>
            <w:sz w:val="18"/>
            <w:szCs w:val="18"/>
            <w:u w:val="single"/>
            <w:lang w:val="es-MX"/>
          </w:rPr>
          <w:t>Comunicado de prensa DGC/215/2021 CNDH dirige Recomendación al INM y al Fiscal General de Chiapas por el fallecimiento de dos personas migrantes en la estación migratoria “Siglo XXI”</w:t>
        </w:r>
      </w:hyperlink>
      <w:r w:rsidRPr="000D1DE6">
        <w:rPr>
          <w:rFonts w:asciiTheme="minorHAnsi" w:eastAsia="Cambria" w:hAnsiTheme="minorHAnsi" w:cs="Cambria"/>
          <w:color w:val="000000"/>
          <w:sz w:val="18"/>
          <w:szCs w:val="18"/>
          <w:lang w:val="es-MX"/>
        </w:rPr>
        <w:t>, 28 de agosto de 2021.</w:t>
      </w:r>
    </w:p>
  </w:footnote>
  <w:footnote w:id="427">
    <w:p w14:paraId="0054B294" w14:textId="77777777" w:rsidR="000235D8" w:rsidRPr="000D1DE6" w:rsidRDefault="000235D8" w:rsidP="00F46807">
      <w:pPr>
        <w:pBdr>
          <w:top w:val="nil"/>
          <w:left w:val="nil"/>
          <w:bottom w:val="nil"/>
          <w:right w:val="nil"/>
          <w:between w:val="nil"/>
        </w:pBdr>
        <w:spacing w:after="120" w:line="240" w:lineRule="auto"/>
        <w:ind w:firstLine="720"/>
        <w:jc w:val="both"/>
        <w:rPr>
          <w:rFonts w:asciiTheme="minorHAnsi" w:eastAsia="Cambria" w:hAnsiTheme="minorHAnsi" w:cs="Cambria"/>
          <w:color w:val="000000"/>
          <w:sz w:val="18"/>
          <w:szCs w:val="18"/>
          <w:lang w:val="es-MX"/>
        </w:rPr>
      </w:pPr>
      <w:r w:rsidRPr="000D1DE6">
        <w:rPr>
          <w:rStyle w:val="FootnoteReference"/>
          <w:rFonts w:asciiTheme="minorHAnsi" w:hAnsiTheme="minorHAnsi"/>
          <w:sz w:val="18"/>
          <w:szCs w:val="18"/>
          <w:lang w:val="es-MX"/>
        </w:rPr>
        <w:footnoteRef/>
      </w:r>
      <w:r w:rsidRPr="000D1DE6">
        <w:rPr>
          <w:rFonts w:asciiTheme="minorHAnsi" w:eastAsia="Cambria" w:hAnsiTheme="minorHAnsi" w:cs="Cambria"/>
          <w:color w:val="000000"/>
          <w:sz w:val="18"/>
          <w:szCs w:val="18"/>
          <w:lang w:val="es-MX"/>
        </w:rPr>
        <w:t xml:space="preserve"> CIDH, </w:t>
      </w:r>
      <w:hyperlink r:id="rId351">
        <w:r w:rsidRPr="000D1DE6">
          <w:rPr>
            <w:rFonts w:asciiTheme="minorHAnsi" w:eastAsia="Cambria" w:hAnsiTheme="minorHAnsi" w:cs="Cambria"/>
            <w:color w:val="0563C1"/>
            <w:sz w:val="18"/>
            <w:szCs w:val="18"/>
            <w:u w:val="single"/>
            <w:lang w:val="es-MX"/>
          </w:rPr>
          <w:t>Resolución 04/19 Principios interamericanos sobre los derechos humanos de todas las personas migrantes, refugiadas, apátridas y las víctimas de la trata de personas</w:t>
        </w:r>
      </w:hyperlink>
      <w:r w:rsidRPr="000D1DE6">
        <w:rPr>
          <w:rFonts w:asciiTheme="minorHAnsi" w:eastAsia="Cambria" w:hAnsiTheme="minorHAnsi" w:cs="Cambria"/>
          <w:color w:val="000000"/>
          <w:sz w:val="18"/>
          <w:szCs w:val="18"/>
          <w:lang w:val="es-MX"/>
        </w:rPr>
        <w:t>, 7 de diciembre de 2019, Principio 68, 69.</w:t>
      </w:r>
    </w:p>
  </w:footnote>
  <w:footnote w:id="428">
    <w:p w14:paraId="4C5392BC" w14:textId="77777777" w:rsidR="000235D8" w:rsidRPr="000D1DE6" w:rsidRDefault="000235D8" w:rsidP="00F46807">
      <w:pPr>
        <w:pBdr>
          <w:top w:val="nil"/>
          <w:left w:val="nil"/>
          <w:bottom w:val="nil"/>
          <w:right w:val="nil"/>
          <w:between w:val="nil"/>
        </w:pBdr>
        <w:spacing w:after="120" w:line="240" w:lineRule="auto"/>
        <w:ind w:firstLine="720"/>
        <w:jc w:val="both"/>
        <w:rPr>
          <w:rFonts w:asciiTheme="minorHAnsi" w:eastAsia="Cambria" w:hAnsiTheme="minorHAnsi" w:cs="Cambria"/>
          <w:color w:val="000000"/>
          <w:sz w:val="18"/>
          <w:szCs w:val="18"/>
          <w:lang w:val="es-MX"/>
        </w:rPr>
      </w:pPr>
      <w:r w:rsidRPr="000D1DE6">
        <w:rPr>
          <w:rStyle w:val="FootnoteReference"/>
          <w:rFonts w:asciiTheme="minorHAnsi" w:hAnsiTheme="minorHAnsi"/>
          <w:sz w:val="18"/>
          <w:szCs w:val="18"/>
          <w:lang w:val="es-MX"/>
        </w:rPr>
        <w:footnoteRef/>
      </w:r>
      <w:r w:rsidRPr="000D1DE6">
        <w:rPr>
          <w:rFonts w:asciiTheme="minorHAnsi" w:eastAsia="Cambria" w:hAnsiTheme="minorHAnsi" w:cs="Cambria"/>
          <w:color w:val="000000"/>
          <w:sz w:val="18"/>
          <w:szCs w:val="18"/>
          <w:lang w:val="es-MX"/>
        </w:rPr>
        <w:t xml:space="preserve"> CIDH, </w:t>
      </w:r>
      <w:hyperlink r:id="rId352">
        <w:r w:rsidRPr="000D1DE6">
          <w:rPr>
            <w:rFonts w:asciiTheme="minorHAnsi" w:eastAsia="Cambria" w:hAnsiTheme="minorHAnsi" w:cs="Cambria"/>
            <w:color w:val="0563C1"/>
            <w:sz w:val="18"/>
            <w:szCs w:val="18"/>
            <w:u w:val="single"/>
            <w:lang w:val="es-MX"/>
          </w:rPr>
          <w:t>Derechos humanos de los migrantes y otras personas en el contexto de la movilidad humana en México</w:t>
        </w:r>
      </w:hyperlink>
      <w:r w:rsidRPr="000D1DE6">
        <w:rPr>
          <w:rFonts w:asciiTheme="minorHAnsi" w:eastAsia="Cambria" w:hAnsiTheme="minorHAnsi" w:cs="Cambria"/>
          <w:color w:val="000000"/>
          <w:sz w:val="18"/>
          <w:szCs w:val="18"/>
          <w:lang w:val="es-MX"/>
        </w:rPr>
        <w:t>, OEA/Ser.L/V/II., Doc. 48/13, 30 de diciembre 2013, párr. 577.15.</w:t>
      </w:r>
    </w:p>
  </w:footnote>
  <w:footnote w:id="429">
    <w:p w14:paraId="3D310E44" w14:textId="77777777" w:rsidR="000235D8" w:rsidRPr="000D1DE6" w:rsidRDefault="000235D8" w:rsidP="00F46807">
      <w:pPr>
        <w:pBdr>
          <w:top w:val="nil"/>
          <w:left w:val="nil"/>
          <w:bottom w:val="nil"/>
          <w:right w:val="nil"/>
          <w:between w:val="nil"/>
        </w:pBdr>
        <w:spacing w:after="120" w:line="240" w:lineRule="auto"/>
        <w:ind w:firstLine="720"/>
        <w:jc w:val="both"/>
        <w:rPr>
          <w:rFonts w:asciiTheme="minorHAnsi" w:eastAsia="Cambria" w:hAnsiTheme="minorHAnsi" w:cs="Cambria"/>
          <w:b/>
          <w:color w:val="000000"/>
          <w:sz w:val="18"/>
          <w:szCs w:val="18"/>
          <w:lang w:val="es-MX"/>
        </w:rPr>
      </w:pPr>
      <w:r w:rsidRPr="000D1DE6">
        <w:rPr>
          <w:rStyle w:val="FootnoteReference"/>
          <w:rFonts w:asciiTheme="minorHAnsi" w:hAnsiTheme="minorHAnsi"/>
          <w:sz w:val="18"/>
          <w:szCs w:val="18"/>
          <w:lang w:val="es-MX"/>
        </w:rPr>
        <w:footnoteRef/>
      </w:r>
      <w:r w:rsidRPr="000D1DE6">
        <w:rPr>
          <w:rFonts w:asciiTheme="minorHAnsi" w:eastAsia="Cambria" w:hAnsiTheme="minorHAnsi" w:cs="Cambria"/>
          <w:color w:val="000000"/>
          <w:sz w:val="18"/>
          <w:szCs w:val="18"/>
          <w:lang w:val="es-MX"/>
        </w:rPr>
        <w:t xml:space="preserve"> CIDH [@CIDH]. (16 de junio de 2021). </w:t>
      </w:r>
      <w:r w:rsidRPr="000D1DE6">
        <w:rPr>
          <w:rFonts w:asciiTheme="minorHAnsi" w:eastAsia="Cambria" w:hAnsiTheme="minorHAnsi" w:cs="Cambria"/>
          <w:i/>
          <w:color w:val="000000"/>
          <w:sz w:val="18"/>
          <w:szCs w:val="18"/>
          <w:lang w:val="es-MX"/>
        </w:rPr>
        <w:t>La CIDH expresa preocupación por las devoluciones de Niñas Niños y Adolescentes no acompañados a sus países, desde EE.UU. y México</w:t>
      </w:r>
      <w:r w:rsidRPr="000D1DE6">
        <w:rPr>
          <w:rFonts w:asciiTheme="minorHAnsi" w:eastAsia="Cambria" w:hAnsiTheme="minorHAnsi" w:cs="Cambria"/>
          <w:color w:val="000000"/>
          <w:sz w:val="18"/>
          <w:szCs w:val="18"/>
          <w:lang w:val="es-MX"/>
        </w:rPr>
        <w:t xml:space="preserve"> [Tweet]. Twitter.</w:t>
      </w:r>
      <w:hyperlink r:id="rId353">
        <w:r w:rsidRPr="000D1DE6">
          <w:rPr>
            <w:rFonts w:asciiTheme="minorHAnsi" w:eastAsia="Cambria" w:hAnsiTheme="minorHAnsi" w:cs="Cambria"/>
            <w:color w:val="1155CC"/>
            <w:sz w:val="18"/>
            <w:szCs w:val="18"/>
            <w:u w:val="single"/>
            <w:lang w:val="es-MX"/>
          </w:rPr>
          <w:t xml:space="preserve"> </w:t>
        </w:r>
      </w:hyperlink>
      <w:hyperlink r:id="rId354">
        <w:r w:rsidRPr="000D1DE6">
          <w:rPr>
            <w:rFonts w:asciiTheme="minorHAnsi" w:eastAsia="Cambria" w:hAnsiTheme="minorHAnsi" w:cs="Cambria"/>
            <w:color w:val="0563C1"/>
            <w:sz w:val="18"/>
            <w:szCs w:val="18"/>
            <w:u w:val="single"/>
            <w:lang w:val="es-MX"/>
          </w:rPr>
          <w:t>https://twitter.com/CIDH/status/1405187169484947456</w:t>
        </w:r>
      </w:hyperlink>
      <w:r w:rsidRPr="000D1DE6">
        <w:rPr>
          <w:rFonts w:asciiTheme="minorHAnsi" w:eastAsia="Cambria" w:hAnsiTheme="minorHAnsi" w:cs="Cambria"/>
          <w:color w:val="000000"/>
          <w:sz w:val="18"/>
          <w:szCs w:val="18"/>
          <w:lang w:val="es-MX"/>
        </w:rPr>
        <w:t xml:space="preserve">. Ver: Amnistía Internacional, </w:t>
      </w:r>
      <w:hyperlink r:id="rId355">
        <w:r w:rsidRPr="000D1DE6">
          <w:rPr>
            <w:rFonts w:asciiTheme="minorHAnsi" w:eastAsia="Cambria" w:hAnsiTheme="minorHAnsi" w:cs="Cambria"/>
            <w:color w:val="0563C1"/>
            <w:sz w:val="18"/>
            <w:szCs w:val="18"/>
            <w:u w:val="single"/>
            <w:lang w:val="es-MX"/>
          </w:rPr>
          <w:t>Empujados al peligro: devoluciones forzadas de niños y niñas migrantes no acompañados efectuadas por Estados Unidos y México</w:t>
        </w:r>
      </w:hyperlink>
      <w:r w:rsidRPr="000D1DE6">
        <w:rPr>
          <w:rFonts w:asciiTheme="minorHAnsi" w:eastAsia="Cambria" w:hAnsiTheme="minorHAnsi" w:cs="Cambria"/>
          <w:color w:val="000000"/>
          <w:sz w:val="18"/>
          <w:szCs w:val="18"/>
          <w:lang w:val="es-MX"/>
        </w:rPr>
        <w:t>, 10 de julio de 2021.</w:t>
      </w:r>
    </w:p>
  </w:footnote>
  <w:footnote w:id="430">
    <w:p w14:paraId="1DFD1202" w14:textId="77777777" w:rsidR="000235D8" w:rsidRPr="000D1DE6" w:rsidRDefault="000235D8" w:rsidP="00F46807">
      <w:pPr>
        <w:pBdr>
          <w:top w:val="nil"/>
          <w:left w:val="nil"/>
          <w:bottom w:val="nil"/>
          <w:right w:val="nil"/>
          <w:between w:val="nil"/>
        </w:pBdr>
        <w:spacing w:after="120" w:line="240" w:lineRule="auto"/>
        <w:ind w:firstLine="720"/>
        <w:jc w:val="both"/>
        <w:rPr>
          <w:rFonts w:asciiTheme="minorHAnsi" w:eastAsia="Cambria" w:hAnsiTheme="minorHAnsi" w:cs="Cambria"/>
          <w:color w:val="000000"/>
          <w:sz w:val="18"/>
          <w:szCs w:val="18"/>
          <w:lang w:val="es-MX"/>
        </w:rPr>
      </w:pPr>
      <w:r w:rsidRPr="000D1DE6">
        <w:rPr>
          <w:rStyle w:val="FootnoteReference"/>
          <w:rFonts w:asciiTheme="minorHAnsi" w:hAnsiTheme="minorHAnsi"/>
          <w:sz w:val="18"/>
          <w:szCs w:val="18"/>
          <w:lang w:val="es-MX"/>
        </w:rPr>
        <w:footnoteRef/>
      </w:r>
      <w:r w:rsidRPr="000D1DE6">
        <w:rPr>
          <w:rFonts w:asciiTheme="minorHAnsi" w:eastAsia="Cambria" w:hAnsiTheme="minorHAnsi" w:cs="Cambria"/>
          <w:color w:val="000000"/>
          <w:sz w:val="18"/>
          <w:szCs w:val="18"/>
          <w:lang w:val="es-MX"/>
        </w:rPr>
        <w:t xml:space="preserve"> REDLAC, </w:t>
      </w:r>
      <w:hyperlink r:id="rId356">
        <w:r w:rsidRPr="000D1DE6">
          <w:rPr>
            <w:rFonts w:asciiTheme="minorHAnsi" w:eastAsia="Cambria" w:hAnsiTheme="minorHAnsi" w:cs="Cambria"/>
            <w:color w:val="0563C1"/>
            <w:sz w:val="18"/>
            <w:szCs w:val="18"/>
            <w:u w:val="single"/>
            <w:lang w:val="es-MX"/>
          </w:rPr>
          <w:t>Boletín 14: Crisis de Protección en el Norte de Centroamérica, México y Panamá</w:t>
        </w:r>
      </w:hyperlink>
      <w:r w:rsidRPr="000D1DE6">
        <w:rPr>
          <w:rFonts w:asciiTheme="minorHAnsi" w:eastAsia="Cambria" w:hAnsiTheme="minorHAnsi" w:cs="Cambria"/>
          <w:color w:val="000000"/>
          <w:sz w:val="18"/>
          <w:szCs w:val="18"/>
          <w:lang w:val="es-MX"/>
        </w:rPr>
        <w:t>, marzo 2021.</w:t>
      </w:r>
    </w:p>
  </w:footnote>
  <w:footnote w:id="431">
    <w:p w14:paraId="7C6F78A1" w14:textId="53C1B548" w:rsidR="00897787" w:rsidRPr="000D1DE6" w:rsidRDefault="00897787" w:rsidP="00F46807">
      <w:pPr>
        <w:pStyle w:val="FootnoteText"/>
        <w:spacing w:after="120"/>
        <w:ind w:firstLine="720"/>
      </w:pPr>
      <w:r w:rsidRPr="000D1DE6">
        <w:rPr>
          <w:rStyle w:val="FootnoteReference"/>
        </w:rPr>
        <w:footnoteRef/>
      </w:r>
      <w:r w:rsidRPr="000D1DE6">
        <w:t xml:space="preserve"> </w:t>
      </w:r>
      <w:r w:rsidRPr="000D1DE6">
        <w:rPr>
          <w:rFonts w:eastAsia="Cambria" w:cs="Cambria"/>
        </w:rPr>
        <w:t xml:space="preserve">Asimismo, el flujo de personas guatemaltecas que se movilizan para trabajar en México con una TVTF ha disminuido en los últimos 3 años. Según el Estado, esta disminución se dio en un contexto marcado por la depreciación del peso frente al quetzal y la caída del sector agropecuario en el sureste mexicano. Indica que, es importante considerar que existen otras condiciones migratorias que contemplan la inserción laboral. Tal es el caso de la Tarjeta de Visitante por Razones Humanitarias (TVRH) que en mayor medida se ofrece a personas solicitantes de la condición de refugiado. Dicha Tarjeta permite el acceso al empleo y a otros servicios. </w:t>
      </w:r>
      <w:r w:rsidRPr="000D1DE6">
        <w:rPr>
          <w:rFonts w:asciiTheme="minorHAnsi" w:eastAsia="Cambria" w:hAnsiTheme="minorHAnsi" w:cs="Cambria"/>
          <w:color w:val="000000"/>
          <w:lang w:val="es-MX"/>
        </w:rPr>
        <w:t>Observaciones y comentarios del Estado de 24 de enero de 2022, pág</w:t>
      </w:r>
      <w:r w:rsidRPr="000D1DE6">
        <w:t xml:space="preserve"> 27.</w:t>
      </w:r>
    </w:p>
  </w:footnote>
  <w:footnote w:id="432">
    <w:p w14:paraId="10A89F43" w14:textId="77777777" w:rsidR="000235D8" w:rsidRPr="000D1DE6" w:rsidRDefault="000235D8" w:rsidP="00F46807">
      <w:pPr>
        <w:pBdr>
          <w:top w:val="nil"/>
          <w:left w:val="nil"/>
          <w:bottom w:val="nil"/>
          <w:right w:val="nil"/>
          <w:between w:val="nil"/>
        </w:pBdr>
        <w:spacing w:after="120" w:line="240" w:lineRule="auto"/>
        <w:ind w:firstLine="720"/>
        <w:jc w:val="both"/>
        <w:rPr>
          <w:rFonts w:asciiTheme="minorHAnsi" w:eastAsia="Cambria" w:hAnsiTheme="minorHAnsi" w:cs="Cambria"/>
          <w:color w:val="000000"/>
          <w:sz w:val="18"/>
          <w:szCs w:val="18"/>
          <w:lang w:val="es-MX"/>
        </w:rPr>
      </w:pPr>
      <w:r w:rsidRPr="000D1DE6">
        <w:rPr>
          <w:rStyle w:val="FootnoteReference"/>
          <w:rFonts w:asciiTheme="minorHAnsi" w:hAnsiTheme="minorHAnsi"/>
          <w:sz w:val="18"/>
          <w:szCs w:val="18"/>
          <w:lang w:val="es-MX"/>
        </w:rPr>
        <w:footnoteRef/>
      </w:r>
      <w:r w:rsidRPr="000D1DE6">
        <w:rPr>
          <w:rFonts w:asciiTheme="minorHAnsi" w:eastAsia="Cambria" w:hAnsiTheme="minorHAnsi" w:cs="Cambria"/>
          <w:color w:val="000000"/>
          <w:sz w:val="18"/>
          <w:szCs w:val="18"/>
          <w:lang w:val="es-MX"/>
        </w:rPr>
        <w:t xml:space="preserve"> CIDH, Comunicado de prensa 243/21 - </w:t>
      </w:r>
      <w:hyperlink r:id="rId357">
        <w:r w:rsidRPr="000D1DE6">
          <w:rPr>
            <w:rFonts w:asciiTheme="minorHAnsi" w:eastAsia="Cambria" w:hAnsiTheme="minorHAnsi" w:cs="Cambria"/>
            <w:color w:val="0563C1"/>
            <w:sz w:val="18"/>
            <w:szCs w:val="18"/>
            <w:u w:val="single"/>
            <w:lang w:val="es-MX"/>
          </w:rPr>
          <w:t>La CIDH expresa su preocupación por las expulsiones de personas en contexto de movilidad humana desde EEUU y México, y urge a los Estados involucrados a asegurar la protección efectiva de sus derechos</w:t>
        </w:r>
      </w:hyperlink>
      <w:r w:rsidRPr="000D1DE6">
        <w:rPr>
          <w:rFonts w:asciiTheme="minorHAnsi" w:eastAsia="Cambria" w:hAnsiTheme="minorHAnsi" w:cs="Cambria"/>
          <w:color w:val="000000"/>
          <w:sz w:val="18"/>
          <w:szCs w:val="18"/>
          <w:lang w:val="es-MX"/>
        </w:rPr>
        <w:t>, Washington, D.C., 17 de septiembre de 2021.</w:t>
      </w:r>
    </w:p>
  </w:footnote>
  <w:footnote w:id="433">
    <w:p w14:paraId="2FF27A39" w14:textId="77777777" w:rsidR="000235D8" w:rsidRPr="000D1DE6" w:rsidRDefault="000235D8" w:rsidP="00F46807">
      <w:pPr>
        <w:pBdr>
          <w:top w:val="nil"/>
          <w:left w:val="nil"/>
          <w:bottom w:val="nil"/>
          <w:right w:val="nil"/>
          <w:between w:val="nil"/>
        </w:pBdr>
        <w:spacing w:after="120" w:line="240" w:lineRule="auto"/>
        <w:ind w:firstLine="720"/>
        <w:jc w:val="both"/>
        <w:rPr>
          <w:rFonts w:asciiTheme="minorHAnsi" w:eastAsia="Cambria" w:hAnsiTheme="minorHAnsi" w:cs="Cambria"/>
          <w:color w:val="000000"/>
          <w:sz w:val="18"/>
          <w:szCs w:val="18"/>
          <w:lang w:val="es-MX"/>
        </w:rPr>
      </w:pPr>
      <w:r w:rsidRPr="000D1DE6">
        <w:rPr>
          <w:rStyle w:val="FootnoteReference"/>
          <w:rFonts w:asciiTheme="minorHAnsi" w:hAnsiTheme="minorHAnsi"/>
          <w:sz w:val="18"/>
          <w:szCs w:val="18"/>
          <w:lang w:val="es-MX"/>
        </w:rPr>
        <w:footnoteRef/>
      </w:r>
      <w:r w:rsidRPr="000D1DE6">
        <w:rPr>
          <w:rFonts w:asciiTheme="minorHAnsi" w:eastAsia="Cambria" w:hAnsiTheme="minorHAnsi" w:cs="Cambria"/>
          <w:color w:val="000000"/>
          <w:sz w:val="18"/>
          <w:szCs w:val="18"/>
          <w:lang w:val="es-MX"/>
        </w:rPr>
        <w:t xml:space="preserve"> CIDH, </w:t>
      </w:r>
      <w:hyperlink r:id="rId358">
        <w:r w:rsidRPr="000D1DE6">
          <w:rPr>
            <w:rFonts w:asciiTheme="minorHAnsi" w:eastAsia="Cambria" w:hAnsiTheme="minorHAnsi" w:cs="Cambria"/>
            <w:color w:val="0563C1"/>
            <w:sz w:val="18"/>
            <w:szCs w:val="18"/>
            <w:u w:val="single"/>
            <w:lang w:val="es-MX"/>
          </w:rPr>
          <w:t>Audiencia pública “Protección de personas en movilidad humana en los EEUU, México y el Norte de Centroamérica”</w:t>
        </w:r>
      </w:hyperlink>
      <w:r w:rsidRPr="000D1DE6">
        <w:rPr>
          <w:rFonts w:asciiTheme="minorHAnsi" w:eastAsia="Cambria" w:hAnsiTheme="minorHAnsi" w:cs="Cambria"/>
          <w:color w:val="000000"/>
          <w:sz w:val="18"/>
          <w:szCs w:val="18"/>
          <w:lang w:val="es-MX"/>
        </w:rPr>
        <w:t>, 181 periodo ordinario de sesiones, 26 de octubre de 2021. Información proporcionada por CHIRLA y el Procurador de los Derechos Humanos de Guatemala.</w:t>
      </w:r>
    </w:p>
    <w:bookmarkStart w:id="6" w:name="_heading=h.1fob9te" w:colFirst="0" w:colLast="0"/>
    <w:bookmarkEnd w:id="6"/>
  </w:footnote>
  <w:footnote w:id="434">
    <w:p w14:paraId="0447AEFB" w14:textId="46838BCF" w:rsidR="000235D8" w:rsidRPr="000D1DE6" w:rsidRDefault="000235D8" w:rsidP="00F46807">
      <w:pPr>
        <w:pBdr>
          <w:top w:val="nil"/>
          <w:left w:val="nil"/>
          <w:bottom w:val="nil"/>
          <w:right w:val="nil"/>
          <w:between w:val="nil"/>
        </w:pBdr>
        <w:spacing w:after="120" w:line="240" w:lineRule="auto"/>
        <w:ind w:firstLine="720"/>
        <w:jc w:val="both"/>
        <w:rPr>
          <w:rFonts w:asciiTheme="minorHAnsi" w:eastAsia="Cambria" w:hAnsiTheme="minorHAnsi" w:cs="Cambria"/>
          <w:color w:val="000000"/>
          <w:sz w:val="18"/>
          <w:szCs w:val="18"/>
          <w:lang w:val="es-MX"/>
        </w:rPr>
      </w:pPr>
      <w:bookmarkStart w:id="7" w:name="_heading=h.1fob9te" w:colFirst="0" w:colLast="0"/>
      <w:bookmarkEnd w:id="7"/>
      <w:r w:rsidRPr="000D1DE6">
        <w:rPr>
          <w:rStyle w:val="FootnoteReference"/>
          <w:rFonts w:asciiTheme="minorHAnsi" w:hAnsiTheme="minorHAnsi"/>
          <w:sz w:val="18"/>
          <w:szCs w:val="18"/>
          <w:lang w:val="es-MX"/>
        </w:rPr>
        <w:footnoteRef/>
      </w:r>
      <w:r w:rsidRPr="000D1DE6">
        <w:rPr>
          <w:rFonts w:asciiTheme="minorHAnsi" w:eastAsia="Cambria" w:hAnsiTheme="minorHAnsi" w:cs="Cambria"/>
          <w:color w:val="000000"/>
          <w:sz w:val="18"/>
          <w:szCs w:val="18"/>
          <w:lang w:val="es-MX"/>
        </w:rPr>
        <w:t xml:space="preserve"> Secretaría de Relaciones Exteriores, México, Respuesta del Estado mexicano a la solicitud de información de la Comisión Interamericana de Derechos Humanos a la luz del artículo 41º de la Convención Americana de Derechos Humanos relativa a las denuncias por rechazos de personas en situación de movilidad en puntos de internación terrestres y aéreos en México, 30 de agosto de 2021, pág. 6.</w:t>
      </w:r>
    </w:p>
  </w:footnote>
  <w:footnote w:id="435">
    <w:p w14:paraId="4D109798" w14:textId="5F722A75" w:rsidR="000235D8" w:rsidRPr="000D1DE6" w:rsidRDefault="000235D8" w:rsidP="00F46807">
      <w:pPr>
        <w:pBdr>
          <w:top w:val="nil"/>
          <w:left w:val="nil"/>
          <w:bottom w:val="nil"/>
          <w:right w:val="nil"/>
          <w:between w:val="nil"/>
        </w:pBdr>
        <w:spacing w:after="120" w:line="240" w:lineRule="auto"/>
        <w:ind w:firstLine="720"/>
        <w:jc w:val="both"/>
        <w:rPr>
          <w:rFonts w:asciiTheme="minorHAnsi" w:eastAsia="Cambria" w:hAnsiTheme="minorHAnsi" w:cs="Cambria"/>
          <w:color w:val="000000"/>
          <w:sz w:val="18"/>
          <w:szCs w:val="18"/>
          <w:lang w:val="es-MX"/>
        </w:rPr>
      </w:pPr>
      <w:r w:rsidRPr="000D1DE6">
        <w:rPr>
          <w:rStyle w:val="FootnoteReference"/>
          <w:rFonts w:asciiTheme="minorHAnsi" w:hAnsiTheme="minorHAnsi"/>
          <w:sz w:val="18"/>
          <w:szCs w:val="18"/>
          <w:lang w:val="es-MX"/>
        </w:rPr>
        <w:footnoteRef/>
      </w:r>
      <w:r w:rsidRPr="000D1DE6">
        <w:rPr>
          <w:rFonts w:asciiTheme="minorHAnsi" w:eastAsia="Cambria" w:hAnsiTheme="minorHAnsi" w:cs="Cambria"/>
          <w:color w:val="000000"/>
          <w:sz w:val="18"/>
          <w:szCs w:val="18"/>
          <w:lang w:val="es-MX"/>
        </w:rPr>
        <w:t xml:space="preserve"> Secretaría de Relaciones Exteriores, México, Respuesta del Estado mexicano a la solicitud de información de la Comisión Interamericana de Derechos Humanos a la luz del artículo 41º de la Convención Americana de Derechos Humanos relativa a las denuncias por rechazos de personas en situación de movilidad en puntos de internación terrestres y aéreos en México, 30 de agosto de 2021, pág. 7 y 11.</w:t>
      </w:r>
    </w:p>
  </w:footnote>
  <w:footnote w:id="436">
    <w:p w14:paraId="109475D8" w14:textId="77777777" w:rsidR="000235D8" w:rsidRPr="000D1DE6" w:rsidRDefault="000235D8" w:rsidP="00F46807">
      <w:pPr>
        <w:pStyle w:val="FootnoteText"/>
        <w:spacing w:after="120"/>
        <w:ind w:firstLine="720"/>
        <w:rPr>
          <w:rFonts w:asciiTheme="minorHAnsi" w:hAnsiTheme="minorHAnsi"/>
          <w:lang w:val="es-MX"/>
        </w:rPr>
      </w:pPr>
      <w:r w:rsidRPr="000D1DE6">
        <w:rPr>
          <w:rStyle w:val="FootnoteReference"/>
          <w:rFonts w:asciiTheme="minorHAnsi" w:hAnsiTheme="minorHAnsi"/>
          <w:lang w:val="es-MX"/>
        </w:rPr>
        <w:footnoteRef/>
      </w:r>
      <w:r w:rsidRPr="000D1DE6">
        <w:rPr>
          <w:rFonts w:asciiTheme="minorHAnsi" w:hAnsiTheme="minorHAnsi"/>
          <w:lang w:val="es-MX"/>
        </w:rPr>
        <w:t xml:space="preserve"> </w:t>
      </w:r>
      <w:r w:rsidRPr="000D1DE6">
        <w:rPr>
          <w:rFonts w:asciiTheme="minorHAnsi" w:hAnsiTheme="minorHAnsi"/>
          <w:color w:val="000000"/>
          <w:lang w:val="es-MX"/>
        </w:rPr>
        <w:t xml:space="preserve">CIDH, Comunicado de prensa 243/21 - </w:t>
      </w:r>
      <w:hyperlink r:id="rId359">
        <w:r w:rsidRPr="000D1DE6">
          <w:rPr>
            <w:rFonts w:asciiTheme="minorHAnsi" w:hAnsiTheme="minorHAnsi"/>
            <w:u w:val="single"/>
            <w:lang w:val="es-MX"/>
          </w:rPr>
          <w:t>La CIDH expresa su preocupación por las expulsiones de personas en contexto de movilidad humana desde EEUU y México, y urge a los Estados involucrados a asegurar la protección efectiva de sus derechos</w:t>
        </w:r>
      </w:hyperlink>
      <w:r w:rsidRPr="000D1DE6">
        <w:rPr>
          <w:rFonts w:asciiTheme="minorHAnsi" w:hAnsiTheme="minorHAnsi"/>
          <w:color w:val="000000"/>
          <w:lang w:val="es-MX"/>
        </w:rPr>
        <w:t>, Washington, D.C., 17 de septiembre de 2021.</w:t>
      </w:r>
    </w:p>
  </w:footnote>
  <w:footnote w:id="437">
    <w:p w14:paraId="2A7987DB" w14:textId="77777777" w:rsidR="000235D8" w:rsidRPr="000D1DE6" w:rsidRDefault="000235D8" w:rsidP="00F46807">
      <w:pPr>
        <w:pBdr>
          <w:top w:val="nil"/>
          <w:left w:val="nil"/>
          <w:bottom w:val="nil"/>
          <w:right w:val="nil"/>
          <w:between w:val="nil"/>
        </w:pBdr>
        <w:spacing w:after="120" w:line="240" w:lineRule="auto"/>
        <w:ind w:firstLine="720"/>
        <w:jc w:val="both"/>
        <w:rPr>
          <w:rFonts w:asciiTheme="minorHAnsi" w:eastAsia="Cambria" w:hAnsiTheme="minorHAnsi" w:cs="Cambria"/>
          <w:color w:val="000000"/>
          <w:sz w:val="18"/>
          <w:szCs w:val="18"/>
          <w:lang w:val="es-MX"/>
        </w:rPr>
      </w:pPr>
      <w:r w:rsidRPr="000D1DE6">
        <w:rPr>
          <w:rStyle w:val="FootnoteReference"/>
          <w:rFonts w:asciiTheme="minorHAnsi" w:hAnsiTheme="minorHAnsi"/>
          <w:sz w:val="18"/>
          <w:szCs w:val="18"/>
          <w:lang w:val="es-MX"/>
        </w:rPr>
        <w:footnoteRef/>
      </w:r>
      <w:r w:rsidRPr="000D1DE6">
        <w:rPr>
          <w:rFonts w:asciiTheme="minorHAnsi" w:eastAsia="Cambria" w:hAnsiTheme="minorHAnsi" w:cs="Cambria"/>
          <w:color w:val="000000"/>
          <w:sz w:val="18"/>
          <w:szCs w:val="18"/>
          <w:lang w:val="es-MX"/>
        </w:rPr>
        <w:t xml:space="preserve"> CIDH, </w:t>
      </w:r>
      <w:hyperlink r:id="rId360">
        <w:r w:rsidRPr="000D1DE6">
          <w:rPr>
            <w:rFonts w:asciiTheme="minorHAnsi" w:eastAsia="Cambria" w:hAnsiTheme="minorHAnsi" w:cs="Cambria"/>
            <w:color w:val="0563C1"/>
            <w:sz w:val="18"/>
            <w:szCs w:val="18"/>
            <w:u w:val="single"/>
            <w:lang w:val="es-MX"/>
          </w:rPr>
          <w:t>Derechos humanos de los migrantes y otras personas en el contexto de la movilidad humana en México</w:t>
        </w:r>
      </w:hyperlink>
      <w:r w:rsidRPr="000D1DE6">
        <w:rPr>
          <w:rFonts w:asciiTheme="minorHAnsi" w:eastAsia="Cambria" w:hAnsiTheme="minorHAnsi" w:cs="Cambria"/>
          <w:color w:val="000000"/>
          <w:sz w:val="18"/>
          <w:szCs w:val="18"/>
          <w:lang w:val="es-MX"/>
        </w:rPr>
        <w:t>, OEA/Ser.L/V/II., Doc. 48/13, 30 de diciembre 2013, párr. 409.1; 409.7; 409.12.</w:t>
      </w:r>
    </w:p>
  </w:footnote>
  <w:footnote w:id="438">
    <w:p w14:paraId="135DB2BB" w14:textId="77777777" w:rsidR="000235D8" w:rsidRPr="000D1DE6" w:rsidRDefault="000235D8" w:rsidP="00F46807">
      <w:pPr>
        <w:pBdr>
          <w:top w:val="nil"/>
          <w:left w:val="nil"/>
          <w:bottom w:val="nil"/>
          <w:right w:val="nil"/>
          <w:between w:val="nil"/>
        </w:pBdr>
        <w:spacing w:after="120" w:line="240" w:lineRule="auto"/>
        <w:ind w:firstLine="720"/>
        <w:jc w:val="both"/>
        <w:rPr>
          <w:rFonts w:asciiTheme="minorHAnsi" w:eastAsia="Cambria" w:hAnsiTheme="minorHAnsi" w:cs="Cambria"/>
          <w:color w:val="000000"/>
          <w:sz w:val="18"/>
          <w:szCs w:val="18"/>
          <w:lang w:val="es-MX"/>
        </w:rPr>
      </w:pPr>
      <w:r w:rsidRPr="000D1DE6">
        <w:rPr>
          <w:rStyle w:val="FootnoteReference"/>
          <w:rFonts w:asciiTheme="minorHAnsi" w:hAnsiTheme="minorHAnsi"/>
          <w:sz w:val="18"/>
          <w:szCs w:val="18"/>
          <w:lang w:val="es-MX"/>
        </w:rPr>
        <w:footnoteRef/>
      </w:r>
      <w:r w:rsidRPr="000D1DE6">
        <w:rPr>
          <w:rFonts w:asciiTheme="minorHAnsi" w:eastAsia="Cambria" w:hAnsiTheme="minorHAnsi" w:cs="Cambria"/>
          <w:color w:val="000000"/>
          <w:sz w:val="18"/>
          <w:szCs w:val="18"/>
          <w:lang w:val="es-MX"/>
        </w:rPr>
        <w:t xml:space="preserve"> ONU-DH, </w:t>
      </w:r>
      <w:hyperlink r:id="rId361">
        <w:r w:rsidRPr="000D1DE6">
          <w:rPr>
            <w:rFonts w:asciiTheme="minorHAnsi" w:eastAsia="Cambria" w:hAnsiTheme="minorHAnsi" w:cs="Cambria"/>
            <w:color w:val="0563C1"/>
            <w:sz w:val="18"/>
            <w:szCs w:val="18"/>
            <w:u w:val="single"/>
            <w:lang w:val="es-MX"/>
          </w:rPr>
          <w:t>CNDH y ONU-DH llaman a garantizar la labor de quienes documentan la situación en Chiapas</w:t>
        </w:r>
      </w:hyperlink>
      <w:r w:rsidRPr="000D1DE6">
        <w:rPr>
          <w:rFonts w:asciiTheme="minorHAnsi" w:eastAsia="Cambria" w:hAnsiTheme="minorHAnsi" w:cs="Cambria"/>
          <w:color w:val="000000"/>
          <w:sz w:val="18"/>
          <w:szCs w:val="18"/>
          <w:lang w:val="es-MX"/>
        </w:rPr>
        <w:t>, 8 de septiembre de 2021.</w:t>
      </w:r>
    </w:p>
  </w:footnote>
  <w:footnote w:id="439">
    <w:p w14:paraId="0C9E5F11" w14:textId="77777777" w:rsidR="000235D8" w:rsidRPr="000D1DE6" w:rsidRDefault="000235D8" w:rsidP="00F46807">
      <w:pPr>
        <w:pBdr>
          <w:top w:val="nil"/>
          <w:left w:val="nil"/>
          <w:bottom w:val="nil"/>
          <w:right w:val="nil"/>
          <w:between w:val="nil"/>
        </w:pBdr>
        <w:spacing w:after="120" w:line="240" w:lineRule="auto"/>
        <w:ind w:firstLine="720"/>
        <w:jc w:val="both"/>
        <w:rPr>
          <w:rFonts w:asciiTheme="minorHAnsi" w:eastAsia="Cambria" w:hAnsiTheme="minorHAnsi" w:cs="Cambria"/>
          <w:color w:val="000000"/>
          <w:sz w:val="18"/>
          <w:szCs w:val="18"/>
          <w:lang w:val="es-MX"/>
        </w:rPr>
      </w:pPr>
      <w:r w:rsidRPr="000D1DE6">
        <w:rPr>
          <w:rStyle w:val="FootnoteReference"/>
          <w:rFonts w:asciiTheme="minorHAnsi" w:hAnsiTheme="minorHAnsi"/>
          <w:sz w:val="18"/>
          <w:szCs w:val="18"/>
          <w:lang w:val="es-MX"/>
        </w:rPr>
        <w:footnoteRef/>
      </w:r>
      <w:r w:rsidRPr="000D1DE6">
        <w:rPr>
          <w:rFonts w:asciiTheme="minorHAnsi" w:eastAsia="Cambria" w:hAnsiTheme="minorHAnsi" w:cs="Cambria"/>
          <w:color w:val="000000"/>
          <w:sz w:val="18"/>
          <w:szCs w:val="18"/>
          <w:lang w:val="es-MX"/>
        </w:rPr>
        <w:t xml:space="preserve"> CIDH, </w:t>
      </w:r>
      <w:hyperlink r:id="rId362">
        <w:r w:rsidRPr="000D1DE6">
          <w:rPr>
            <w:rFonts w:asciiTheme="minorHAnsi" w:eastAsia="Cambria" w:hAnsiTheme="minorHAnsi" w:cs="Cambria"/>
            <w:color w:val="0563C1"/>
            <w:sz w:val="18"/>
            <w:szCs w:val="18"/>
            <w:u w:val="single"/>
            <w:lang w:val="es-MX"/>
          </w:rPr>
          <w:t>Derechos humanos de los migrantes y otras personas en el contexto de la movilidad humana en México</w:t>
        </w:r>
      </w:hyperlink>
      <w:r w:rsidRPr="000D1DE6">
        <w:rPr>
          <w:rFonts w:asciiTheme="minorHAnsi" w:eastAsia="Cambria" w:hAnsiTheme="minorHAnsi" w:cs="Cambria"/>
          <w:color w:val="000000"/>
          <w:sz w:val="18"/>
          <w:szCs w:val="18"/>
          <w:lang w:val="es-MX"/>
        </w:rPr>
        <w:t>, OEA/Ser.L/V/II., Doc. 48/13, 30 de diciembre 2013, párr.</w:t>
      </w:r>
    </w:p>
  </w:footnote>
  <w:footnote w:id="440">
    <w:p w14:paraId="32B1CC52" w14:textId="5943E0F9" w:rsidR="000235D8" w:rsidRPr="000D1DE6" w:rsidRDefault="000235D8" w:rsidP="00F46807">
      <w:pPr>
        <w:pBdr>
          <w:top w:val="nil"/>
          <w:left w:val="nil"/>
          <w:bottom w:val="nil"/>
          <w:right w:val="nil"/>
          <w:between w:val="nil"/>
        </w:pBdr>
        <w:spacing w:after="120" w:line="240" w:lineRule="auto"/>
        <w:ind w:firstLine="720"/>
        <w:jc w:val="both"/>
        <w:rPr>
          <w:rFonts w:asciiTheme="minorHAnsi" w:eastAsia="Cambria" w:hAnsiTheme="minorHAnsi" w:cs="Cambria"/>
          <w:color w:val="000000"/>
          <w:sz w:val="18"/>
          <w:szCs w:val="18"/>
          <w:lang w:val="es-MX"/>
        </w:rPr>
      </w:pPr>
      <w:r w:rsidRPr="000D1DE6">
        <w:rPr>
          <w:rStyle w:val="FootnoteReference"/>
          <w:rFonts w:asciiTheme="minorHAnsi" w:hAnsiTheme="minorHAnsi"/>
          <w:sz w:val="18"/>
          <w:szCs w:val="18"/>
          <w:lang w:val="es-MX"/>
        </w:rPr>
        <w:footnoteRef/>
      </w:r>
      <w:r w:rsidRPr="000D1DE6">
        <w:rPr>
          <w:rFonts w:asciiTheme="minorHAnsi" w:eastAsia="Cambria" w:hAnsiTheme="minorHAnsi" w:cs="Cambria"/>
          <w:color w:val="000000"/>
          <w:sz w:val="18"/>
          <w:szCs w:val="18"/>
          <w:lang w:val="es-MX"/>
        </w:rPr>
        <w:t xml:space="preserve"> OIM. </w:t>
      </w:r>
      <w:hyperlink r:id="rId363">
        <w:r w:rsidRPr="000D1DE6">
          <w:rPr>
            <w:rFonts w:asciiTheme="minorHAnsi" w:eastAsia="Cambria" w:hAnsiTheme="minorHAnsi" w:cs="Cambria"/>
            <w:color w:val="0563C1"/>
            <w:sz w:val="18"/>
            <w:szCs w:val="18"/>
            <w:u w:val="single"/>
            <w:lang w:val="es-MX"/>
          </w:rPr>
          <w:t>Prácticas de Reclutamiento de Personas Trabajadoras Migrantes en Belice, El Salvador, Guatemala, Honduras y México</w:t>
        </w:r>
      </w:hyperlink>
      <w:r w:rsidRPr="000D1DE6">
        <w:rPr>
          <w:rFonts w:asciiTheme="minorHAnsi" w:eastAsia="Cambria" w:hAnsiTheme="minorHAnsi" w:cs="Cambria"/>
          <w:color w:val="000000"/>
          <w:sz w:val="18"/>
          <w:szCs w:val="18"/>
          <w:lang w:val="es-MX"/>
        </w:rPr>
        <w:t>, 2021, págs.. 31, 33, 62.</w:t>
      </w:r>
    </w:p>
  </w:footnote>
  <w:footnote w:id="441">
    <w:p w14:paraId="69F821A8" w14:textId="42077559" w:rsidR="000235D8" w:rsidRPr="000D1DE6" w:rsidRDefault="000235D8" w:rsidP="00F46807">
      <w:pPr>
        <w:pBdr>
          <w:top w:val="nil"/>
          <w:left w:val="nil"/>
          <w:bottom w:val="nil"/>
          <w:right w:val="nil"/>
          <w:between w:val="nil"/>
        </w:pBdr>
        <w:spacing w:after="120" w:line="240" w:lineRule="auto"/>
        <w:ind w:firstLine="720"/>
        <w:jc w:val="both"/>
        <w:rPr>
          <w:rFonts w:asciiTheme="minorHAnsi" w:eastAsia="Cambria" w:hAnsiTheme="minorHAnsi" w:cs="Cambria"/>
          <w:color w:val="000000"/>
          <w:sz w:val="18"/>
          <w:szCs w:val="18"/>
          <w:lang w:val="es-MX"/>
        </w:rPr>
      </w:pPr>
      <w:r w:rsidRPr="000D1DE6">
        <w:rPr>
          <w:rStyle w:val="FootnoteReference"/>
          <w:rFonts w:asciiTheme="minorHAnsi" w:hAnsiTheme="minorHAnsi"/>
          <w:sz w:val="18"/>
          <w:szCs w:val="18"/>
          <w:lang w:val="es-MX"/>
        </w:rPr>
        <w:footnoteRef/>
      </w:r>
      <w:r w:rsidRPr="000D1DE6">
        <w:rPr>
          <w:rFonts w:asciiTheme="minorHAnsi" w:eastAsia="Cambria" w:hAnsiTheme="minorHAnsi" w:cs="Cambria"/>
          <w:color w:val="000000"/>
          <w:sz w:val="18"/>
          <w:szCs w:val="18"/>
          <w:lang w:val="es-MX"/>
        </w:rPr>
        <w:t xml:space="preserve"> OIM. </w:t>
      </w:r>
      <w:hyperlink r:id="rId364">
        <w:r w:rsidRPr="000D1DE6">
          <w:rPr>
            <w:rFonts w:asciiTheme="minorHAnsi" w:eastAsia="Cambria" w:hAnsiTheme="minorHAnsi" w:cs="Cambria"/>
            <w:color w:val="0563C1"/>
            <w:sz w:val="18"/>
            <w:szCs w:val="18"/>
            <w:u w:val="single"/>
            <w:lang w:val="es-MX"/>
          </w:rPr>
          <w:t>Prácticas de Reclutamiento de Personas Trabajadoras Migrantes en Belice, El Salvador, Guatemala, Honduras y México</w:t>
        </w:r>
      </w:hyperlink>
      <w:r w:rsidRPr="000D1DE6">
        <w:rPr>
          <w:rFonts w:asciiTheme="minorHAnsi" w:eastAsia="Cambria" w:hAnsiTheme="minorHAnsi" w:cs="Cambria"/>
          <w:color w:val="000000"/>
          <w:sz w:val="18"/>
          <w:szCs w:val="18"/>
          <w:lang w:val="es-MX"/>
        </w:rPr>
        <w:t xml:space="preserve">, 2021, pág. 46, 71. OIT. </w:t>
      </w:r>
      <w:hyperlink r:id="rId365">
        <w:r w:rsidRPr="000D1DE6">
          <w:rPr>
            <w:rFonts w:asciiTheme="minorHAnsi" w:eastAsia="Cambria" w:hAnsiTheme="minorHAnsi" w:cs="Cambria"/>
            <w:color w:val="0563C1"/>
            <w:sz w:val="18"/>
            <w:szCs w:val="18"/>
            <w:u w:val="single"/>
            <w:lang w:val="es-MX"/>
          </w:rPr>
          <w:t>Mujeres migrantes centroamericanas en México: Informalidad en la contratación y el empleo</w:t>
        </w:r>
      </w:hyperlink>
      <w:r w:rsidRPr="000D1DE6">
        <w:rPr>
          <w:rFonts w:asciiTheme="minorHAnsi" w:eastAsia="Cambria" w:hAnsiTheme="minorHAnsi" w:cs="Cambria"/>
          <w:color w:val="000000"/>
          <w:sz w:val="18"/>
          <w:szCs w:val="18"/>
          <w:lang w:val="es-MX"/>
        </w:rPr>
        <w:t>, enero 2021.</w:t>
      </w:r>
    </w:p>
  </w:footnote>
  <w:footnote w:id="442">
    <w:p w14:paraId="6F3008E3" w14:textId="636EDF50" w:rsidR="000235D8" w:rsidRPr="000D1DE6" w:rsidRDefault="000235D8" w:rsidP="00F46807">
      <w:pPr>
        <w:pBdr>
          <w:top w:val="nil"/>
          <w:left w:val="nil"/>
          <w:bottom w:val="nil"/>
          <w:right w:val="nil"/>
          <w:between w:val="nil"/>
        </w:pBdr>
        <w:spacing w:after="120" w:line="240" w:lineRule="auto"/>
        <w:ind w:firstLine="720"/>
        <w:jc w:val="both"/>
        <w:rPr>
          <w:rFonts w:asciiTheme="minorHAnsi" w:eastAsia="Cambria" w:hAnsiTheme="minorHAnsi" w:cs="Cambria"/>
          <w:color w:val="000000"/>
          <w:sz w:val="18"/>
          <w:szCs w:val="18"/>
          <w:lang w:val="es-MX"/>
        </w:rPr>
      </w:pPr>
      <w:r w:rsidRPr="000D1DE6">
        <w:rPr>
          <w:rStyle w:val="FootnoteReference"/>
          <w:rFonts w:asciiTheme="minorHAnsi" w:hAnsiTheme="minorHAnsi"/>
          <w:sz w:val="18"/>
          <w:szCs w:val="18"/>
          <w:lang w:val="es-MX"/>
        </w:rPr>
        <w:footnoteRef/>
      </w:r>
      <w:r w:rsidRPr="000D1DE6">
        <w:rPr>
          <w:rFonts w:asciiTheme="minorHAnsi" w:eastAsia="Cambria" w:hAnsiTheme="minorHAnsi" w:cs="Cambria"/>
          <w:color w:val="000000"/>
          <w:sz w:val="18"/>
          <w:szCs w:val="18"/>
          <w:lang w:val="es-MX"/>
        </w:rPr>
        <w:t xml:space="preserve"> Noveno Informe del Estado mexicano sobre el cumplimiento y seguimiento de las recomendaciones contenidas en el informe “Situación de los Derechos Humanos en México”, pág. 84.</w:t>
      </w:r>
    </w:p>
  </w:footnote>
  <w:footnote w:id="443">
    <w:p w14:paraId="6C58009A" w14:textId="7643313E" w:rsidR="00897787" w:rsidRPr="000D1DE6" w:rsidRDefault="00897787" w:rsidP="00F46807">
      <w:pPr>
        <w:pStyle w:val="FootnoteText"/>
        <w:spacing w:after="120"/>
        <w:ind w:firstLine="720"/>
      </w:pPr>
      <w:r w:rsidRPr="000D1DE6">
        <w:rPr>
          <w:rStyle w:val="FootnoteReference"/>
        </w:rPr>
        <w:footnoteRef/>
      </w:r>
      <w:r w:rsidRPr="000D1DE6">
        <w:t xml:space="preserve"> </w:t>
      </w:r>
      <w:r w:rsidRPr="000D1DE6">
        <w:rPr>
          <w:rFonts w:asciiTheme="minorHAnsi" w:eastAsia="Cambria" w:hAnsiTheme="minorHAnsi" w:cs="Cambria"/>
          <w:color w:val="000000"/>
          <w:lang w:val="es-MX"/>
        </w:rPr>
        <w:t>Observaciones y comentarios del Estado de 24 de enero de 2022, pág</w:t>
      </w:r>
      <w:r w:rsidRPr="000D1DE6">
        <w:t xml:space="preserve"> 27.</w:t>
      </w:r>
    </w:p>
  </w:footnote>
  <w:footnote w:id="444">
    <w:p w14:paraId="20D1EB05" w14:textId="579F345E" w:rsidR="000235D8" w:rsidRPr="000D1DE6" w:rsidRDefault="000235D8" w:rsidP="00F46807">
      <w:pPr>
        <w:pBdr>
          <w:top w:val="nil"/>
          <w:left w:val="nil"/>
          <w:bottom w:val="nil"/>
          <w:right w:val="nil"/>
          <w:between w:val="nil"/>
        </w:pBdr>
        <w:spacing w:after="120" w:line="240" w:lineRule="auto"/>
        <w:ind w:firstLine="720"/>
        <w:jc w:val="both"/>
        <w:rPr>
          <w:rFonts w:asciiTheme="minorHAnsi" w:eastAsia="Cambria" w:hAnsiTheme="minorHAnsi" w:cs="Cambria"/>
          <w:color w:val="000000"/>
          <w:sz w:val="18"/>
          <w:szCs w:val="18"/>
          <w:lang w:val="es-MX"/>
        </w:rPr>
      </w:pPr>
      <w:r w:rsidRPr="000D1DE6">
        <w:rPr>
          <w:rStyle w:val="FootnoteReference"/>
          <w:rFonts w:asciiTheme="minorHAnsi" w:hAnsiTheme="minorHAnsi"/>
          <w:sz w:val="18"/>
          <w:szCs w:val="18"/>
          <w:lang w:val="es-MX"/>
        </w:rPr>
        <w:footnoteRef/>
      </w:r>
      <w:r w:rsidRPr="000D1DE6">
        <w:rPr>
          <w:rFonts w:asciiTheme="minorHAnsi" w:eastAsia="Cambria" w:hAnsiTheme="minorHAnsi" w:cs="Cambria"/>
          <w:color w:val="000000"/>
          <w:sz w:val="18"/>
          <w:szCs w:val="18"/>
          <w:lang w:val="en-US"/>
        </w:rPr>
        <w:t xml:space="preserve"> IDMC, </w:t>
      </w:r>
      <w:hyperlink r:id="rId366" w:anchor="page=7">
        <w:r w:rsidRPr="000D1DE6">
          <w:rPr>
            <w:rFonts w:asciiTheme="minorHAnsi" w:eastAsia="Cambria" w:hAnsiTheme="minorHAnsi" w:cs="Cambria"/>
            <w:color w:val="0563C1"/>
            <w:sz w:val="18"/>
            <w:szCs w:val="18"/>
            <w:u w:val="single"/>
            <w:lang w:val="en-US"/>
          </w:rPr>
          <w:t>Internal displacement in a changing climate</w:t>
        </w:r>
      </w:hyperlink>
      <w:r w:rsidRPr="000D1DE6">
        <w:rPr>
          <w:rFonts w:asciiTheme="minorHAnsi" w:eastAsia="Cambria" w:hAnsiTheme="minorHAnsi" w:cs="Cambria"/>
          <w:color w:val="000000"/>
          <w:sz w:val="18"/>
          <w:szCs w:val="18"/>
          <w:lang w:val="en-US"/>
        </w:rPr>
        <w:t xml:space="preserve">, págs. </w:t>
      </w:r>
      <w:r w:rsidRPr="000D1DE6">
        <w:rPr>
          <w:rFonts w:asciiTheme="minorHAnsi" w:eastAsia="Cambria" w:hAnsiTheme="minorHAnsi" w:cs="Cambria"/>
          <w:color w:val="000000"/>
          <w:sz w:val="18"/>
          <w:szCs w:val="18"/>
          <w:lang w:val="es-MX"/>
        </w:rPr>
        <w:t>62 – 63.</w:t>
      </w:r>
    </w:p>
  </w:footnote>
  <w:footnote w:id="445">
    <w:p w14:paraId="3031F0B7" w14:textId="15B8EB6F" w:rsidR="000235D8" w:rsidRPr="000D1DE6" w:rsidRDefault="000235D8" w:rsidP="00F46807">
      <w:pPr>
        <w:pBdr>
          <w:top w:val="nil"/>
          <w:left w:val="nil"/>
          <w:bottom w:val="nil"/>
          <w:right w:val="nil"/>
          <w:between w:val="nil"/>
        </w:pBdr>
        <w:spacing w:after="120" w:line="240" w:lineRule="auto"/>
        <w:ind w:firstLine="720"/>
        <w:jc w:val="both"/>
        <w:rPr>
          <w:rFonts w:asciiTheme="minorHAnsi" w:eastAsia="Cambria" w:hAnsiTheme="minorHAnsi" w:cs="Cambria"/>
          <w:color w:val="000000"/>
          <w:sz w:val="18"/>
          <w:szCs w:val="18"/>
          <w:lang w:val="es-US"/>
        </w:rPr>
      </w:pPr>
      <w:r w:rsidRPr="000D1DE6">
        <w:rPr>
          <w:rStyle w:val="FootnoteReference"/>
          <w:rFonts w:asciiTheme="minorHAnsi" w:hAnsiTheme="minorHAnsi"/>
          <w:sz w:val="18"/>
          <w:szCs w:val="18"/>
          <w:lang w:val="es-MX"/>
        </w:rPr>
        <w:footnoteRef/>
      </w:r>
      <w:r w:rsidRPr="000D1DE6">
        <w:rPr>
          <w:rFonts w:asciiTheme="minorHAnsi" w:eastAsia="Cambria" w:hAnsiTheme="minorHAnsi" w:cs="Cambria"/>
          <w:color w:val="000000"/>
          <w:sz w:val="18"/>
          <w:szCs w:val="18"/>
          <w:lang w:val="es-US"/>
        </w:rPr>
        <w:t xml:space="preserve"> IDMC, </w:t>
      </w:r>
      <w:hyperlink r:id="rId367" w:history="1">
        <w:r w:rsidRPr="000D1DE6">
          <w:rPr>
            <w:rStyle w:val="Hyperlink"/>
            <w:rFonts w:asciiTheme="minorHAnsi" w:eastAsia="Cambria" w:hAnsiTheme="minorHAnsi" w:cs="Cambria"/>
            <w:sz w:val="18"/>
            <w:szCs w:val="18"/>
            <w:lang w:val="es-US"/>
          </w:rPr>
          <w:t>New displacements by conflict and disasters in 2020</w:t>
        </w:r>
      </w:hyperlink>
      <w:r w:rsidRPr="000D1DE6">
        <w:rPr>
          <w:rFonts w:asciiTheme="minorHAnsi" w:eastAsia="Cambria" w:hAnsiTheme="minorHAnsi" w:cs="Cambria"/>
          <w:color w:val="000000"/>
          <w:sz w:val="18"/>
          <w:szCs w:val="18"/>
          <w:lang w:val="es-US"/>
        </w:rPr>
        <w:t>, pág. 63.</w:t>
      </w:r>
    </w:p>
  </w:footnote>
  <w:footnote w:id="446">
    <w:p w14:paraId="06EC646A" w14:textId="77777777" w:rsidR="000235D8" w:rsidRPr="000D1DE6" w:rsidRDefault="000235D8" w:rsidP="00F46807">
      <w:pPr>
        <w:pBdr>
          <w:top w:val="nil"/>
          <w:left w:val="nil"/>
          <w:bottom w:val="nil"/>
          <w:right w:val="nil"/>
          <w:between w:val="nil"/>
        </w:pBdr>
        <w:spacing w:after="120" w:line="240" w:lineRule="auto"/>
        <w:ind w:firstLine="720"/>
        <w:jc w:val="both"/>
        <w:rPr>
          <w:rFonts w:asciiTheme="minorHAnsi" w:eastAsia="Cambria" w:hAnsiTheme="minorHAnsi" w:cs="Cambria"/>
          <w:color w:val="000000"/>
          <w:sz w:val="18"/>
          <w:szCs w:val="18"/>
          <w:lang w:val="es-MX"/>
        </w:rPr>
      </w:pPr>
      <w:r w:rsidRPr="000D1DE6">
        <w:rPr>
          <w:rStyle w:val="FootnoteReference"/>
          <w:rFonts w:asciiTheme="minorHAnsi" w:hAnsiTheme="minorHAnsi"/>
          <w:sz w:val="18"/>
          <w:szCs w:val="18"/>
          <w:lang w:val="es-MX"/>
        </w:rPr>
        <w:footnoteRef/>
      </w:r>
      <w:r w:rsidRPr="000D1DE6">
        <w:rPr>
          <w:rFonts w:asciiTheme="minorHAnsi" w:eastAsia="Cambria" w:hAnsiTheme="minorHAnsi" w:cs="Cambria"/>
          <w:color w:val="000000"/>
          <w:sz w:val="18"/>
          <w:szCs w:val="18"/>
          <w:lang w:val="es-MX"/>
        </w:rPr>
        <w:t xml:space="preserve"> CMDPDH, </w:t>
      </w:r>
      <w:hyperlink r:id="rId368">
        <w:r w:rsidRPr="000D1DE6">
          <w:rPr>
            <w:rFonts w:asciiTheme="minorHAnsi" w:eastAsia="Cambria" w:hAnsiTheme="minorHAnsi" w:cs="Cambria"/>
            <w:color w:val="0563C1"/>
            <w:sz w:val="18"/>
            <w:szCs w:val="18"/>
            <w:u w:val="single"/>
            <w:lang w:val="es-MX"/>
          </w:rPr>
          <w:t>Boletín: situación de desplazamiento interno forzado en México</w:t>
        </w:r>
      </w:hyperlink>
      <w:r w:rsidRPr="000D1DE6">
        <w:rPr>
          <w:rFonts w:asciiTheme="minorHAnsi" w:eastAsia="Cambria" w:hAnsiTheme="minorHAnsi" w:cs="Cambria"/>
          <w:color w:val="000000"/>
          <w:sz w:val="18"/>
          <w:szCs w:val="18"/>
          <w:lang w:val="es-MX"/>
        </w:rPr>
        <w:t>, septiembre 2021.</w:t>
      </w:r>
    </w:p>
  </w:footnote>
  <w:footnote w:id="447">
    <w:p w14:paraId="35D4F85F" w14:textId="750AA56C" w:rsidR="000235D8" w:rsidRPr="000D1DE6" w:rsidRDefault="000235D8" w:rsidP="00F46807">
      <w:pPr>
        <w:pBdr>
          <w:top w:val="nil"/>
          <w:left w:val="nil"/>
          <w:bottom w:val="nil"/>
          <w:right w:val="nil"/>
          <w:between w:val="nil"/>
        </w:pBdr>
        <w:spacing w:after="120" w:line="240" w:lineRule="auto"/>
        <w:ind w:firstLine="720"/>
        <w:jc w:val="both"/>
        <w:rPr>
          <w:rFonts w:asciiTheme="minorHAnsi" w:eastAsia="Cambria" w:hAnsiTheme="minorHAnsi" w:cs="Cambria"/>
          <w:color w:val="000000"/>
          <w:sz w:val="18"/>
          <w:szCs w:val="18"/>
          <w:lang w:val="es-MX"/>
        </w:rPr>
      </w:pPr>
      <w:r w:rsidRPr="000D1DE6">
        <w:rPr>
          <w:rStyle w:val="FootnoteReference"/>
          <w:rFonts w:asciiTheme="minorHAnsi" w:hAnsiTheme="minorHAnsi"/>
          <w:sz w:val="18"/>
          <w:szCs w:val="18"/>
          <w:lang w:val="es-MX"/>
        </w:rPr>
        <w:footnoteRef/>
      </w:r>
      <w:r w:rsidRPr="000D1DE6">
        <w:rPr>
          <w:rFonts w:asciiTheme="minorHAnsi" w:eastAsia="Cambria" w:hAnsiTheme="minorHAnsi" w:cs="Cambria"/>
          <w:color w:val="000000"/>
          <w:sz w:val="18"/>
          <w:szCs w:val="18"/>
          <w:lang w:val="es-MX"/>
        </w:rPr>
        <w:t xml:space="preserve"> </w:t>
      </w:r>
      <w:r w:rsidR="00897787" w:rsidRPr="000D1DE6">
        <w:rPr>
          <w:rFonts w:asciiTheme="minorHAnsi" w:eastAsia="Cambria" w:hAnsiTheme="minorHAnsi" w:cs="Cambria"/>
          <w:color w:val="000000"/>
          <w:sz w:val="18"/>
          <w:szCs w:val="18"/>
          <w:lang w:val="es-MX"/>
        </w:rPr>
        <w:t>Observaciones y comentarios del Estado de 24 de enero de 2022, pág</w:t>
      </w:r>
      <w:r w:rsidR="00897787" w:rsidRPr="000D1DE6">
        <w:rPr>
          <w:sz w:val="18"/>
          <w:szCs w:val="18"/>
        </w:rPr>
        <w:t xml:space="preserve"> </w:t>
      </w:r>
      <w:r w:rsidR="00897787" w:rsidRPr="000D1DE6">
        <w:t>27.</w:t>
      </w:r>
      <w:r w:rsidRPr="000D1DE6">
        <w:rPr>
          <w:rFonts w:asciiTheme="minorHAnsi" w:eastAsia="Cambria" w:hAnsiTheme="minorHAnsi" w:cs="Cambria"/>
          <w:color w:val="000000"/>
          <w:sz w:val="18"/>
          <w:szCs w:val="18"/>
          <w:lang w:val="es-MX"/>
        </w:rPr>
        <w:t>Noveno Informe del Estado mexicano sobre el cumplimiento y seguimiento de las recomendaciones contenidas en el informe “Situación de los Derechos Humanos en México”, pág. 85.</w:t>
      </w:r>
    </w:p>
  </w:footnote>
  <w:footnote w:id="448">
    <w:p w14:paraId="46492163" w14:textId="77777777" w:rsidR="000235D8" w:rsidRPr="000D1DE6" w:rsidRDefault="000235D8" w:rsidP="00F46807">
      <w:pPr>
        <w:pBdr>
          <w:top w:val="nil"/>
          <w:left w:val="nil"/>
          <w:bottom w:val="nil"/>
          <w:right w:val="nil"/>
          <w:between w:val="nil"/>
        </w:pBdr>
        <w:spacing w:after="120" w:line="240" w:lineRule="auto"/>
        <w:ind w:firstLine="720"/>
        <w:jc w:val="both"/>
        <w:rPr>
          <w:rFonts w:asciiTheme="minorHAnsi" w:eastAsia="Cambria" w:hAnsiTheme="minorHAnsi" w:cs="Cambria"/>
          <w:color w:val="000000"/>
          <w:sz w:val="18"/>
          <w:szCs w:val="18"/>
          <w:lang w:val="es-MX"/>
        </w:rPr>
      </w:pPr>
      <w:r w:rsidRPr="000D1DE6">
        <w:rPr>
          <w:rStyle w:val="FootnoteReference"/>
          <w:rFonts w:asciiTheme="minorHAnsi" w:hAnsiTheme="minorHAnsi"/>
          <w:sz w:val="18"/>
          <w:szCs w:val="18"/>
          <w:lang w:val="es-MX"/>
        </w:rPr>
        <w:footnoteRef/>
      </w:r>
      <w:r w:rsidRPr="000D1DE6">
        <w:rPr>
          <w:rFonts w:asciiTheme="minorHAnsi" w:eastAsia="Cambria" w:hAnsiTheme="minorHAnsi" w:cs="Cambria"/>
          <w:color w:val="000000"/>
          <w:sz w:val="18"/>
          <w:szCs w:val="18"/>
          <w:lang w:val="es-MX"/>
        </w:rPr>
        <w:t xml:space="preserve"> CIDH, Comunicado de prensa 100/19 - </w:t>
      </w:r>
      <w:hyperlink r:id="rId369">
        <w:r w:rsidRPr="000D1DE6">
          <w:rPr>
            <w:rFonts w:asciiTheme="minorHAnsi" w:eastAsia="Cambria" w:hAnsiTheme="minorHAnsi" w:cs="Cambria"/>
            <w:color w:val="0563C1"/>
            <w:sz w:val="18"/>
            <w:szCs w:val="18"/>
            <w:u w:val="single"/>
            <w:lang w:val="es-MX"/>
          </w:rPr>
          <w:t>CIDH y Relatora Especial de la ONU sobre los derechos humanos de los desplazados internos saludan sentencia para la protección de las personas desplazadas internas en México</w:t>
        </w:r>
      </w:hyperlink>
      <w:r w:rsidRPr="000D1DE6">
        <w:rPr>
          <w:rFonts w:asciiTheme="minorHAnsi" w:eastAsia="Cambria" w:hAnsiTheme="minorHAnsi" w:cs="Cambria"/>
          <w:color w:val="000000"/>
          <w:sz w:val="18"/>
          <w:szCs w:val="18"/>
          <w:lang w:val="es-MX"/>
        </w:rPr>
        <w:t>, Washington, D.C., 17 de abril de 2019.</w:t>
      </w:r>
    </w:p>
  </w:footnote>
  <w:footnote w:id="449">
    <w:p w14:paraId="7FF5B122" w14:textId="1A78D17F" w:rsidR="000235D8" w:rsidRPr="000D1DE6" w:rsidRDefault="000235D8" w:rsidP="00F46807">
      <w:pPr>
        <w:spacing w:after="120" w:line="240" w:lineRule="auto"/>
        <w:ind w:firstLine="720"/>
        <w:jc w:val="both"/>
        <w:rPr>
          <w:rFonts w:asciiTheme="minorHAnsi" w:eastAsia="Times New Roman" w:hAnsiTheme="minorHAnsi" w:cs="Times New Roman"/>
          <w:sz w:val="18"/>
          <w:szCs w:val="18"/>
          <w:lang w:val="es-MX" w:eastAsia="es-MX"/>
        </w:rPr>
      </w:pPr>
      <w:r w:rsidRPr="000D1DE6">
        <w:rPr>
          <w:rStyle w:val="FootnoteReference"/>
          <w:rFonts w:asciiTheme="minorHAnsi" w:hAnsiTheme="minorHAnsi"/>
          <w:sz w:val="18"/>
          <w:szCs w:val="18"/>
          <w:lang w:val="es-MX"/>
        </w:rPr>
        <w:footnoteRef/>
      </w:r>
      <w:r w:rsidRPr="000D1DE6">
        <w:rPr>
          <w:rFonts w:asciiTheme="minorHAnsi" w:hAnsiTheme="minorHAnsi"/>
          <w:sz w:val="18"/>
          <w:szCs w:val="18"/>
          <w:lang w:val="es-MX"/>
        </w:rPr>
        <w:t xml:space="preserve"> </w:t>
      </w:r>
      <w:r w:rsidRPr="000D1DE6">
        <w:rPr>
          <w:rFonts w:asciiTheme="minorHAnsi" w:eastAsia="Cambria" w:hAnsiTheme="minorHAnsi" w:cs="Cambria"/>
          <w:color w:val="000000"/>
          <w:sz w:val="18"/>
          <w:szCs w:val="18"/>
          <w:lang w:val="es-MX"/>
        </w:rPr>
        <w:t xml:space="preserve">Noveno Informe del Estado mexicano sobre el cumplimiento y seguimiento de las recomendaciones contenidas en el informe “Situación de los Derechos Humanos en México”, </w:t>
      </w:r>
      <w:r w:rsidRPr="000D1DE6">
        <w:rPr>
          <w:rFonts w:asciiTheme="minorHAnsi" w:eastAsia="Times New Roman" w:hAnsiTheme="minorHAnsi" w:cs="Times New Roman"/>
          <w:color w:val="000000"/>
          <w:sz w:val="18"/>
          <w:szCs w:val="18"/>
          <w:bdr w:val="none" w:sz="0" w:space="0" w:color="auto" w:frame="1"/>
          <w:lang w:val="es-MX" w:eastAsia="es-MX"/>
        </w:rPr>
        <w:t xml:space="preserve">pág. 86. </w:t>
      </w:r>
    </w:p>
  </w:footnote>
  <w:footnote w:id="450">
    <w:p w14:paraId="357555EB" w14:textId="56FEFE9C" w:rsidR="00897787" w:rsidRPr="000D1DE6" w:rsidRDefault="00897787" w:rsidP="00F46807">
      <w:pPr>
        <w:pStyle w:val="FootnoteText"/>
        <w:spacing w:after="120"/>
        <w:ind w:firstLine="720"/>
      </w:pPr>
      <w:r w:rsidRPr="000D1DE6">
        <w:rPr>
          <w:rStyle w:val="FootnoteReference"/>
        </w:rPr>
        <w:footnoteRef/>
      </w:r>
      <w:r w:rsidRPr="000D1DE6">
        <w:t xml:space="preserve"> </w:t>
      </w:r>
      <w:r w:rsidRPr="000D1DE6">
        <w:rPr>
          <w:rFonts w:asciiTheme="minorHAnsi" w:eastAsia="Cambria" w:hAnsiTheme="minorHAnsi" w:cs="Cambria"/>
          <w:color w:val="000000"/>
          <w:lang w:val="es-MX"/>
        </w:rPr>
        <w:t>Observaciones y comentarios del Estado de 24 de enero de 2022, pág</w:t>
      </w:r>
      <w:r w:rsidRPr="000D1DE6">
        <w:t xml:space="preserve"> 28.</w:t>
      </w:r>
    </w:p>
  </w:footnote>
  <w:footnote w:id="451">
    <w:p w14:paraId="0F9963C2" w14:textId="33BB15BB" w:rsidR="000235D8" w:rsidRPr="000D1DE6" w:rsidRDefault="000235D8" w:rsidP="00F46807">
      <w:pPr>
        <w:pStyle w:val="FootnoteText"/>
        <w:spacing w:after="120"/>
        <w:ind w:firstLine="720"/>
        <w:rPr>
          <w:rFonts w:asciiTheme="minorHAnsi" w:hAnsiTheme="minorHAnsi"/>
          <w:lang w:val="es-MX"/>
        </w:rPr>
      </w:pPr>
      <w:r w:rsidRPr="000D1DE6">
        <w:rPr>
          <w:rStyle w:val="FootnoteReference"/>
          <w:rFonts w:asciiTheme="minorHAnsi" w:hAnsiTheme="minorHAnsi"/>
          <w:lang w:val="es-MX"/>
        </w:rPr>
        <w:footnoteRef/>
      </w:r>
      <w:r w:rsidRPr="000D1DE6">
        <w:rPr>
          <w:rFonts w:asciiTheme="minorHAnsi" w:hAnsiTheme="minorHAnsi"/>
          <w:lang w:val="es-MX"/>
        </w:rPr>
        <w:t xml:space="preserve"> Secretaría de Gobernación, </w:t>
      </w:r>
      <w:hyperlink r:id="rId370" w:history="1">
        <w:r w:rsidRPr="000D1DE6">
          <w:rPr>
            <w:rStyle w:val="Hyperlink"/>
            <w:rFonts w:asciiTheme="minorHAnsi" w:hAnsiTheme="minorHAnsi"/>
            <w:lang w:val="es-MX"/>
          </w:rPr>
          <w:t>Agravios contra personas defensoras de derechos humanos y periodistas</w:t>
        </w:r>
      </w:hyperlink>
      <w:r w:rsidRPr="000D1DE6">
        <w:rPr>
          <w:rFonts w:asciiTheme="minorHAnsi" w:hAnsiTheme="minorHAnsi"/>
          <w:lang w:val="es-MX"/>
        </w:rPr>
        <w:t xml:space="preserve">, 5 de octubre de 2021. Nota: en su </w:t>
      </w:r>
      <w:r w:rsidRPr="000D1DE6">
        <w:rPr>
          <w:rFonts w:asciiTheme="minorHAnsi" w:eastAsia="Cambria" w:hAnsiTheme="minorHAnsi" w:cs="Cambria"/>
          <w:color w:val="000000"/>
          <w:lang w:val="es-MX"/>
        </w:rPr>
        <w:t>Noveno Informe del Estado mexicano sobre el cumplimiento y seguimiento de las recomendaciones contenidas en el informe “Situación de los Derechos Humanos en México”</w:t>
      </w:r>
      <w:r w:rsidRPr="000D1DE6">
        <w:rPr>
          <w:rFonts w:asciiTheme="minorHAnsi" w:eastAsia="Times New Roman" w:hAnsiTheme="minorHAnsi" w:cs="Times New Roman"/>
          <w:color w:val="000000"/>
          <w:bdr w:val="none" w:sz="0" w:space="0" w:color="auto" w:frame="1"/>
          <w:lang w:val="es-MX" w:eastAsia="es-MX"/>
        </w:rPr>
        <w:t xml:space="preserve"> el Estado reportó (</w:t>
      </w:r>
      <w:r w:rsidRPr="000D1DE6">
        <w:rPr>
          <w:rFonts w:asciiTheme="minorHAnsi" w:eastAsia="Cambria" w:hAnsiTheme="minorHAnsi" w:cs="Cambria"/>
          <w:color w:val="000000"/>
          <w:lang w:val="es-MX"/>
        </w:rPr>
        <w:t xml:space="preserve">pág. 54-55) </w:t>
      </w:r>
      <w:r w:rsidRPr="000D1DE6">
        <w:rPr>
          <w:rFonts w:asciiTheme="minorHAnsi" w:eastAsia="Times New Roman" w:hAnsiTheme="minorHAnsi" w:cs="Times New Roman"/>
          <w:color w:val="000000"/>
          <w:bdr w:val="none" w:sz="0" w:space="0" w:color="auto" w:frame="1"/>
          <w:lang w:val="es-MX" w:eastAsia="es-MX"/>
        </w:rPr>
        <w:t xml:space="preserve">que brindaba protección a 1.848 personas beneficiarias, sin embargo, se consigna en esta sección la última cifra oficial publicada. </w:t>
      </w:r>
    </w:p>
  </w:footnote>
  <w:footnote w:id="452">
    <w:p w14:paraId="0A94CD71" w14:textId="77777777" w:rsidR="000235D8" w:rsidRPr="000D1DE6" w:rsidRDefault="000235D8" w:rsidP="00F46807">
      <w:pPr>
        <w:pStyle w:val="FootnoteText"/>
        <w:spacing w:after="120"/>
        <w:ind w:firstLine="720"/>
        <w:rPr>
          <w:rFonts w:asciiTheme="minorHAnsi" w:hAnsiTheme="minorHAnsi"/>
          <w:lang w:val="es-MX"/>
        </w:rPr>
      </w:pPr>
      <w:r w:rsidRPr="000D1DE6">
        <w:rPr>
          <w:rStyle w:val="FootnoteReference"/>
          <w:rFonts w:asciiTheme="minorHAnsi" w:hAnsiTheme="minorHAnsi"/>
          <w:lang w:val="es-MX"/>
        </w:rPr>
        <w:footnoteRef/>
      </w:r>
      <w:r w:rsidRPr="000D1DE6">
        <w:rPr>
          <w:rFonts w:asciiTheme="minorHAnsi" w:hAnsiTheme="minorHAnsi"/>
          <w:lang w:val="es-MX"/>
        </w:rPr>
        <w:t xml:space="preserve"> ONU-DH, </w:t>
      </w:r>
      <w:hyperlink r:id="rId371" w:history="1">
        <w:r w:rsidRPr="000D1DE6">
          <w:rPr>
            <w:rStyle w:val="Hyperlink"/>
            <w:rFonts w:asciiTheme="minorHAnsi" w:hAnsiTheme="minorHAnsi"/>
            <w:lang w:val="es-MX"/>
          </w:rPr>
          <w:t>La ONU-DH condena los asesinatos de los defensores de derechos humanos Rodrigo Morales Vázquez y Alejandro García Zagal</w:t>
        </w:r>
      </w:hyperlink>
      <w:r w:rsidRPr="000D1DE6">
        <w:rPr>
          <w:rFonts w:asciiTheme="minorHAnsi" w:hAnsiTheme="minorHAnsi"/>
          <w:lang w:val="es-MX"/>
        </w:rPr>
        <w:t>, 13 de septiembre de 2021.</w:t>
      </w:r>
    </w:p>
  </w:footnote>
  <w:footnote w:id="453">
    <w:p w14:paraId="099A11DD" w14:textId="65E52902" w:rsidR="000235D8" w:rsidRPr="000D1DE6" w:rsidRDefault="000235D8" w:rsidP="00F46807">
      <w:pPr>
        <w:pStyle w:val="FootnoteText"/>
        <w:spacing w:after="120"/>
        <w:ind w:firstLine="720"/>
        <w:rPr>
          <w:rFonts w:asciiTheme="minorHAnsi" w:hAnsiTheme="minorHAnsi"/>
          <w:lang w:val="es-MX"/>
        </w:rPr>
      </w:pPr>
      <w:r w:rsidRPr="000D1DE6">
        <w:rPr>
          <w:rStyle w:val="FootnoteReference"/>
          <w:rFonts w:asciiTheme="minorHAnsi" w:hAnsiTheme="minorHAnsi"/>
          <w:lang w:val="es-MX"/>
        </w:rPr>
        <w:footnoteRef/>
      </w:r>
      <w:r w:rsidRPr="000D1DE6">
        <w:rPr>
          <w:rFonts w:asciiTheme="minorHAnsi" w:hAnsiTheme="minorHAnsi"/>
          <w:lang w:val="es-MX"/>
        </w:rPr>
        <w:t xml:space="preserve"> Secretaría de Gobernación, </w:t>
      </w:r>
      <w:hyperlink r:id="rId372" w:history="1">
        <w:r w:rsidRPr="000D1DE6">
          <w:rPr>
            <w:rStyle w:val="Hyperlink"/>
            <w:rFonts w:asciiTheme="minorHAnsi" w:hAnsiTheme="minorHAnsi"/>
            <w:lang w:val="es-MX"/>
          </w:rPr>
          <w:t>Agravios contra personas defensoras de derechos humanos y periodistas</w:t>
        </w:r>
      </w:hyperlink>
      <w:r w:rsidRPr="000D1DE6">
        <w:rPr>
          <w:rFonts w:asciiTheme="minorHAnsi" w:hAnsiTheme="minorHAnsi"/>
          <w:lang w:val="es-MX"/>
        </w:rPr>
        <w:t xml:space="preserve">, 5 de octubre de 2021; Público, </w:t>
      </w:r>
      <w:hyperlink r:id="rId373" w:history="1">
        <w:r w:rsidRPr="000D1DE6">
          <w:rPr>
            <w:rStyle w:val="Hyperlink"/>
            <w:rFonts w:asciiTheme="minorHAnsi" w:hAnsiTheme="minorHAnsi"/>
            <w:lang w:val="es-MX"/>
          </w:rPr>
          <w:t>México registra al menos veintiocho asesinatos contra defensores ambientales y líderes indígenas en 2021</w:t>
        </w:r>
      </w:hyperlink>
      <w:r w:rsidRPr="000D1DE6">
        <w:rPr>
          <w:rFonts w:asciiTheme="minorHAnsi" w:hAnsiTheme="minorHAnsi"/>
          <w:lang w:val="es-MX"/>
        </w:rPr>
        <w:t xml:space="preserve">, 15 de julio de 2021; </w:t>
      </w:r>
    </w:p>
  </w:footnote>
  <w:footnote w:id="454">
    <w:p w14:paraId="76AC0C65" w14:textId="77777777" w:rsidR="000235D8" w:rsidRPr="000D1DE6" w:rsidRDefault="000235D8" w:rsidP="00F46807">
      <w:pPr>
        <w:pStyle w:val="FootnoteText"/>
        <w:spacing w:after="120"/>
        <w:ind w:firstLine="720"/>
        <w:rPr>
          <w:rFonts w:asciiTheme="minorHAnsi" w:hAnsiTheme="minorHAnsi"/>
          <w:lang w:val="es-MX"/>
        </w:rPr>
      </w:pPr>
      <w:r w:rsidRPr="000D1DE6">
        <w:rPr>
          <w:rStyle w:val="FootnoteReference"/>
          <w:rFonts w:asciiTheme="minorHAnsi" w:hAnsiTheme="minorHAnsi"/>
          <w:lang w:val="es-MX"/>
        </w:rPr>
        <w:footnoteRef/>
      </w:r>
      <w:r w:rsidRPr="000D1DE6">
        <w:rPr>
          <w:rFonts w:asciiTheme="minorHAnsi" w:hAnsiTheme="minorHAnsi"/>
          <w:lang w:val="es-MX"/>
        </w:rPr>
        <w:t xml:space="preserve"> Animal Político, </w:t>
      </w:r>
      <w:hyperlink r:id="rId374" w:history="1">
        <w:r w:rsidRPr="000D1DE6">
          <w:rPr>
            <w:rStyle w:val="Hyperlink"/>
            <w:rFonts w:asciiTheme="minorHAnsi" w:hAnsiTheme="minorHAnsi"/>
            <w:lang w:val="es-MX"/>
          </w:rPr>
          <w:t>Caso Reynosa: denuncian hostigamiento a familiares que señalaron que Fiscalía presentó a desaparecidos como culpables</w:t>
        </w:r>
      </w:hyperlink>
      <w:r w:rsidRPr="000D1DE6">
        <w:rPr>
          <w:rFonts w:asciiTheme="minorHAnsi" w:hAnsiTheme="minorHAnsi"/>
          <w:lang w:val="es-MX"/>
        </w:rPr>
        <w:t xml:space="preserve">, 30 de junio de 2021; Proceso, </w:t>
      </w:r>
      <w:hyperlink r:id="rId375" w:history="1">
        <w:r w:rsidRPr="000D1DE6">
          <w:rPr>
            <w:rStyle w:val="Hyperlink"/>
            <w:rFonts w:asciiTheme="minorHAnsi" w:hAnsiTheme="minorHAnsi"/>
            <w:lang w:val="es-MX"/>
          </w:rPr>
          <w:t>Familiares de desaparecidos denuncian intimidación de personal naval en Nuevo Laredo</w:t>
        </w:r>
      </w:hyperlink>
      <w:r w:rsidRPr="000D1DE6">
        <w:rPr>
          <w:rFonts w:asciiTheme="minorHAnsi" w:hAnsiTheme="minorHAnsi"/>
          <w:lang w:val="es-MX"/>
        </w:rPr>
        <w:t xml:space="preserve">, 4 de agosto de 2021; Revista Espejo, </w:t>
      </w:r>
      <w:hyperlink r:id="rId376" w:history="1">
        <w:r w:rsidRPr="000D1DE6">
          <w:rPr>
            <w:rStyle w:val="Hyperlink"/>
            <w:rFonts w:asciiTheme="minorHAnsi" w:hAnsiTheme="minorHAnsi"/>
            <w:lang w:val="es-MX"/>
          </w:rPr>
          <w:t>Desplazan a rastreadoras con amenazas de muerte</w:t>
        </w:r>
      </w:hyperlink>
      <w:r w:rsidRPr="000D1DE6">
        <w:rPr>
          <w:rFonts w:asciiTheme="minorHAnsi" w:hAnsiTheme="minorHAnsi"/>
          <w:lang w:val="es-MX"/>
        </w:rPr>
        <w:t>, 24 de agosto de 2021.</w:t>
      </w:r>
    </w:p>
  </w:footnote>
  <w:footnote w:id="455">
    <w:p w14:paraId="416478FA" w14:textId="77777777" w:rsidR="000235D8" w:rsidRPr="000D1DE6" w:rsidRDefault="000235D8" w:rsidP="00F46807">
      <w:pPr>
        <w:pStyle w:val="FootnoteText"/>
        <w:spacing w:after="120"/>
        <w:ind w:firstLine="720"/>
        <w:rPr>
          <w:rFonts w:asciiTheme="minorHAnsi" w:hAnsiTheme="minorHAnsi"/>
          <w:lang w:val="es-MX"/>
        </w:rPr>
      </w:pPr>
      <w:r w:rsidRPr="000D1DE6">
        <w:rPr>
          <w:rStyle w:val="FootnoteReference"/>
          <w:rFonts w:asciiTheme="minorHAnsi" w:hAnsiTheme="minorHAnsi"/>
          <w:lang w:val="es-MX"/>
        </w:rPr>
        <w:footnoteRef/>
      </w:r>
      <w:r w:rsidRPr="000D1DE6">
        <w:rPr>
          <w:rFonts w:asciiTheme="minorHAnsi" w:hAnsiTheme="minorHAnsi"/>
          <w:lang w:val="es-MX"/>
        </w:rPr>
        <w:t xml:space="preserve"> Proceso, </w:t>
      </w:r>
      <w:hyperlink r:id="rId377" w:history="1">
        <w:r w:rsidRPr="000D1DE6">
          <w:rPr>
            <w:rStyle w:val="Hyperlink"/>
            <w:rFonts w:asciiTheme="minorHAnsi" w:hAnsiTheme="minorHAnsi"/>
            <w:lang w:val="es-MX"/>
          </w:rPr>
          <w:t>Asesinan a Fidel Heras Cruz, defensor del Río Verde contra megaproyectos en Oaxaca</w:t>
        </w:r>
      </w:hyperlink>
      <w:r w:rsidRPr="000D1DE6">
        <w:rPr>
          <w:rFonts w:asciiTheme="minorHAnsi" w:hAnsiTheme="minorHAnsi"/>
          <w:lang w:val="es-MX"/>
        </w:rPr>
        <w:t xml:space="preserve">, 25 de enero de 2021. </w:t>
      </w:r>
    </w:p>
  </w:footnote>
  <w:footnote w:id="456">
    <w:p w14:paraId="4681D314" w14:textId="0B21AFD9" w:rsidR="000235D8" w:rsidRPr="000D1DE6" w:rsidRDefault="000235D8" w:rsidP="00F46807">
      <w:pPr>
        <w:pStyle w:val="FootnoteText"/>
        <w:spacing w:after="120"/>
        <w:ind w:firstLine="720"/>
        <w:rPr>
          <w:rFonts w:asciiTheme="minorHAnsi" w:hAnsiTheme="minorHAnsi"/>
          <w:lang w:val="es-MX"/>
        </w:rPr>
      </w:pPr>
      <w:r w:rsidRPr="000D1DE6">
        <w:rPr>
          <w:rStyle w:val="FootnoteReference"/>
          <w:rFonts w:asciiTheme="minorHAnsi" w:hAnsiTheme="minorHAnsi"/>
          <w:lang w:val="es-MX"/>
        </w:rPr>
        <w:footnoteRef/>
      </w:r>
      <w:r w:rsidRPr="000D1DE6">
        <w:rPr>
          <w:rFonts w:asciiTheme="minorHAnsi" w:hAnsiTheme="minorHAnsi"/>
          <w:lang w:val="es-MX"/>
        </w:rPr>
        <w:t xml:space="preserve"> CIDH [@CIDH] (5 de julio de 2021). </w:t>
      </w:r>
      <w:hyperlink r:id="rId378" w:history="1">
        <w:r w:rsidRPr="000D1DE6">
          <w:rPr>
            <w:rStyle w:val="Hyperlink"/>
            <w:rFonts w:asciiTheme="minorHAnsi" w:hAnsiTheme="minorHAnsi"/>
            <w:lang w:val="es-MX"/>
          </w:rPr>
          <w:t>CIDH condenó el asesinato de Simón Pérez</w:t>
        </w:r>
      </w:hyperlink>
      <w:r w:rsidRPr="000D1DE6">
        <w:rPr>
          <w:rFonts w:asciiTheme="minorHAnsi" w:hAnsiTheme="minorHAnsi"/>
          <w:lang w:val="es-MX"/>
        </w:rPr>
        <w:t xml:space="preserve"> </w:t>
      </w:r>
      <w:r w:rsidRPr="000D1DE6">
        <w:rPr>
          <w:rFonts w:asciiTheme="minorHAnsi" w:hAnsiTheme="minorHAnsi" w:cs="Segoe UI"/>
          <w:color w:val="0F1419"/>
          <w:shd w:val="clear" w:color="auto" w:fill="FFFFFF"/>
          <w:lang w:val="es-MX"/>
        </w:rPr>
        <w:t>[</w:t>
      </w:r>
      <w:r w:rsidRPr="000D1DE6">
        <w:rPr>
          <w:rFonts w:asciiTheme="minorHAnsi" w:hAnsiTheme="minorHAnsi"/>
          <w:lang w:val="es-MX"/>
        </w:rPr>
        <w:t>Tweet]. Twitter.</w:t>
      </w:r>
    </w:p>
  </w:footnote>
  <w:footnote w:id="457">
    <w:p w14:paraId="7D8B924F" w14:textId="77777777" w:rsidR="000235D8" w:rsidRPr="000D1DE6" w:rsidRDefault="000235D8" w:rsidP="00F46807">
      <w:pPr>
        <w:pStyle w:val="FootnoteText"/>
        <w:spacing w:after="120"/>
        <w:ind w:firstLine="720"/>
        <w:rPr>
          <w:rFonts w:asciiTheme="minorHAnsi" w:hAnsiTheme="minorHAnsi"/>
          <w:lang w:val="es-MX"/>
        </w:rPr>
      </w:pPr>
      <w:r w:rsidRPr="000D1DE6">
        <w:rPr>
          <w:rStyle w:val="FootnoteReference"/>
          <w:rFonts w:asciiTheme="minorHAnsi" w:hAnsiTheme="minorHAnsi"/>
          <w:lang w:val="es-MX"/>
        </w:rPr>
        <w:footnoteRef/>
      </w:r>
      <w:r w:rsidRPr="000D1DE6">
        <w:rPr>
          <w:rFonts w:asciiTheme="minorHAnsi" w:hAnsiTheme="minorHAnsi"/>
          <w:lang w:val="es-MX"/>
        </w:rPr>
        <w:t xml:space="preserve"> OACNUDH México, </w:t>
      </w:r>
      <w:hyperlink r:id="rId379" w:history="1">
        <w:r w:rsidRPr="000D1DE6">
          <w:rPr>
            <w:rStyle w:val="Hyperlink"/>
            <w:rFonts w:asciiTheme="minorHAnsi" w:hAnsiTheme="minorHAnsi"/>
            <w:lang w:val="es-MX"/>
          </w:rPr>
          <w:t>La ONU-DH llama a las autoridades a garantizar la labor de las mujeres defensoras de derechos humanos</w:t>
        </w:r>
      </w:hyperlink>
      <w:r w:rsidRPr="000D1DE6">
        <w:rPr>
          <w:rFonts w:asciiTheme="minorHAnsi" w:hAnsiTheme="minorHAnsi"/>
          <w:lang w:val="es-MX"/>
        </w:rPr>
        <w:t>, 29 de noviembre de 2021.</w:t>
      </w:r>
    </w:p>
  </w:footnote>
  <w:footnote w:id="458">
    <w:p w14:paraId="6E78DE0D" w14:textId="77777777" w:rsidR="000235D8" w:rsidRPr="000D1DE6" w:rsidRDefault="000235D8" w:rsidP="00F46807">
      <w:pPr>
        <w:pStyle w:val="FootnoteText"/>
        <w:spacing w:after="120"/>
        <w:ind w:firstLine="720"/>
        <w:rPr>
          <w:rFonts w:asciiTheme="minorHAnsi" w:hAnsiTheme="minorHAnsi"/>
          <w:lang w:val="es-MX"/>
        </w:rPr>
      </w:pPr>
      <w:r w:rsidRPr="000D1DE6">
        <w:rPr>
          <w:rStyle w:val="FootnoteReference"/>
          <w:rFonts w:asciiTheme="minorHAnsi" w:hAnsiTheme="minorHAnsi"/>
          <w:lang w:val="es-MX"/>
        </w:rPr>
        <w:footnoteRef/>
      </w:r>
      <w:r w:rsidRPr="000D1DE6">
        <w:rPr>
          <w:rFonts w:asciiTheme="minorHAnsi" w:hAnsiTheme="minorHAnsi"/>
          <w:lang w:val="es-MX"/>
        </w:rPr>
        <w:t xml:space="preserve"> El Sol de México, </w:t>
      </w:r>
      <w:hyperlink r:id="rId380" w:history="1">
        <w:r w:rsidRPr="000D1DE6">
          <w:rPr>
            <w:rStyle w:val="Hyperlink"/>
            <w:rFonts w:asciiTheme="minorHAnsi" w:hAnsiTheme="minorHAnsi"/>
            <w:lang w:val="es-MX"/>
          </w:rPr>
          <w:t>Crecen agresiones contra defensores y periodistas durante los últimos tres años: Segob</w:t>
        </w:r>
      </w:hyperlink>
      <w:r w:rsidRPr="000D1DE6">
        <w:rPr>
          <w:rFonts w:asciiTheme="minorHAnsi" w:hAnsiTheme="minorHAnsi"/>
          <w:lang w:val="es-MX"/>
        </w:rPr>
        <w:t xml:space="preserve">, 5 de octubre de 2021; LATINUS, </w:t>
      </w:r>
      <w:hyperlink r:id="rId381" w:history="1">
        <w:r w:rsidRPr="000D1DE6">
          <w:rPr>
            <w:rStyle w:val="Hyperlink"/>
            <w:rFonts w:asciiTheme="minorHAnsi" w:hAnsiTheme="minorHAnsi"/>
            <w:lang w:val="es-MX"/>
          </w:rPr>
          <w:t>Mecanismo de protección a periodistas y defensores de derechos humanos es insuficiente, reconoce Encinas</w:t>
        </w:r>
      </w:hyperlink>
      <w:r w:rsidRPr="000D1DE6">
        <w:rPr>
          <w:rFonts w:asciiTheme="minorHAnsi" w:hAnsiTheme="minorHAnsi"/>
          <w:lang w:val="es-MX"/>
        </w:rPr>
        <w:t>, 1 de diciembre de 2021.</w:t>
      </w:r>
    </w:p>
  </w:footnote>
  <w:footnote w:id="459">
    <w:p w14:paraId="2DEB9495" w14:textId="77777777" w:rsidR="000235D8" w:rsidRPr="000D1DE6" w:rsidRDefault="000235D8" w:rsidP="00F46807">
      <w:pPr>
        <w:pStyle w:val="FootnoteText"/>
        <w:spacing w:after="120"/>
        <w:ind w:firstLine="720"/>
        <w:rPr>
          <w:rFonts w:asciiTheme="minorHAnsi" w:hAnsiTheme="minorHAnsi"/>
          <w:lang w:val="es-MX"/>
        </w:rPr>
      </w:pPr>
      <w:r w:rsidRPr="000D1DE6">
        <w:rPr>
          <w:rStyle w:val="FootnoteReference"/>
          <w:rFonts w:asciiTheme="minorHAnsi" w:hAnsiTheme="minorHAnsi"/>
          <w:lang w:val="es-MX"/>
        </w:rPr>
        <w:footnoteRef/>
      </w:r>
      <w:r w:rsidRPr="000D1DE6">
        <w:rPr>
          <w:rFonts w:asciiTheme="minorHAnsi" w:hAnsiTheme="minorHAnsi"/>
          <w:lang w:val="es-MX"/>
        </w:rPr>
        <w:t xml:space="preserve"> CIDH, Segundo informe sobre la situación de las defensoras y los defensores de derechos humanos en las Américas, OEA/Ser. L/V/II. Doc. 66, 31 de diciembre de 2011, párr. 233.</w:t>
      </w:r>
    </w:p>
  </w:footnote>
  <w:footnote w:id="460">
    <w:p w14:paraId="14606DB2" w14:textId="77777777" w:rsidR="000235D8" w:rsidRPr="000D1DE6" w:rsidRDefault="000235D8" w:rsidP="00F46807">
      <w:pPr>
        <w:pBdr>
          <w:top w:val="nil"/>
          <w:left w:val="nil"/>
          <w:bottom w:val="nil"/>
          <w:right w:val="nil"/>
          <w:between w:val="nil"/>
        </w:pBdr>
        <w:spacing w:after="120" w:line="240" w:lineRule="auto"/>
        <w:ind w:firstLine="720"/>
        <w:jc w:val="both"/>
        <w:rPr>
          <w:rFonts w:asciiTheme="minorHAnsi" w:eastAsia="Cambria" w:hAnsiTheme="minorHAnsi" w:cs="Cambria"/>
          <w:color w:val="000000"/>
          <w:sz w:val="18"/>
          <w:szCs w:val="18"/>
          <w:lang w:val="es-MX"/>
        </w:rPr>
      </w:pPr>
      <w:r w:rsidRPr="000D1DE6">
        <w:rPr>
          <w:rFonts w:asciiTheme="minorHAnsi" w:hAnsiTheme="minorHAnsi"/>
          <w:sz w:val="18"/>
          <w:szCs w:val="18"/>
          <w:vertAlign w:val="superscript"/>
          <w:lang w:val="es-MX"/>
        </w:rPr>
        <w:footnoteRef/>
      </w:r>
      <w:r w:rsidRPr="000D1DE6">
        <w:rPr>
          <w:rFonts w:asciiTheme="minorHAnsi" w:eastAsia="Cambria" w:hAnsiTheme="minorHAnsi" w:cs="Cambria"/>
          <w:color w:val="000000"/>
          <w:sz w:val="18"/>
          <w:szCs w:val="18"/>
          <w:lang w:val="es-MX"/>
        </w:rPr>
        <w:t xml:space="preserve"> La elaboración de esta sección fue asignada por la CIDH a su Relatoría Especial para la Libertad de Expresión.</w:t>
      </w:r>
    </w:p>
  </w:footnote>
  <w:footnote w:id="461">
    <w:p w14:paraId="6626C690" w14:textId="41E5716F" w:rsidR="000235D8" w:rsidRPr="000D1DE6" w:rsidRDefault="000235D8" w:rsidP="00F46807">
      <w:pPr>
        <w:spacing w:after="120" w:line="240" w:lineRule="auto"/>
        <w:ind w:firstLine="720"/>
        <w:jc w:val="both"/>
        <w:rPr>
          <w:rFonts w:asciiTheme="minorHAnsi" w:hAnsiTheme="minorHAnsi"/>
          <w:sz w:val="18"/>
          <w:szCs w:val="18"/>
          <w:lang w:val="es-MX"/>
        </w:rPr>
      </w:pPr>
      <w:r w:rsidRPr="000D1DE6">
        <w:rPr>
          <w:rFonts w:asciiTheme="minorHAnsi" w:hAnsiTheme="minorHAnsi"/>
          <w:sz w:val="18"/>
          <w:szCs w:val="18"/>
          <w:vertAlign w:val="superscript"/>
          <w:lang w:val="es-MX"/>
        </w:rPr>
        <w:footnoteRef/>
      </w:r>
      <w:r w:rsidRPr="000D1DE6">
        <w:rPr>
          <w:rFonts w:asciiTheme="minorHAnsi" w:eastAsia="Cambria" w:hAnsiTheme="minorHAnsi" w:cs="Cambria"/>
          <w:sz w:val="18"/>
          <w:szCs w:val="18"/>
          <w:lang w:val="es-MX"/>
        </w:rPr>
        <w:t xml:space="preserve"> Durante 2021, la Relatoría Especial ha documentado el asesinato de los periodistas Benjamín Morales Hernández, en el municipio de Sonoyta, estado de Sonora; Gustavo Sánchez Cabrera, en el municipio de Santo Domingo Tehuantepec, estado de Oaxaca; Felipe Enrique García, en la ciudad de Metepec, estado de México; Saúl Tijerina Rentería, en Ciudad Acuña, estado de Coahuila; Abraham Mendoza, en la ciudad de Morelia, estado de Michoacán; Ricardo López, en el municipio de Guaymas, estado de Sonora; Jacinto Romero Flores, en el municipio de Ixtaczoquitlán, estado de Veracruz; Manuel González Reyes en la ciudad de Cuernavaca, estado de Morelos; y Alfredo Cardoso, en Acapulco, estado de Guerrero; y Freddy López Arévalo en la ciudad de San Cristóbal de Las Casas, estado de Chiapas. Asimismo, la Relatoría ha tomado conocimiento de la desaparición del periodista Jorge Molontzín Centlal, desde el 10 de mayo en la ciudad de Santa Ana, Sonora.</w:t>
      </w:r>
    </w:p>
  </w:footnote>
  <w:footnote w:id="462">
    <w:p w14:paraId="789C7506" w14:textId="61541EA3" w:rsidR="000235D8" w:rsidRPr="000D1DE6" w:rsidRDefault="000235D8" w:rsidP="00F46807">
      <w:pPr>
        <w:pStyle w:val="FootnoteText"/>
        <w:spacing w:after="120"/>
        <w:ind w:firstLine="720"/>
        <w:rPr>
          <w:rFonts w:asciiTheme="minorHAnsi" w:hAnsiTheme="minorHAnsi"/>
          <w:lang w:val="es-MX"/>
        </w:rPr>
      </w:pPr>
      <w:r w:rsidRPr="000D1DE6">
        <w:rPr>
          <w:rStyle w:val="FootnoteReference"/>
          <w:rFonts w:asciiTheme="minorHAnsi" w:hAnsiTheme="minorHAnsi"/>
          <w:lang w:val="es-MX"/>
        </w:rPr>
        <w:footnoteRef/>
      </w:r>
      <w:r w:rsidRPr="000D1DE6">
        <w:rPr>
          <w:rFonts w:asciiTheme="minorHAnsi" w:hAnsiTheme="minorHAnsi"/>
          <w:lang w:val="es-MX"/>
        </w:rPr>
        <w:t xml:space="preserve"> Noveno Informe del Estado mexicano sobre el cumplimiento y seguimiento de las recomendaciones contenidas en el informe “Situación de los Derechos Humanos en México”, pág. 86. </w:t>
      </w:r>
    </w:p>
  </w:footnote>
  <w:footnote w:id="463">
    <w:p w14:paraId="25426AE8" w14:textId="49D1CEC2" w:rsidR="000235D8" w:rsidRPr="000D1DE6" w:rsidRDefault="000235D8" w:rsidP="00F46807">
      <w:pPr>
        <w:spacing w:after="120" w:line="240" w:lineRule="auto"/>
        <w:ind w:firstLine="720"/>
        <w:jc w:val="both"/>
        <w:rPr>
          <w:rFonts w:asciiTheme="minorHAnsi" w:eastAsia="Cambria" w:hAnsiTheme="minorHAnsi" w:cs="Cambria"/>
          <w:sz w:val="18"/>
          <w:szCs w:val="18"/>
          <w:lang w:val="es-MX"/>
        </w:rPr>
      </w:pPr>
      <w:r w:rsidRPr="000D1DE6">
        <w:rPr>
          <w:rFonts w:asciiTheme="minorHAnsi" w:hAnsiTheme="minorHAnsi"/>
          <w:sz w:val="18"/>
          <w:szCs w:val="18"/>
          <w:vertAlign w:val="superscript"/>
          <w:lang w:val="es-MX"/>
        </w:rPr>
        <w:footnoteRef/>
      </w:r>
      <w:r w:rsidRPr="000D1DE6">
        <w:rPr>
          <w:rFonts w:asciiTheme="minorHAnsi" w:eastAsia="Cambria" w:hAnsiTheme="minorHAnsi" w:cs="Cambria"/>
          <w:sz w:val="18"/>
          <w:szCs w:val="18"/>
          <w:lang w:val="es-MX"/>
        </w:rPr>
        <w:t xml:space="preserve"> Cuenta de Twitter de Red Rompe el Miedo (@RompeMiedo). </w:t>
      </w:r>
      <w:hyperlink r:id="rId382">
        <w:r w:rsidRPr="000D1DE6">
          <w:rPr>
            <w:rFonts w:asciiTheme="minorHAnsi" w:eastAsia="Cambria" w:hAnsiTheme="minorHAnsi" w:cs="Cambria"/>
            <w:color w:val="1155CC"/>
            <w:sz w:val="18"/>
            <w:szCs w:val="18"/>
            <w:u w:val="single"/>
            <w:lang w:val="es-MX"/>
          </w:rPr>
          <w:t>6 de junio de 2021</w:t>
        </w:r>
      </w:hyperlink>
      <w:r w:rsidRPr="000D1DE6">
        <w:rPr>
          <w:rFonts w:asciiTheme="minorHAnsi" w:eastAsia="Cambria" w:hAnsiTheme="minorHAnsi" w:cs="Cambria"/>
          <w:sz w:val="18"/>
          <w:szCs w:val="18"/>
          <w:lang w:val="es-MX"/>
        </w:rPr>
        <w:t xml:space="preserve">; Reacción Informativa, </w:t>
      </w:r>
      <w:hyperlink r:id="rId383">
        <w:r w:rsidRPr="000D1DE6">
          <w:rPr>
            <w:rFonts w:asciiTheme="minorHAnsi" w:eastAsia="Cambria" w:hAnsiTheme="minorHAnsi" w:cs="Cambria"/>
            <w:color w:val="1155CC"/>
            <w:sz w:val="18"/>
            <w:szCs w:val="18"/>
            <w:u w:val="single"/>
            <w:lang w:val="es-MX"/>
          </w:rPr>
          <w:t>Colectivo de periodistas condena agresiones contra reporteros de Escuinapa</w:t>
        </w:r>
      </w:hyperlink>
      <w:r w:rsidRPr="000D1DE6">
        <w:rPr>
          <w:rFonts w:asciiTheme="minorHAnsi" w:eastAsia="Cambria" w:hAnsiTheme="minorHAnsi" w:cs="Cambria"/>
          <w:sz w:val="18"/>
          <w:szCs w:val="18"/>
          <w:lang w:val="es-MX"/>
        </w:rPr>
        <w:t xml:space="preserve">, 28 de enero de 2021; CPJ, </w:t>
      </w:r>
      <w:hyperlink r:id="rId384">
        <w:r w:rsidRPr="000D1DE6">
          <w:rPr>
            <w:rFonts w:asciiTheme="minorHAnsi" w:eastAsia="Cambria" w:hAnsiTheme="minorHAnsi" w:cs="Cambria"/>
            <w:color w:val="1155CC"/>
            <w:sz w:val="18"/>
            <w:szCs w:val="18"/>
            <w:u w:val="single"/>
            <w:lang w:val="es-MX"/>
          </w:rPr>
          <w:t>Sujetos no identificados disparan al auto de la periodista mexicana Beatriz Flores después de que ésta recibe amenazas por vía telefónica</w:t>
        </w:r>
      </w:hyperlink>
      <w:r w:rsidRPr="000D1DE6">
        <w:rPr>
          <w:rFonts w:asciiTheme="minorHAnsi" w:eastAsia="Cambria" w:hAnsiTheme="minorHAnsi" w:cs="Cambria"/>
          <w:color w:val="1155CC"/>
          <w:sz w:val="18"/>
          <w:szCs w:val="18"/>
          <w:u w:val="single"/>
          <w:lang w:val="es-MX"/>
        </w:rPr>
        <w:t xml:space="preserve">, </w:t>
      </w:r>
      <w:r w:rsidRPr="000D1DE6">
        <w:rPr>
          <w:rFonts w:asciiTheme="minorHAnsi" w:eastAsia="Cambria" w:hAnsiTheme="minorHAnsi" w:cs="Cambria"/>
          <w:sz w:val="18"/>
          <w:szCs w:val="18"/>
          <w:lang w:val="es-MX"/>
        </w:rPr>
        <w:t xml:space="preserve">18 de noviembre de 2021; La Jornada, </w:t>
      </w:r>
      <w:hyperlink r:id="rId385">
        <w:r w:rsidRPr="000D1DE6">
          <w:rPr>
            <w:rFonts w:asciiTheme="minorHAnsi" w:eastAsia="Cambria" w:hAnsiTheme="minorHAnsi" w:cs="Cambria"/>
            <w:color w:val="1155CC"/>
            <w:sz w:val="18"/>
            <w:szCs w:val="18"/>
            <w:u w:val="single"/>
            <w:lang w:val="es-MX"/>
          </w:rPr>
          <w:t>Allanaron policías casa del director del Diario de La Tarde en Iguala</w:t>
        </w:r>
      </w:hyperlink>
      <w:r w:rsidRPr="000D1DE6">
        <w:rPr>
          <w:rFonts w:asciiTheme="minorHAnsi" w:eastAsia="Cambria" w:hAnsiTheme="minorHAnsi" w:cs="Cambria"/>
          <w:sz w:val="18"/>
          <w:szCs w:val="18"/>
          <w:lang w:val="es-MX"/>
        </w:rPr>
        <w:t xml:space="preserve">, 7 de julio de 2021; Reporteros sin Fronteras, </w:t>
      </w:r>
      <w:hyperlink r:id="rId386">
        <w:r w:rsidRPr="000D1DE6">
          <w:rPr>
            <w:rFonts w:asciiTheme="minorHAnsi" w:eastAsia="Cambria" w:hAnsiTheme="minorHAnsi" w:cs="Cambria"/>
            <w:color w:val="1155CC"/>
            <w:sz w:val="18"/>
            <w:szCs w:val="18"/>
            <w:u w:val="single"/>
            <w:lang w:val="es-MX"/>
          </w:rPr>
          <w:t>México. Autoridades deben proteger al periodista Jacob Morales tras intimidaciones de policías ministeriales de Acapulco</w:t>
        </w:r>
      </w:hyperlink>
      <w:r w:rsidRPr="000D1DE6">
        <w:rPr>
          <w:rFonts w:asciiTheme="minorHAnsi" w:eastAsia="Cambria" w:hAnsiTheme="minorHAnsi" w:cs="Cambria"/>
          <w:sz w:val="18"/>
          <w:szCs w:val="18"/>
          <w:lang w:val="es-MX"/>
        </w:rPr>
        <w:t xml:space="preserve">, 7 de octubre de 2021; Excélsior, </w:t>
      </w:r>
      <w:hyperlink r:id="rId387">
        <w:r w:rsidRPr="000D1DE6">
          <w:rPr>
            <w:rFonts w:asciiTheme="minorHAnsi" w:eastAsia="Cambria" w:hAnsiTheme="minorHAnsi" w:cs="Cambria"/>
            <w:color w:val="1155CC"/>
            <w:sz w:val="18"/>
            <w:szCs w:val="18"/>
            <w:u w:val="single"/>
            <w:lang w:val="es-MX"/>
          </w:rPr>
          <w:t>'Baja a chin… a tu ma… tus mentiras o vas a ver', así amenaza alcalde a reportero</w:t>
        </w:r>
      </w:hyperlink>
      <w:r w:rsidRPr="000D1DE6">
        <w:rPr>
          <w:rFonts w:asciiTheme="minorHAnsi" w:eastAsia="Cambria" w:hAnsiTheme="minorHAnsi" w:cs="Cambria"/>
          <w:sz w:val="18"/>
          <w:szCs w:val="18"/>
          <w:lang w:val="es-MX"/>
        </w:rPr>
        <w:t>, 2 de octubre de 2021; Radio Fórmula, ​​</w:t>
      </w:r>
      <w:hyperlink r:id="rId388">
        <w:r w:rsidRPr="000D1DE6">
          <w:rPr>
            <w:rFonts w:asciiTheme="minorHAnsi" w:eastAsia="Cambria" w:hAnsiTheme="minorHAnsi" w:cs="Cambria"/>
            <w:color w:val="1155CC"/>
            <w:sz w:val="18"/>
            <w:szCs w:val="18"/>
            <w:u w:val="single"/>
            <w:lang w:val="es-MX"/>
          </w:rPr>
          <w:t>Atacan portal EMEEQUIS tras publicar reportaje “El checador detrás de las empresas fantasmas de AMLO”</w:t>
        </w:r>
      </w:hyperlink>
      <w:r w:rsidRPr="000D1DE6">
        <w:rPr>
          <w:rFonts w:asciiTheme="minorHAnsi" w:eastAsia="Cambria" w:hAnsiTheme="minorHAnsi" w:cs="Cambria"/>
          <w:sz w:val="18"/>
          <w:szCs w:val="18"/>
          <w:lang w:val="es-MX"/>
        </w:rPr>
        <w:t xml:space="preserve">, 6 de octubre de 2021; El País, </w:t>
      </w:r>
      <w:hyperlink r:id="rId389">
        <w:r w:rsidRPr="000D1DE6">
          <w:rPr>
            <w:rFonts w:asciiTheme="minorHAnsi" w:eastAsia="Cambria" w:hAnsiTheme="minorHAnsi" w:cs="Cambria"/>
            <w:color w:val="1155CC"/>
            <w:sz w:val="18"/>
            <w:szCs w:val="18"/>
            <w:u w:val="single"/>
            <w:lang w:val="es-MX"/>
          </w:rPr>
          <w:t>Agresiones y detenciones arbitrarias, la cotidianidad de los periodistas en México</w:t>
        </w:r>
      </w:hyperlink>
      <w:r w:rsidRPr="000D1DE6">
        <w:rPr>
          <w:rFonts w:asciiTheme="minorHAnsi" w:eastAsia="Cambria" w:hAnsiTheme="minorHAnsi" w:cs="Cambria"/>
          <w:sz w:val="18"/>
          <w:szCs w:val="18"/>
          <w:lang w:val="es-MX"/>
        </w:rPr>
        <w:t>, 30 de junio de 2021.</w:t>
      </w:r>
    </w:p>
  </w:footnote>
  <w:footnote w:id="464">
    <w:p w14:paraId="000C0659" w14:textId="29D0B392" w:rsidR="000235D8" w:rsidRPr="000D1DE6" w:rsidRDefault="000235D8" w:rsidP="00F46807">
      <w:pPr>
        <w:spacing w:after="120" w:line="240" w:lineRule="auto"/>
        <w:ind w:firstLine="720"/>
        <w:jc w:val="both"/>
        <w:rPr>
          <w:rFonts w:asciiTheme="minorHAnsi" w:eastAsia="Cambria" w:hAnsiTheme="minorHAnsi" w:cs="Cambria"/>
          <w:sz w:val="18"/>
          <w:szCs w:val="18"/>
          <w:lang w:val="es-MX"/>
        </w:rPr>
      </w:pPr>
      <w:r w:rsidRPr="000D1DE6">
        <w:rPr>
          <w:rFonts w:asciiTheme="minorHAnsi" w:hAnsiTheme="minorHAnsi"/>
          <w:sz w:val="18"/>
          <w:szCs w:val="18"/>
          <w:vertAlign w:val="superscript"/>
          <w:lang w:val="es-MX"/>
        </w:rPr>
        <w:footnoteRef/>
      </w:r>
      <w:r w:rsidRPr="000D1DE6">
        <w:rPr>
          <w:rFonts w:asciiTheme="minorHAnsi" w:eastAsia="Cambria" w:hAnsiTheme="minorHAnsi" w:cs="Cambria"/>
          <w:sz w:val="18"/>
          <w:szCs w:val="18"/>
          <w:lang w:val="es-MX"/>
        </w:rPr>
        <w:t xml:space="preserve"> CPJ, </w:t>
      </w:r>
      <w:hyperlink r:id="rId390">
        <w:r w:rsidRPr="000D1DE6">
          <w:rPr>
            <w:rFonts w:asciiTheme="minorHAnsi" w:eastAsia="Cambria" w:hAnsiTheme="minorHAnsi" w:cs="Cambria"/>
            <w:color w:val="1155CC"/>
            <w:sz w:val="18"/>
            <w:szCs w:val="18"/>
            <w:u w:val="single"/>
            <w:lang w:val="es-MX"/>
          </w:rPr>
          <w:t>El periodista mexicano Edgar Leyva se oculta tras atentado</w:t>
        </w:r>
      </w:hyperlink>
      <w:r w:rsidRPr="000D1DE6">
        <w:rPr>
          <w:rFonts w:asciiTheme="minorHAnsi" w:eastAsia="Cambria" w:hAnsiTheme="minorHAnsi" w:cs="Cambria"/>
          <w:color w:val="1155CC"/>
          <w:sz w:val="18"/>
          <w:szCs w:val="18"/>
          <w:u w:val="single"/>
          <w:lang w:val="es-MX"/>
        </w:rPr>
        <w:t xml:space="preserve">, </w:t>
      </w:r>
      <w:r w:rsidRPr="000D1DE6">
        <w:rPr>
          <w:rFonts w:asciiTheme="minorHAnsi" w:eastAsia="Cambria" w:hAnsiTheme="minorHAnsi" w:cs="Cambria"/>
          <w:sz w:val="18"/>
          <w:szCs w:val="18"/>
          <w:lang w:val="es-MX"/>
        </w:rPr>
        <w:t xml:space="preserve">22 de febrero de 2021; Oaxaca Vial, </w:t>
      </w:r>
      <w:hyperlink r:id="rId391">
        <w:r w:rsidRPr="000D1DE6">
          <w:rPr>
            <w:rFonts w:asciiTheme="minorHAnsi" w:eastAsia="Cambria" w:hAnsiTheme="minorHAnsi" w:cs="Cambria"/>
            <w:color w:val="1155CC"/>
            <w:sz w:val="18"/>
            <w:szCs w:val="18"/>
            <w:u w:val="single"/>
            <w:lang w:val="es-MX"/>
          </w:rPr>
          <w:t>Dos mujeres ejecutadas en Ocotlán de Morelos, Oaxaca</w:t>
        </w:r>
      </w:hyperlink>
      <w:r w:rsidRPr="000D1DE6">
        <w:rPr>
          <w:rFonts w:asciiTheme="minorHAnsi" w:eastAsia="Cambria" w:hAnsiTheme="minorHAnsi" w:cs="Cambria"/>
          <w:sz w:val="18"/>
          <w:szCs w:val="18"/>
          <w:lang w:val="es-MX"/>
        </w:rPr>
        <w:t xml:space="preserve">, 3 de febrero de 2021; Quadratin Oaxaca, </w:t>
      </w:r>
      <w:hyperlink r:id="rId392">
        <w:r w:rsidRPr="000D1DE6">
          <w:rPr>
            <w:rFonts w:asciiTheme="minorHAnsi" w:eastAsia="Cambria" w:hAnsiTheme="minorHAnsi" w:cs="Cambria"/>
            <w:color w:val="1155CC"/>
            <w:sz w:val="18"/>
            <w:szCs w:val="18"/>
            <w:u w:val="single"/>
            <w:lang w:val="es-MX"/>
          </w:rPr>
          <w:t>Asesinan a balazos a 2 mujeres en Oaxaca</w:t>
        </w:r>
      </w:hyperlink>
      <w:r w:rsidRPr="000D1DE6">
        <w:rPr>
          <w:rFonts w:asciiTheme="minorHAnsi" w:eastAsia="Cambria" w:hAnsiTheme="minorHAnsi" w:cs="Cambria"/>
          <w:sz w:val="18"/>
          <w:szCs w:val="18"/>
          <w:lang w:val="es-MX"/>
        </w:rPr>
        <w:t xml:space="preserve">, 3 de febrero de 2021; Cuenta de Twitter de la Fiscalía General del Estado de Oaxaca (@FISCALIA_GobOax), </w:t>
      </w:r>
      <w:hyperlink r:id="rId393">
        <w:r w:rsidRPr="000D1DE6">
          <w:rPr>
            <w:rFonts w:asciiTheme="minorHAnsi" w:eastAsia="Cambria" w:hAnsiTheme="minorHAnsi" w:cs="Cambria"/>
            <w:color w:val="1155CC"/>
            <w:sz w:val="18"/>
            <w:szCs w:val="18"/>
            <w:u w:val="single"/>
            <w:lang w:val="es-MX"/>
          </w:rPr>
          <w:t>3 de febrero de 2021</w:t>
        </w:r>
      </w:hyperlink>
      <w:r w:rsidRPr="000D1DE6">
        <w:rPr>
          <w:rFonts w:asciiTheme="minorHAnsi" w:eastAsia="Cambria" w:hAnsiTheme="minorHAnsi" w:cs="Cambria"/>
          <w:sz w:val="18"/>
          <w:szCs w:val="18"/>
          <w:lang w:val="es-MX"/>
        </w:rPr>
        <w:t>.</w:t>
      </w:r>
    </w:p>
  </w:footnote>
  <w:footnote w:id="465">
    <w:p w14:paraId="685C436B" w14:textId="05D1A365" w:rsidR="000235D8" w:rsidRPr="000D1DE6" w:rsidRDefault="000235D8" w:rsidP="00F46807">
      <w:pPr>
        <w:spacing w:after="120" w:line="240" w:lineRule="auto"/>
        <w:ind w:firstLine="720"/>
        <w:jc w:val="both"/>
        <w:rPr>
          <w:rFonts w:asciiTheme="minorHAnsi" w:eastAsia="Cambria" w:hAnsiTheme="minorHAnsi" w:cs="Cambria"/>
          <w:sz w:val="18"/>
          <w:szCs w:val="18"/>
          <w:lang w:val="es-MX"/>
        </w:rPr>
      </w:pPr>
      <w:r w:rsidRPr="000D1DE6">
        <w:rPr>
          <w:rFonts w:asciiTheme="minorHAnsi" w:hAnsiTheme="minorHAnsi"/>
          <w:sz w:val="18"/>
          <w:szCs w:val="18"/>
          <w:vertAlign w:val="superscript"/>
          <w:lang w:val="es-MX"/>
        </w:rPr>
        <w:footnoteRef/>
      </w:r>
      <w:r w:rsidRPr="000D1DE6">
        <w:rPr>
          <w:rFonts w:asciiTheme="minorHAnsi" w:eastAsia="Cambria" w:hAnsiTheme="minorHAnsi" w:cs="Cambria"/>
          <w:sz w:val="18"/>
          <w:szCs w:val="18"/>
          <w:lang w:val="es-MX"/>
        </w:rPr>
        <w:t xml:space="preserve"> CPJ, </w:t>
      </w:r>
      <w:hyperlink r:id="rId394">
        <w:r w:rsidRPr="000D1DE6">
          <w:rPr>
            <w:rFonts w:asciiTheme="minorHAnsi" w:eastAsia="Cambria" w:hAnsiTheme="minorHAnsi" w:cs="Cambria"/>
            <w:color w:val="1155CC"/>
            <w:sz w:val="18"/>
            <w:szCs w:val="18"/>
            <w:u w:val="single"/>
            <w:lang w:val="es-MX"/>
          </w:rPr>
          <w:t>El periodista mexicano Luis Aguilar sobrevive ataque con cuchillo en Pénjamo</w:t>
        </w:r>
      </w:hyperlink>
      <w:r w:rsidRPr="000D1DE6">
        <w:rPr>
          <w:rFonts w:asciiTheme="minorHAnsi" w:eastAsia="Cambria" w:hAnsiTheme="minorHAnsi" w:cs="Cambria"/>
          <w:color w:val="1155CC"/>
          <w:sz w:val="18"/>
          <w:szCs w:val="18"/>
          <w:u w:val="single"/>
          <w:lang w:val="es-MX"/>
        </w:rPr>
        <w:t xml:space="preserve">, </w:t>
      </w:r>
      <w:r w:rsidRPr="000D1DE6">
        <w:rPr>
          <w:rFonts w:asciiTheme="minorHAnsi" w:eastAsia="Cambria" w:hAnsiTheme="minorHAnsi" w:cs="Cambria"/>
          <w:sz w:val="18"/>
          <w:szCs w:val="18"/>
          <w:lang w:val="es-MX"/>
        </w:rPr>
        <w:t xml:space="preserve">7 de junio de 2021; Proceso, </w:t>
      </w:r>
      <w:hyperlink r:id="rId395">
        <w:r w:rsidRPr="000D1DE6">
          <w:rPr>
            <w:rFonts w:asciiTheme="minorHAnsi" w:eastAsia="Cambria" w:hAnsiTheme="minorHAnsi" w:cs="Cambria"/>
            <w:color w:val="1155CC"/>
            <w:sz w:val="18"/>
            <w:szCs w:val="18"/>
            <w:u w:val="single"/>
            <w:lang w:val="es-MX"/>
          </w:rPr>
          <w:t>Apuñalan a un reportero en Pénjamo, Guanajuato</w:t>
        </w:r>
      </w:hyperlink>
      <w:r w:rsidRPr="000D1DE6">
        <w:rPr>
          <w:rFonts w:asciiTheme="minorHAnsi" w:eastAsia="Cambria" w:hAnsiTheme="minorHAnsi" w:cs="Cambria"/>
          <w:color w:val="1155CC"/>
          <w:sz w:val="18"/>
          <w:szCs w:val="18"/>
          <w:u w:val="single"/>
          <w:lang w:val="es-MX"/>
        </w:rPr>
        <w:t xml:space="preserve">, </w:t>
      </w:r>
      <w:r w:rsidRPr="000D1DE6">
        <w:rPr>
          <w:rFonts w:asciiTheme="minorHAnsi" w:eastAsia="Cambria" w:hAnsiTheme="minorHAnsi" w:cs="Cambria"/>
          <w:sz w:val="18"/>
          <w:szCs w:val="18"/>
          <w:lang w:val="es-MX"/>
        </w:rPr>
        <w:t xml:space="preserve">22 de mayo de 2021; Sopitas, </w:t>
      </w:r>
      <w:hyperlink r:id="rId396">
        <w:r w:rsidRPr="000D1DE6">
          <w:rPr>
            <w:rFonts w:asciiTheme="minorHAnsi" w:eastAsia="Cambria" w:hAnsiTheme="minorHAnsi" w:cs="Cambria"/>
            <w:color w:val="1155CC"/>
            <w:sz w:val="18"/>
            <w:szCs w:val="18"/>
            <w:u w:val="single"/>
            <w:lang w:val="es-MX"/>
          </w:rPr>
          <w:t>Apuñalan a reportero que responsabilizó de su integridad física a un candidato del PVEM</w:t>
        </w:r>
      </w:hyperlink>
      <w:r w:rsidRPr="000D1DE6">
        <w:rPr>
          <w:rFonts w:asciiTheme="minorHAnsi" w:eastAsia="Cambria" w:hAnsiTheme="minorHAnsi" w:cs="Cambria"/>
          <w:sz w:val="18"/>
          <w:szCs w:val="18"/>
          <w:lang w:val="es-MX"/>
        </w:rPr>
        <w:t>, 23 de mayo de 2021.</w:t>
      </w:r>
    </w:p>
  </w:footnote>
  <w:footnote w:id="466">
    <w:p w14:paraId="36935DD4" w14:textId="1203B73A" w:rsidR="000235D8" w:rsidRPr="000D1DE6" w:rsidRDefault="000235D8" w:rsidP="00F46807">
      <w:pPr>
        <w:spacing w:after="120" w:line="240" w:lineRule="auto"/>
        <w:ind w:firstLine="720"/>
        <w:jc w:val="both"/>
        <w:rPr>
          <w:rFonts w:asciiTheme="minorHAnsi" w:eastAsia="Cambria" w:hAnsiTheme="minorHAnsi" w:cs="Cambria"/>
          <w:sz w:val="18"/>
          <w:szCs w:val="18"/>
          <w:lang w:val="es-MX"/>
        </w:rPr>
      </w:pPr>
      <w:r w:rsidRPr="000D1DE6">
        <w:rPr>
          <w:rFonts w:asciiTheme="minorHAnsi" w:hAnsiTheme="minorHAnsi"/>
          <w:sz w:val="18"/>
          <w:szCs w:val="18"/>
          <w:vertAlign w:val="superscript"/>
          <w:lang w:val="es-MX"/>
        </w:rPr>
        <w:footnoteRef/>
      </w:r>
      <w:r w:rsidRPr="000D1DE6">
        <w:rPr>
          <w:rFonts w:asciiTheme="minorHAnsi" w:eastAsia="Cambria" w:hAnsiTheme="minorHAnsi" w:cs="Cambria"/>
          <w:sz w:val="18"/>
          <w:szCs w:val="18"/>
          <w:lang w:val="es-MX"/>
        </w:rPr>
        <w:t xml:space="preserve"> Associated Press, </w:t>
      </w:r>
      <w:hyperlink r:id="rId397">
        <w:r w:rsidRPr="000D1DE6">
          <w:rPr>
            <w:rFonts w:asciiTheme="minorHAnsi" w:eastAsia="Cambria" w:hAnsiTheme="minorHAnsi" w:cs="Cambria"/>
            <w:color w:val="1155CC"/>
            <w:sz w:val="18"/>
            <w:szCs w:val="18"/>
            <w:u w:val="single"/>
            <w:lang w:val="es-MX"/>
          </w:rPr>
          <w:t>México: Narcotraficantes amenazan de muerte a periodista</w:t>
        </w:r>
      </w:hyperlink>
      <w:r w:rsidRPr="000D1DE6">
        <w:rPr>
          <w:rFonts w:asciiTheme="minorHAnsi" w:eastAsia="Cambria" w:hAnsiTheme="minorHAnsi" w:cs="Cambria"/>
          <w:color w:val="1155CC"/>
          <w:sz w:val="18"/>
          <w:szCs w:val="18"/>
          <w:u w:val="single"/>
          <w:lang w:val="es-MX"/>
        </w:rPr>
        <w:t>,</w:t>
      </w:r>
      <w:r w:rsidRPr="000D1DE6">
        <w:rPr>
          <w:rFonts w:asciiTheme="minorHAnsi" w:eastAsia="Cambria" w:hAnsiTheme="minorHAnsi" w:cs="Cambria"/>
          <w:sz w:val="18"/>
          <w:szCs w:val="18"/>
          <w:lang w:val="es-MX"/>
        </w:rPr>
        <w:t xml:space="preserve"> 9 de agosto de 2021; Aristegui Noticias, </w:t>
      </w:r>
      <w:hyperlink r:id="rId398">
        <w:r w:rsidRPr="000D1DE6">
          <w:rPr>
            <w:rFonts w:asciiTheme="minorHAnsi" w:eastAsia="Cambria" w:hAnsiTheme="minorHAnsi" w:cs="Cambria"/>
            <w:color w:val="1155CC"/>
            <w:sz w:val="18"/>
            <w:szCs w:val="18"/>
            <w:u w:val="single"/>
            <w:lang w:val="es-MX"/>
          </w:rPr>
          <w:t>Amenaza Cártel Jalisco a la periodista Azucena Uresti; gobierno anuncia medidas</w:t>
        </w:r>
      </w:hyperlink>
      <w:r w:rsidRPr="000D1DE6">
        <w:rPr>
          <w:rFonts w:asciiTheme="minorHAnsi" w:eastAsia="Cambria" w:hAnsiTheme="minorHAnsi" w:cs="Cambria"/>
          <w:sz w:val="18"/>
          <w:szCs w:val="18"/>
          <w:lang w:val="es-MX"/>
        </w:rPr>
        <w:t>, 9 de agosto de 2021.</w:t>
      </w:r>
    </w:p>
  </w:footnote>
  <w:footnote w:id="467">
    <w:p w14:paraId="4E835C17" w14:textId="6FD4CCF8" w:rsidR="000235D8" w:rsidRPr="000D1DE6" w:rsidRDefault="000235D8" w:rsidP="00F46807">
      <w:pPr>
        <w:spacing w:after="120" w:line="240" w:lineRule="auto"/>
        <w:ind w:firstLine="720"/>
        <w:jc w:val="both"/>
        <w:rPr>
          <w:rFonts w:asciiTheme="minorHAnsi" w:eastAsia="Cambria" w:hAnsiTheme="minorHAnsi" w:cs="Cambria"/>
          <w:sz w:val="18"/>
          <w:szCs w:val="18"/>
          <w:lang w:val="es-MX"/>
        </w:rPr>
      </w:pPr>
      <w:r w:rsidRPr="000D1DE6">
        <w:rPr>
          <w:rFonts w:asciiTheme="minorHAnsi" w:hAnsiTheme="minorHAnsi"/>
          <w:sz w:val="18"/>
          <w:szCs w:val="18"/>
          <w:vertAlign w:val="superscript"/>
          <w:lang w:val="es-MX"/>
        </w:rPr>
        <w:footnoteRef/>
      </w:r>
      <w:r w:rsidRPr="000D1DE6">
        <w:rPr>
          <w:rFonts w:asciiTheme="minorHAnsi" w:eastAsia="Cambria" w:hAnsiTheme="minorHAnsi" w:cs="Cambria"/>
          <w:sz w:val="18"/>
          <w:szCs w:val="18"/>
          <w:lang w:val="es-MX"/>
        </w:rPr>
        <w:t xml:space="preserve"> CPJ, </w:t>
      </w:r>
      <w:hyperlink r:id="rId399">
        <w:r w:rsidRPr="000D1DE6">
          <w:rPr>
            <w:rFonts w:asciiTheme="minorHAnsi" w:eastAsia="Cambria" w:hAnsiTheme="minorHAnsi" w:cs="Cambria"/>
            <w:color w:val="1155CC"/>
            <w:sz w:val="18"/>
            <w:szCs w:val="18"/>
            <w:u w:val="single"/>
            <w:lang w:val="es-MX"/>
          </w:rPr>
          <w:t>Secuestran, amenazan y roban a la periodista mexicana María Teresa Montaño en Toluca</w:t>
        </w:r>
      </w:hyperlink>
      <w:r w:rsidRPr="000D1DE6">
        <w:rPr>
          <w:rFonts w:asciiTheme="minorHAnsi" w:eastAsia="Cambria" w:hAnsiTheme="minorHAnsi" w:cs="Cambria"/>
          <w:sz w:val="18"/>
          <w:szCs w:val="18"/>
          <w:lang w:val="es-MX"/>
        </w:rPr>
        <w:t xml:space="preserve">, 23 de agosto de 2021; Animal Político, </w:t>
      </w:r>
      <w:hyperlink r:id="rId400">
        <w:r w:rsidRPr="000D1DE6">
          <w:rPr>
            <w:rFonts w:asciiTheme="minorHAnsi" w:eastAsia="Cambria" w:hAnsiTheme="minorHAnsi" w:cs="Cambria"/>
            <w:color w:val="1155CC"/>
            <w:sz w:val="18"/>
            <w:szCs w:val="18"/>
            <w:u w:val="single"/>
            <w:lang w:val="es-MX"/>
          </w:rPr>
          <w:t>Roban, retienen y amenazan de muerte a Teresa Montaño, periodista del Edomex</w:t>
        </w:r>
      </w:hyperlink>
      <w:r w:rsidRPr="000D1DE6">
        <w:rPr>
          <w:rFonts w:asciiTheme="minorHAnsi" w:eastAsia="Cambria" w:hAnsiTheme="minorHAnsi" w:cs="Cambria"/>
          <w:sz w:val="18"/>
          <w:szCs w:val="18"/>
          <w:lang w:val="es-MX"/>
        </w:rPr>
        <w:t>, 14 de agosto de 2021.</w:t>
      </w:r>
    </w:p>
  </w:footnote>
  <w:footnote w:id="468">
    <w:p w14:paraId="2070C289" w14:textId="230DC6D0" w:rsidR="000235D8" w:rsidRPr="000D1DE6" w:rsidRDefault="000235D8" w:rsidP="00F46807">
      <w:pPr>
        <w:spacing w:after="120" w:line="240" w:lineRule="auto"/>
        <w:ind w:firstLine="720"/>
        <w:jc w:val="both"/>
        <w:rPr>
          <w:rFonts w:asciiTheme="minorHAnsi" w:eastAsia="Cambria" w:hAnsiTheme="minorHAnsi" w:cs="Cambria"/>
          <w:sz w:val="18"/>
          <w:szCs w:val="18"/>
          <w:lang w:val="es-MX"/>
        </w:rPr>
      </w:pPr>
      <w:r w:rsidRPr="000D1DE6">
        <w:rPr>
          <w:rFonts w:asciiTheme="minorHAnsi" w:hAnsiTheme="minorHAnsi"/>
          <w:sz w:val="18"/>
          <w:szCs w:val="18"/>
          <w:vertAlign w:val="superscript"/>
          <w:lang w:val="es-MX"/>
        </w:rPr>
        <w:footnoteRef/>
      </w:r>
      <w:r w:rsidRPr="000D1DE6">
        <w:rPr>
          <w:rFonts w:asciiTheme="minorHAnsi" w:eastAsia="Cambria" w:hAnsiTheme="minorHAnsi" w:cs="Cambria"/>
          <w:sz w:val="18"/>
          <w:szCs w:val="18"/>
          <w:lang w:val="es-MX"/>
        </w:rPr>
        <w:t xml:space="preserve"> El País, </w:t>
      </w:r>
      <w:hyperlink r:id="rId401">
        <w:r w:rsidRPr="000D1DE6">
          <w:rPr>
            <w:rFonts w:asciiTheme="minorHAnsi" w:eastAsia="Cambria" w:hAnsiTheme="minorHAnsi" w:cs="Cambria"/>
            <w:color w:val="1155CC"/>
            <w:sz w:val="18"/>
            <w:szCs w:val="18"/>
            <w:u w:val="single"/>
            <w:lang w:val="es-MX"/>
          </w:rPr>
          <w:t>El ‘quién es quién’ de López Obrador o la nueva ofensiva contra la prensa</w:t>
        </w:r>
      </w:hyperlink>
      <w:r w:rsidRPr="000D1DE6">
        <w:rPr>
          <w:rFonts w:asciiTheme="minorHAnsi" w:eastAsia="Cambria" w:hAnsiTheme="minorHAnsi" w:cs="Cambria"/>
          <w:color w:val="1155CC"/>
          <w:sz w:val="18"/>
          <w:szCs w:val="18"/>
          <w:u w:val="single"/>
          <w:lang w:val="es-MX"/>
        </w:rPr>
        <w:t xml:space="preserve">, </w:t>
      </w:r>
      <w:r w:rsidRPr="000D1DE6">
        <w:rPr>
          <w:rFonts w:asciiTheme="minorHAnsi" w:eastAsia="Cambria" w:hAnsiTheme="minorHAnsi" w:cs="Cambria"/>
          <w:sz w:val="18"/>
          <w:szCs w:val="18"/>
          <w:lang w:val="es-MX"/>
        </w:rPr>
        <w:t xml:space="preserve">23 de junio de 2021; Swissinfo. </w:t>
      </w:r>
      <w:hyperlink r:id="rId402">
        <w:r w:rsidRPr="000D1DE6">
          <w:rPr>
            <w:rFonts w:asciiTheme="minorHAnsi" w:eastAsia="Cambria" w:hAnsiTheme="minorHAnsi" w:cs="Cambria"/>
            <w:color w:val="1155CC"/>
            <w:sz w:val="18"/>
            <w:szCs w:val="18"/>
            <w:u w:val="single"/>
            <w:lang w:val="es-MX"/>
          </w:rPr>
          <w:t>López Obrador anuncia una sección semanal para exhibir "noticias falsas"</w:t>
        </w:r>
      </w:hyperlink>
      <w:r w:rsidRPr="000D1DE6">
        <w:rPr>
          <w:rFonts w:asciiTheme="minorHAnsi" w:eastAsia="Cambria" w:hAnsiTheme="minorHAnsi" w:cs="Cambria"/>
          <w:sz w:val="18"/>
          <w:szCs w:val="18"/>
          <w:lang w:val="es-MX"/>
        </w:rPr>
        <w:t>, 23 de junio de 2021.</w:t>
      </w:r>
    </w:p>
  </w:footnote>
  <w:footnote w:id="469">
    <w:p w14:paraId="20E3D5FE" w14:textId="08259E3E" w:rsidR="000235D8" w:rsidRPr="000D1DE6" w:rsidRDefault="000235D8" w:rsidP="00F46807">
      <w:pPr>
        <w:spacing w:after="120" w:line="240" w:lineRule="auto"/>
        <w:ind w:firstLine="720"/>
        <w:jc w:val="both"/>
        <w:rPr>
          <w:rFonts w:asciiTheme="minorHAnsi" w:hAnsiTheme="minorHAnsi"/>
          <w:sz w:val="18"/>
          <w:szCs w:val="18"/>
          <w:lang w:val="es-MX"/>
        </w:rPr>
      </w:pPr>
      <w:r w:rsidRPr="000D1DE6">
        <w:rPr>
          <w:rFonts w:asciiTheme="minorHAnsi" w:hAnsiTheme="minorHAnsi"/>
          <w:sz w:val="18"/>
          <w:szCs w:val="18"/>
          <w:vertAlign w:val="superscript"/>
          <w:lang w:val="es-MX"/>
        </w:rPr>
        <w:footnoteRef/>
      </w:r>
      <w:r w:rsidRPr="000D1DE6">
        <w:rPr>
          <w:rFonts w:asciiTheme="minorHAnsi" w:eastAsia="Cambria" w:hAnsiTheme="minorHAnsi" w:cs="Cambria"/>
          <w:sz w:val="18"/>
          <w:szCs w:val="18"/>
          <w:lang w:val="es-MX"/>
        </w:rPr>
        <w:t xml:space="preserve"> El País, </w:t>
      </w:r>
      <w:hyperlink r:id="rId403">
        <w:r w:rsidRPr="000D1DE6">
          <w:rPr>
            <w:rFonts w:asciiTheme="minorHAnsi" w:eastAsia="Cambria" w:hAnsiTheme="minorHAnsi" w:cs="Cambria"/>
            <w:color w:val="1155CC"/>
            <w:sz w:val="18"/>
            <w:szCs w:val="18"/>
            <w:u w:val="single"/>
            <w:lang w:val="es-MX"/>
          </w:rPr>
          <w:t>El presidente de México estrena su espacio contra los medios de comunicación llamándolos “corruptos, rastreros e integristas”</w:t>
        </w:r>
      </w:hyperlink>
      <w:r w:rsidRPr="000D1DE6">
        <w:rPr>
          <w:rFonts w:asciiTheme="minorHAnsi" w:eastAsia="Cambria" w:hAnsiTheme="minorHAnsi" w:cs="Cambria"/>
          <w:color w:val="1155CC"/>
          <w:sz w:val="18"/>
          <w:szCs w:val="18"/>
          <w:u w:val="single"/>
          <w:lang w:val="es-MX"/>
        </w:rPr>
        <w:t>,</w:t>
      </w:r>
      <w:r w:rsidRPr="000D1DE6">
        <w:rPr>
          <w:rFonts w:asciiTheme="minorHAnsi" w:eastAsia="Cambria" w:hAnsiTheme="minorHAnsi" w:cs="Cambria"/>
          <w:sz w:val="18"/>
          <w:szCs w:val="18"/>
          <w:lang w:val="es-MX"/>
        </w:rPr>
        <w:t xml:space="preserve"> 30 de junio de 2021; Cuenta de Twitter de Forbes México (@Forbes_Mexico), </w:t>
      </w:r>
      <w:hyperlink r:id="rId404">
        <w:r w:rsidRPr="000D1DE6">
          <w:rPr>
            <w:rFonts w:asciiTheme="minorHAnsi" w:eastAsia="Cambria" w:hAnsiTheme="minorHAnsi" w:cs="Cambria"/>
            <w:color w:val="1155CC"/>
            <w:sz w:val="18"/>
            <w:szCs w:val="18"/>
            <w:u w:val="single"/>
            <w:lang w:val="es-MX"/>
          </w:rPr>
          <w:t>1 de julio de 2021</w:t>
        </w:r>
      </w:hyperlink>
      <w:r w:rsidRPr="000D1DE6">
        <w:rPr>
          <w:rFonts w:asciiTheme="minorHAnsi" w:eastAsia="Cambria" w:hAnsiTheme="minorHAnsi" w:cs="Cambria"/>
          <w:sz w:val="18"/>
          <w:szCs w:val="18"/>
          <w:lang w:val="es-MX"/>
        </w:rPr>
        <w:t>.</w:t>
      </w:r>
    </w:p>
  </w:footnote>
  <w:footnote w:id="470">
    <w:p w14:paraId="5F952B0B" w14:textId="277F1E05" w:rsidR="000235D8" w:rsidRPr="000D1DE6" w:rsidRDefault="000235D8" w:rsidP="00F46807">
      <w:pPr>
        <w:spacing w:after="120" w:line="240" w:lineRule="auto"/>
        <w:ind w:firstLine="720"/>
        <w:jc w:val="both"/>
        <w:rPr>
          <w:rFonts w:asciiTheme="minorHAnsi" w:eastAsia="Cambria" w:hAnsiTheme="minorHAnsi" w:cs="Cambria"/>
          <w:sz w:val="18"/>
          <w:szCs w:val="18"/>
          <w:lang w:val="es-MX"/>
        </w:rPr>
      </w:pPr>
      <w:r w:rsidRPr="000D1DE6">
        <w:rPr>
          <w:rFonts w:asciiTheme="minorHAnsi" w:hAnsiTheme="minorHAnsi"/>
          <w:sz w:val="18"/>
          <w:szCs w:val="18"/>
          <w:vertAlign w:val="superscript"/>
          <w:lang w:val="es-MX"/>
        </w:rPr>
        <w:footnoteRef/>
      </w:r>
      <w:r w:rsidRPr="000D1DE6">
        <w:rPr>
          <w:rFonts w:asciiTheme="minorHAnsi" w:eastAsia="Cambria" w:hAnsiTheme="minorHAnsi" w:cs="Cambria"/>
          <w:sz w:val="18"/>
          <w:szCs w:val="18"/>
          <w:lang w:val="es-MX"/>
        </w:rPr>
        <w:t xml:space="preserve"> Respuesta del Estado mexicano a la solicitud por Artículo 41 de la Relatoría Especial para la Libertad de Expresión de la Comisión Interamericana de Derechos Humanos (CIDH/RELE/Art. 41/05-2021/164), 28 de julio de 2021, Archivo de la Relatoría Especial para la Libertad de Expresión.</w:t>
      </w:r>
    </w:p>
  </w:footnote>
  <w:footnote w:id="471">
    <w:p w14:paraId="78A1208E" w14:textId="34D06894" w:rsidR="000235D8" w:rsidRPr="000D1DE6" w:rsidRDefault="000235D8" w:rsidP="00F46807">
      <w:pPr>
        <w:spacing w:after="120" w:line="240" w:lineRule="auto"/>
        <w:ind w:firstLine="720"/>
        <w:jc w:val="both"/>
        <w:rPr>
          <w:rFonts w:asciiTheme="minorHAnsi" w:hAnsiTheme="minorHAnsi"/>
          <w:sz w:val="18"/>
          <w:szCs w:val="18"/>
          <w:lang w:val="es-MX"/>
        </w:rPr>
      </w:pPr>
      <w:r w:rsidRPr="000D1DE6">
        <w:rPr>
          <w:rFonts w:asciiTheme="minorHAnsi" w:hAnsiTheme="minorHAnsi"/>
          <w:sz w:val="18"/>
          <w:szCs w:val="18"/>
          <w:vertAlign w:val="superscript"/>
          <w:lang w:val="es-MX"/>
        </w:rPr>
        <w:footnoteRef/>
      </w:r>
      <w:r w:rsidRPr="000D1DE6">
        <w:rPr>
          <w:rFonts w:asciiTheme="minorHAnsi" w:eastAsia="Cambria" w:hAnsiTheme="minorHAnsi" w:cs="Cambria"/>
          <w:sz w:val="18"/>
          <w:szCs w:val="18"/>
          <w:lang w:val="es-MX"/>
        </w:rPr>
        <w:t xml:space="preserve"> CIDH, Relatoría Especial para la Libertad de Expresión, Comunicado de prensa R205/21. </w:t>
      </w:r>
      <w:hyperlink r:id="rId405">
        <w:r w:rsidRPr="000D1DE6">
          <w:rPr>
            <w:rFonts w:asciiTheme="minorHAnsi" w:eastAsia="Cambria" w:hAnsiTheme="minorHAnsi" w:cs="Cambria"/>
            <w:color w:val="1155CC"/>
            <w:sz w:val="18"/>
            <w:szCs w:val="18"/>
            <w:u w:val="single"/>
            <w:lang w:val="es-MX"/>
          </w:rPr>
          <w:t>La CIDH, su RELE y ONU-DH México manifiestan preocupación ante nuevos hallazgos sobre la utilización del software Pegasus</w:t>
        </w:r>
      </w:hyperlink>
      <w:r w:rsidRPr="000D1DE6">
        <w:rPr>
          <w:rFonts w:asciiTheme="minorHAnsi" w:eastAsia="Cambria" w:hAnsiTheme="minorHAnsi" w:cs="Cambria"/>
          <w:sz w:val="18"/>
          <w:szCs w:val="18"/>
          <w:lang w:val="es-MX"/>
        </w:rPr>
        <w:t>, Ciudad de México – Washington D.C., 6 de agosto de 2021.</w:t>
      </w:r>
    </w:p>
  </w:footnote>
  <w:footnote w:id="472">
    <w:p w14:paraId="586AE670" w14:textId="0A90A6D0" w:rsidR="000235D8" w:rsidRPr="000D1DE6" w:rsidRDefault="000235D8" w:rsidP="00F46807">
      <w:pPr>
        <w:spacing w:after="120" w:line="240" w:lineRule="auto"/>
        <w:ind w:firstLine="720"/>
        <w:jc w:val="both"/>
        <w:rPr>
          <w:rFonts w:asciiTheme="minorHAnsi" w:eastAsia="Cambria" w:hAnsiTheme="minorHAnsi" w:cs="Cambria"/>
          <w:sz w:val="18"/>
          <w:szCs w:val="18"/>
          <w:lang w:val="en-US"/>
        </w:rPr>
      </w:pPr>
      <w:r w:rsidRPr="000D1DE6">
        <w:rPr>
          <w:rFonts w:asciiTheme="minorHAnsi" w:hAnsiTheme="minorHAnsi"/>
          <w:sz w:val="18"/>
          <w:szCs w:val="18"/>
          <w:vertAlign w:val="superscript"/>
          <w:lang w:val="es-MX"/>
        </w:rPr>
        <w:footnoteRef/>
      </w:r>
      <w:r w:rsidRPr="000D1DE6">
        <w:rPr>
          <w:rFonts w:asciiTheme="minorHAnsi" w:eastAsia="Cambria" w:hAnsiTheme="minorHAnsi" w:cs="Cambria"/>
          <w:sz w:val="18"/>
          <w:szCs w:val="18"/>
          <w:lang w:val="en-US"/>
        </w:rPr>
        <w:t xml:space="preserve"> Deutsche Welle (DW), </w:t>
      </w:r>
      <w:hyperlink r:id="rId406">
        <w:r w:rsidRPr="000D1DE6">
          <w:rPr>
            <w:rFonts w:asciiTheme="minorHAnsi" w:eastAsia="Cambria" w:hAnsiTheme="minorHAnsi" w:cs="Cambria"/>
            <w:color w:val="1155CC"/>
            <w:sz w:val="18"/>
            <w:szCs w:val="18"/>
            <w:u w:val="single"/>
            <w:lang w:val="en-US"/>
          </w:rPr>
          <w:t>Pegasus spyware: Mexico one of the biggest targets</w:t>
        </w:r>
      </w:hyperlink>
      <w:r w:rsidRPr="000D1DE6">
        <w:rPr>
          <w:rFonts w:asciiTheme="minorHAnsi" w:eastAsia="Cambria" w:hAnsiTheme="minorHAnsi" w:cs="Cambria"/>
          <w:color w:val="1155CC"/>
          <w:sz w:val="18"/>
          <w:szCs w:val="18"/>
          <w:u w:val="single"/>
          <w:lang w:val="en-US"/>
        </w:rPr>
        <w:t xml:space="preserve">, </w:t>
      </w:r>
      <w:r w:rsidRPr="000D1DE6">
        <w:rPr>
          <w:rFonts w:asciiTheme="minorHAnsi" w:eastAsia="Cambria" w:hAnsiTheme="minorHAnsi" w:cs="Cambria"/>
          <w:sz w:val="18"/>
          <w:szCs w:val="18"/>
          <w:lang w:val="en-US"/>
        </w:rPr>
        <w:t xml:space="preserve">22 de julio de 2021; The Washington Post. </w:t>
      </w:r>
      <w:hyperlink r:id="rId407">
        <w:r w:rsidRPr="000D1DE6">
          <w:rPr>
            <w:rFonts w:asciiTheme="minorHAnsi" w:eastAsia="Cambria" w:hAnsiTheme="minorHAnsi" w:cs="Cambria"/>
            <w:color w:val="1155CC"/>
            <w:sz w:val="18"/>
            <w:szCs w:val="18"/>
            <w:u w:val="single"/>
            <w:lang w:val="en-US"/>
          </w:rPr>
          <w:t>Takeaways from the Pegasus Project</w:t>
        </w:r>
      </w:hyperlink>
      <w:r w:rsidRPr="000D1DE6">
        <w:rPr>
          <w:rFonts w:asciiTheme="minorHAnsi" w:eastAsia="Cambria" w:hAnsiTheme="minorHAnsi" w:cs="Cambria"/>
          <w:sz w:val="18"/>
          <w:szCs w:val="18"/>
          <w:lang w:val="en-US"/>
        </w:rPr>
        <w:t>, 2 de agosto de 2021.</w:t>
      </w:r>
    </w:p>
  </w:footnote>
  <w:footnote w:id="473">
    <w:p w14:paraId="18174476" w14:textId="055B1D6F" w:rsidR="000235D8" w:rsidRPr="000D1DE6" w:rsidRDefault="000235D8" w:rsidP="00F46807">
      <w:pPr>
        <w:spacing w:after="120" w:line="240" w:lineRule="auto"/>
        <w:ind w:firstLine="720"/>
        <w:jc w:val="both"/>
        <w:rPr>
          <w:rFonts w:asciiTheme="minorHAnsi" w:eastAsia="Cambria" w:hAnsiTheme="minorHAnsi" w:cs="Cambria"/>
          <w:sz w:val="18"/>
          <w:szCs w:val="18"/>
          <w:lang w:val="es-MX"/>
        </w:rPr>
      </w:pPr>
      <w:r w:rsidRPr="000D1DE6">
        <w:rPr>
          <w:rFonts w:asciiTheme="minorHAnsi" w:hAnsiTheme="minorHAnsi"/>
          <w:sz w:val="18"/>
          <w:szCs w:val="18"/>
          <w:vertAlign w:val="superscript"/>
          <w:lang w:val="es-MX"/>
        </w:rPr>
        <w:footnoteRef/>
      </w:r>
      <w:r w:rsidRPr="000D1DE6">
        <w:rPr>
          <w:rFonts w:asciiTheme="minorHAnsi" w:eastAsia="Cambria" w:hAnsiTheme="minorHAnsi" w:cs="Cambria"/>
          <w:sz w:val="18"/>
          <w:szCs w:val="18"/>
          <w:lang w:val="en-US"/>
        </w:rPr>
        <w:t xml:space="preserve"> The Washington Post, </w:t>
      </w:r>
      <w:hyperlink r:id="rId408">
        <w:r w:rsidRPr="000D1DE6">
          <w:rPr>
            <w:rFonts w:asciiTheme="minorHAnsi" w:eastAsia="Cambria" w:hAnsiTheme="minorHAnsi" w:cs="Cambria"/>
            <w:color w:val="1155CC"/>
            <w:sz w:val="18"/>
            <w:szCs w:val="18"/>
            <w:u w:val="single"/>
            <w:lang w:val="en-US"/>
          </w:rPr>
          <w:t xml:space="preserve">A lawyer fought for justice after a Mexican massacre. </w:t>
        </w:r>
        <w:r w:rsidRPr="000D1DE6">
          <w:rPr>
            <w:rFonts w:asciiTheme="minorHAnsi" w:eastAsia="Cambria" w:hAnsiTheme="minorHAnsi" w:cs="Cambria"/>
            <w:color w:val="1155CC"/>
            <w:sz w:val="18"/>
            <w:szCs w:val="18"/>
            <w:u w:val="single"/>
            <w:lang w:val="es-MX"/>
          </w:rPr>
          <w:t>Then the government made her a suspect</w:t>
        </w:r>
      </w:hyperlink>
      <w:r w:rsidRPr="000D1DE6">
        <w:rPr>
          <w:rFonts w:asciiTheme="minorHAnsi" w:eastAsia="Cambria" w:hAnsiTheme="minorHAnsi" w:cs="Cambria"/>
          <w:color w:val="1155CC"/>
          <w:sz w:val="18"/>
          <w:szCs w:val="18"/>
          <w:u w:val="single"/>
          <w:lang w:val="es-MX"/>
        </w:rPr>
        <w:t xml:space="preserve">, </w:t>
      </w:r>
      <w:r w:rsidRPr="000D1DE6">
        <w:rPr>
          <w:rFonts w:asciiTheme="minorHAnsi" w:eastAsia="Cambria" w:hAnsiTheme="minorHAnsi" w:cs="Cambria"/>
          <w:sz w:val="18"/>
          <w:szCs w:val="18"/>
          <w:lang w:val="es-MX"/>
        </w:rPr>
        <w:t xml:space="preserve">23 de noviembre de 2021; El País, </w:t>
      </w:r>
      <w:hyperlink r:id="rId409">
        <w:r w:rsidRPr="000D1DE6">
          <w:rPr>
            <w:rFonts w:asciiTheme="minorHAnsi" w:eastAsia="Cambria" w:hAnsiTheme="minorHAnsi" w:cs="Cambria"/>
            <w:color w:val="1155CC"/>
            <w:sz w:val="18"/>
            <w:szCs w:val="18"/>
            <w:u w:val="single"/>
            <w:lang w:val="es-MX"/>
          </w:rPr>
          <w:t>Tres investigadoras de la masacre de San Fernando denuncian que fueron espiadas por el Gobierno de Peña Nieto</w:t>
        </w:r>
      </w:hyperlink>
      <w:r w:rsidRPr="000D1DE6">
        <w:rPr>
          <w:rFonts w:asciiTheme="minorHAnsi" w:eastAsia="Cambria" w:hAnsiTheme="minorHAnsi" w:cs="Cambria"/>
          <w:color w:val="1155CC"/>
          <w:sz w:val="18"/>
          <w:szCs w:val="18"/>
          <w:u w:val="single"/>
          <w:lang w:val="es-MX"/>
        </w:rPr>
        <w:t xml:space="preserve">, </w:t>
      </w:r>
      <w:r w:rsidRPr="000D1DE6">
        <w:rPr>
          <w:rFonts w:asciiTheme="minorHAnsi" w:eastAsia="Cambria" w:hAnsiTheme="minorHAnsi" w:cs="Cambria"/>
          <w:sz w:val="18"/>
          <w:szCs w:val="18"/>
          <w:lang w:val="es-MX"/>
        </w:rPr>
        <w:t xml:space="preserve">24 de noviembre de 2021; El Economista, </w:t>
      </w:r>
      <w:hyperlink r:id="rId410">
        <w:r w:rsidRPr="000D1DE6">
          <w:rPr>
            <w:rFonts w:asciiTheme="minorHAnsi" w:eastAsia="Cambria" w:hAnsiTheme="minorHAnsi" w:cs="Cambria"/>
            <w:color w:val="1155CC"/>
            <w:sz w:val="18"/>
            <w:szCs w:val="18"/>
            <w:u w:val="single"/>
            <w:lang w:val="es-MX"/>
          </w:rPr>
          <w:t>Investigadores de desapariciones forzadas denuncian espionaje de la PGR en caso San Fernando</w:t>
        </w:r>
      </w:hyperlink>
      <w:r w:rsidRPr="000D1DE6">
        <w:rPr>
          <w:rFonts w:asciiTheme="minorHAnsi" w:eastAsia="Cambria" w:hAnsiTheme="minorHAnsi" w:cs="Cambria"/>
          <w:sz w:val="18"/>
          <w:szCs w:val="18"/>
          <w:lang w:val="es-MX"/>
        </w:rPr>
        <w:t>, 24 de noviembre de 2021.</w:t>
      </w:r>
    </w:p>
  </w:footnote>
  <w:footnote w:id="474">
    <w:p w14:paraId="4FAA1A50" w14:textId="4171921A" w:rsidR="000235D8" w:rsidRPr="000D1DE6" w:rsidRDefault="000235D8" w:rsidP="00F46807">
      <w:pPr>
        <w:spacing w:after="120" w:line="240" w:lineRule="auto"/>
        <w:ind w:firstLine="720"/>
        <w:jc w:val="both"/>
        <w:rPr>
          <w:rFonts w:asciiTheme="minorHAnsi" w:hAnsiTheme="minorHAnsi"/>
          <w:sz w:val="18"/>
          <w:szCs w:val="18"/>
          <w:lang w:val="es-MX"/>
        </w:rPr>
      </w:pPr>
      <w:r w:rsidRPr="000D1DE6">
        <w:rPr>
          <w:rFonts w:asciiTheme="minorHAnsi" w:hAnsiTheme="minorHAnsi"/>
          <w:sz w:val="18"/>
          <w:szCs w:val="18"/>
          <w:vertAlign w:val="superscript"/>
          <w:lang w:val="es-MX"/>
        </w:rPr>
        <w:footnoteRef/>
      </w:r>
      <w:r w:rsidRPr="000D1DE6">
        <w:rPr>
          <w:rFonts w:asciiTheme="minorHAnsi" w:eastAsia="Cambria" w:hAnsiTheme="minorHAnsi" w:cs="Cambria"/>
          <w:sz w:val="18"/>
          <w:szCs w:val="18"/>
          <w:lang w:val="es-MX"/>
        </w:rPr>
        <w:t xml:space="preserve"> CIDH, Audiencia Pública, </w:t>
      </w:r>
      <w:hyperlink r:id="rId411">
        <w:r w:rsidRPr="000D1DE6">
          <w:rPr>
            <w:rFonts w:asciiTheme="minorHAnsi" w:eastAsia="Cambria" w:hAnsiTheme="minorHAnsi" w:cs="Cambria"/>
            <w:color w:val="1155CC"/>
            <w:sz w:val="18"/>
            <w:szCs w:val="18"/>
            <w:u w:val="single"/>
            <w:lang w:val="es-MX"/>
          </w:rPr>
          <w:t>Protección de los derechos humanos de las personas defensoras y comunicadoras en México</w:t>
        </w:r>
      </w:hyperlink>
      <w:r w:rsidRPr="000D1DE6">
        <w:rPr>
          <w:rFonts w:asciiTheme="minorHAnsi" w:eastAsia="Cambria" w:hAnsiTheme="minorHAnsi" w:cs="Cambria"/>
          <w:sz w:val="18"/>
          <w:szCs w:val="18"/>
          <w:lang w:val="es-MX"/>
        </w:rPr>
        <w:t>, 180 período de sesiones, Washington, D.C., 1 de julio de 2021.</w:t>
      </w:r>
    </w:p>
  </w:footnote>
  <w:footnote w:id="475">
    <w:p w14:paraId="4BC058C9" w14:textId="3D03EC2C" w:rsidR="000235D8" w:rsidRPr="000D1DE6" w:rsidRDefault="000235D8" w:rsidP="00F46807">
      <w:pPr>
        <w:pStyle w:val="FootnoteText"/>
        <w:spacing w:after="120"/>
        <w:ind w:firstLine="720"/>
        <w:rPr>
          <w:rFonts w:asciiTheme="minorHAnsi" w:hAnsiTheme="minorHAnsi"/>
          <w:lang w:val="es-MX"/>
        </w:rPr>
      </w:pPr>
      <w:r w:rsidRPr="000D1DE6">
        <w:rPr>
          <w:rStyle w:val="FootnoteReference"/>
          <w:rFonts w:asciiTheme="minorHAnsi" w:hAnsiTheme="minorHAnsi"/>
          <w:lang w:val="es-MX"/>
        </w:rPr>
        <w:footnoteRef/>
      </w:r>
      <w:r w:rsidRPr="000D1DE6">
        <w:rPr>
          <w:rFonts w:asciiTheme="minorHAnsi" w:hAnsiTheme="minorHAnsi"/>
          <w:lang w:val="es-MX"/>
        </w:rPr>
        <w:t xml:space="preserve"> Noveno Informe del Estado mexicano sobre el cumplimiento y seguimiento de las recomendaciones contenidas en el informe “Situación de los Derechos Humanos en México”, pág. 87. </w:t>
      </w:r>
    </w:p>
  </w:footnote>
  <w:footnote w:id="476">
    <w:p w14:paraId="2D1AFC2D" w14:textId="6C913B80" w:rsidR="000235D8" w:rsidRPr="000D1DE6" w:rsidRDefault="000235D8" w:rsidP="00F46807">
      <w:pPr>
        <w:pStyle w:val="FootnoteText"/>
        <w:spacing w:after="120"/>
        <w:ind w:firstLine="720"/>
        <w:rPr>
          <w:rFonts w:asciiTheme="minorHAnsi" w:hAnsiTheme="minorHAnsi"/>
          <w:lang w:val="es-MX"/>
        </w:rPr>
      </w:pPr>
      <w:r w:rsidRPr="000D1DE6">
        <w:rPr>
          <w:rStyle w:val="FootnoteReference"/>
          <w:rFonts w:asciiTheme="minorHAnsi" w:hAnsiTheme="minorHAnsi"/>
          <w:lang w:val="es-MX"/>
        </w:rPr>
        <w:footnoteRef/>
      </w:r>
      <w:r w:rsidRPr="000D1DE6">
        <w:rPr>
          <w:rFonts w:asciiTheme="minorHAnsi" w:hAnsiTheme="minorHAnsi"/>
          <w:lang w:val="es-MX"/>
        </w:rPr>
        <w:t xml:space="preserve"> Noveno Informe del Estado mexicano sobre el cumplimiento y seguimiento de las recomendaciones contenidas en el informe “Situación de los Derechos Humanos en México”, pág. 88. </w:t>
      </w:r>
    </w:p>
  </w:footnote>
  <w:footnote w:id="477">
    <w:p w14:paraId="7F490610" w14:textId="6A288E1D" w:rsidR="000235D8" w:rsidRPr="000D1DE6" w:rsidRDefault="000235D8" w:rsidP="00F46807">
      <w:pPr>
        <w:pStyle w:val="FootnoteText"/>
        <w:spacing w:after="120"/>
        <w:ind w:firstLine="720"/>
        <w:rPr>
          <w:rFonts w:asciiTheme="minorHAnsi" w:hAnsiTheme="minorHAnsi"/>
          <w:lang w:val="es-MX"/>
        </w:rPr>
      </w:pPr>
      <w:r w:rsidRPr="000D1DE6">
        <w:rPr>
          <w:rStyle w:val="FootnoteReference"/>
          <w:rFonts w:asciiTheme="minorHAnsi" w:hAnsiTheme="minorHAnsi"/>
          <w:lang w:val="es-MX"/>
        </w:rPr>
        <w:footnoteRef/>
      </w:r>
      <w:r w:rsidRPr="000D1DE6">
        <w:rPr>
          <w:rFonts w:asciiTheme="minorHAnsi" w:hAnsiTheme="minorHAnsi"/>
          <w:lang w:val="es-MX"/>
        </w:rPr>
        <w:t xml:space="preserve"> Noveno Informe del Estado mexicano sobre el cumplimiento y seguimiento de las recomendaciones contenidas en el informe “Situación de los Derechos Humanos en México”, pág. 89. </w:t>
      </w:r>
    </w:p>
  </w:footnote>
  <w:footnote w:id="478">
    <w:p w14:paraId="2F7A8B1A" w14:textId="43218CD5" w:rsidR="000235D8" w:rsidRPr="000D1DE6" w:rsidRDefault="000235D8" w:rsidP="00F46807">
      <w:pPr>
        <w:pStyle w:val="FootnoteText"/>
        <w:spacing w:after="120"/>
        <w:ind w:firstLine="720"/>
        <w:rPr>
          <w:rFonts w:asciiTheme="minorHAnsi" w:hAnsiTheme="minorHAnsi"/>
          <w:lang w:val="es-MX"/>
        </w:rPr>
      </w:pPr>
      <w:r w:rsidRPr="000D1DE6">
        <w:rPr>
          <w:rStyle w:val="FootnoteReference"/>
          <w:rFonts w:asciiTheme="minorHAnsi" w:hAnsiTheme="minorHAnsi"/>
          <w:lang w:val="es-MX"/>
        </w:rPr>
        <w:footnoteRef/>
      </w:r>
      <w:r w:rsidRPr="000D1DE6">
        <w:rPr>
          <w:rFonts w:asciiTheme="minorHAnsi" w:hAnsiTheme="minorHAnsi"/>
          <w:lang w:val="es-MX"/>
        </w:rPr>
        <w:t xml:space="preserve"> Noveno Informe del Estado mexicano sobre el cumplimiento y seguimiento de las recomendaciones contenidas en el informe “Situación de los Derechos Humanos en México”, pág. 89. </w:t>
      </w:r>
    </w:p>
  </w:footnote>
  <w:footnote w:id="479">
    <w:p w14:paraId="0B371E85" w14:textId="29C019EE" w:rsidR="000235D8" w:rsidRPr="000D1DE6" w:rsidRDefault="000235D8" w:rsidP="00F46807">
      <w:pPr>
        <w:pStyle w:val="FootnoteText"/>
        <w:spacing w:after="120"/>
        <w:ind w:firstLine="720"/>
        <w:rPr>
          <w:rFonts w:asciiTheme="minorHAnsi" w:hAnsiTheme="minorHAnsi"/>
          <w:lang w:val="es-MX"/>
        </w:rPr>
      </w:pPr>
      <w:r w:rsidRPr="000D1DE6">
        <w:rPr>
          <w:rStyle w:val="FootnoteReference"/>
          <w:rFonts w:asciiTheme="minorHAnsi" w:hAnsiTheme="minorHAnsi"/>
          <w:lang w:val="es-MX"/>
        </w:rPr>
        <w:footnoteRef/>
      </w:r>
      <w:r w:rsidRPr="000D1DE6">
        <w:rPr>
          <w:rFonts w:asciiTheme="minorHAnsi" w:hAnsiTheme="minorHAnsi"/>
          <w:lang w:val="es-MX"/>
        </w:rPr>
        <w:t xml:space="preserve"> Noveno Informe del Estado mexicano sobre el cumplimiento y seguimiento de las recomendaciones contenidas en el informe “Situación de los Derechos Humanos en México”, pág. 90. </w:t>
      </w:r>
    </w:p>
  </w:footnote>
  <w:footnote w:id="480">
    <w:p w14:paraId="5C9A7F06" w14:textId="6F2E1988" w:rsidR="000235D8" w:rsidRPr="000D1DE6" w:rsidRDefault="000235D8" w:rsidP="00F46807">
      <w:pPr>
        <w:pStyle w:val="FootnoteText"/>
        <w:spacing w:after="120"/>
        <w:ind w:firstLine="720"/>
        <w:rPr>
          <w:rFonts w:asciiTheme="minorHAnsi" w:hAnsiTheme="minorHAnsi"/>
          <w:lang w:val="es-MX"/>
        </w:rPr>
      </w:pPr>
      <w:r w:rsidRPr="000D1DE6">
        <w:rPr>
          <w:rStyle w:val="FootnoteReference"/>
          <w:rFonts w:asciiTheme="minorHAnsi" w:hAnsiTheme="minorHAnsi"/>
          <w:lang w:val="es-MX"/>
        </w:rPr>
        <w:footnoteRef/>
      </w:r>
      <w:r w:rsidRPr="000D1DE6">
        <w:rPr>
          <w:rFonts w:asciiTheme="minorHAnsi" w:hAnsiTheme="minorHAnsi"/>
          <w:lang w:val="es-MX"/>
        </w:rPr>
        <w:t xml:space="preserve"> Noveno Informe del Estado mexicano sobre el cumplimiento y seguimiento de las recomendaciones contenidas en el informe “Situación de los Derechos Humanos en México”, pág. 90. </w:t>
      </w:r>
    </w:p>
  </w:footnote>
  <w:footnote w:id="481">
    <w:p w14:paraId="2E07F78D" w14:textId="1ABF7CB0" w:rsidR="000235D8" w:rsidRPr="000D1DE6" w:rsidRDefault="000235D8" w:rsidP="00F46807">
      <w:pPr>
        <w:pBdr>
          <w:top w:val="nil"/>
          <w:left w:val="nil"/>
          <w:bottom w:val="nil"/>
          <w:right w:val="nil"/>
          <w:between w:val="nil"/>
        </w:pBdr>
        <w:spacing w:after="120" w:line="240" w:lineRule="auto"/>
        <w:ind w:firstLine="720"/>
        <w:jc w:val="both"/>
        <w:rPr>
          <w:rFonts w:asciiTheme="minorHAnsi" w:hAnsiTheme="minorHAnsi"/>
          <w:sz w:val="18"/>
          <w:szCs w:val="18"/>
          <w:lang w:val="es-MX"/>
        </w:rPr>
      </w:pPr>
      <w:r w:rsidRPr="000D1DE6">
        <w:rPr>
          <w:rFonts w:asciiTheme="minorHAnsi" w:hAnsiTheme="minorHAnsi"/>
          <w:sz w:val="18"/>
          <w:szCs w:val="18"/>
          <w:vertAlign w:val="superscript"/>
          <w:lang w:val="es-MX"/>
        </w:rPr>
        <w:footnoteRef/>
      </w:r>
      <w:r w:rsidRPr="000D1DE6">
        <w:rPr>
          <w:rFonts w:asciiTheme="minorHAnsi" w:eastAsia="Cambria" w:hAnsiTheme="minorHAnsi" w:cs="Cambria"/>
          <w:sz w:val="18"/>
          <w:szCs w:val="18"/>
          <w:lang w:val="es-MX"/>
        </w:rPr>
        <w:t xml:space="preserve"> Unesco, </w:t>
      </w:r>
      <w:hyperlink r:id="rId412">
        <w:r w:rsidRPr="000D1DE6">
          <w:rPr>
            <w:rFonts w:asciiTheme="minorHAnsi" w:eastAsia="Cambria" w:hAnsiTheme="minorHAnsi" w:cs="Cambria"/>
            <w:i/>
            <w:color w:val="1155CC"/>
            <w:sz w:val="18"/>
            <w:szCs w:val="18"/>
            <w:u w:val="single"/>
            <w:lang w:val="es-MX"/>
          </w:rPr>
          <w:t>Condenas recientes resaltan la labor de la Fiscalía de México dedicada a los delitos contra la libertad de expresión</w:t>
        </w:r>
      </w:hyperlink>
      <w:r w:rsidRPr="000D1DE6">
        <w:rPr>
          <w:rFonts w:asciiTheme="minorHAnsi" w:eastAsia="Cambria" w:hAnsiTheme="minorHAnsi" w:cs="Cambria"/>
          <w:sz w:val="18"/>
          <w:szCs w:val="18"/>
          <w:lang w:val="es-MX"/>
        </w:rPr>
        <w:t>, 22 de julio de 2021.</w:t>
      </w:r>
    </w:p>
  </w:footnote>
  <w:footnote w:id="482">
    <w:p w14:paraId="02B0A50F" w14:textId="70703FB1" w:rsidR="000235D8" w:rsidRPr="000D1DE6" w:rsidRDefault="000235D8" w:rsidP="00F46807">
      <w:pPr>
        <w:spacing w:after="120" w:line="240" w:lineRule="auto"/>
        <w:ind w:firstLine="720"/>
        <w:jc w:val="both"/>
        <w:rPr>
          <w:rFonts w:asciiTheme="minorHAnsi" w:eastAsia="Cambria" w:hAnsiTheme="minorHAnsi" w:cs="Cambria"/>
          <w:sz w:val="18"/>
          <w:szCs w:val="18"/>
          <w:lang w:val="es-MX"/>
        </w:rPr>
      </w:pPr>
      <w:r w:rsidRPr="000D1DE6">
        <w:rPr>
          <w:rFonts w:asciiTheme="minorHAnsi" w:hAnsiTheme="minorHAnsi"/>
          <w:sz w:val="18"/>
          <w:szCs w:val="18"/>
          <w:vertAlign w:val="superscript"/>
          <w:lang w:val="es-MX"/>
        </w:rPr>
        <w:footnoteRef/>
      </w:r>
      <w:r w:rsidRPr="000D1DE6">
        <w:rPr>
          <w:rFonts w:asciiTheme="minorHAnsi" w:eastAsia="Cambria" w:hAnsiTheme="minorHAnsi" w:cs="Cambria"/>
          <w:sz w:val="18"/>
          <w:szCs w:val="18"/>
          <w:lang w:val="es-MX"/>
        </w:rPr>
        <w:t xml:space="preserve"> Animal Político, </w:t>
      </w:r>
      <w:hyperlink r:id="rId413">
        <w:r w:rsidRPr="000D1DE6">
          <w:rPr>
            <w:rFonts w:asciiTheme="minorHAnsi" w:eastAsia="Cambria" w:hAnsiTheme="minorHAnsi" w:cs="Cambria"/>
            <w:color w:val="1155CC"/>
            <w:sz w:val="18"/>
            <w:szCs w:val="18"/>
            <w:u w:val="single"/>
            <w:lang w:val="es-MX"/>
          </w:rPr>
          <w:t>Sentencian a 8 años a exalcalde panista por el asesinato de la periodista Miroslava Breach en Chihuahua</w:t>
        </w:r>
      </w:hyperlink>
      <w:r w:rsidRPr="000D1DE6">
        <w:rPr>
          <w:rFonts w:asciiTheme="minorHAnsi" w:eastAsia="Cambria" w:hAnsiTheme="minorHAnsi" w:cs="Cambria"/>
          <w:color w:val="1155CC"/>
          <w:sz w:val="18"/>
          <w:szCs w:val="18"/>
          <w:u w:val="single"/>
          <w:lang w:val="es-MX"/>
        </w:rPr>
        <w:t xml:space="preserve">, </w:t>
      </w:r>
      <w:r w:rsidRPr="000D1DE6">
        <w:rPr>
          <w:rFonts w:asciiTheme="minorHAnsi" w:eastAsia="Cambria" w:hAnsiTheme="minorHAnsi" w:cs="Cambria"/>
          <w:sz w:val="18"/>
          <w:szCs w:val="18"/>
          <w:lang w:val="es-MX"/>
        </w:rPr>
        <w:t xml:space="preserve">15 de junio de 2021; Propuesta Cívica, </w:t>
      </w:r>
      <w:hyperlink r:id="rId414">
        <w:r w:rsidRPr="000D1DE6">
          <w:rPr>
            <w:rFonts w:asciiTheme="minorHAnsi" w:eastAsia="Cambria" w:hAnsiTheme="minorHAnsi" w:cs="Cambria"/>
            <w:color w:val="1155CC"/>
            <w:sz w:val="18"/>
            <w:szCs w:val="18"/>
            <w:u w:val="single"/>
            <w:lang w:val="es-MX"/>
          </w:rPr>
          <w:t>Condenan a Hugo Amed Schultz Alcaraz por el homicidio de la periodista Miroslava Breach Velducea</w:t>
        </w:r>
      </w:hyperlink>
      <w:r w:rsidRPr="000D1DE6">
        <w:rPr>
          <w:rFonts w:asciiTheme="minorHAnsi" w:eastAsia="Cambria" w:hAnsiTheme="minorHAnsi" w:cs="Cambria"/>
          <w:color w:val="1155CC"/>
          <w:sz w:val="18"/>
          <w:szCs w:val="18"/>
          <w:u w:val="single"/>
          <w:lang w:val="es-MX"/>
        </w:rPr>
        <w:t xml:space="preserve">, </w:t>
      </w:r>
      <w:r w:rsidRPr="000D1DE6">
        <w:rPr>
          <w:rFonts w:asciiTheme="minorHAnsi" w:eastAsia="Cambria" w:hAnsiTheme="minorHAnsi" w:cs="Cambria"/>
          <w:sz w:val="18"/>
          <w:szCs w:val="18"/>
          <w:lang w:val="es-MX"/>
        </w:rPr>
        <w:t xml:space="preserve">15 de junio de 2021; El Sol de México, </w:t>
      </w:r>
      <w:hyperlink r:id="rId415">
        <w:r w:rsidRPr="000D1DE6">
          <w:rPr>
            <w:rFonts w:asciiTheme="minorHAnsi" w:eastAsia="Cambria" w:hAnsiTheme="minorHAnsi" w:cs="Cambria"/>
            <w:color w:val="1155CC"/>
            <w:sz w:val="18"/>
            <w:szCs w:val="18"/>
            <w:u w:val="single"/>
            <w:lang w:val="es-MX"/>
          </w:rPr>
          <w:t>Condenan a prisión a exalcalde mexicano por el asesinato de la periodista Miroslava Breach</w:t>
        </w:r>
      </w:hyperlink>
      <w:r w:rsidRPr="000D1DE6">
        <w:rPr>
          <w:rFonts w:asciiTheme="minorHAnsi" w:eastAsia="Cambria" w:hAnsiTheme="minorHAnsi" w:cs="Cambria"/>
          <w:sz w:val="18"/>
          <w:szCs w:val="18"/>
          <w:lang w:val="es-MX"/>
        </w:rPr>
        <w:t>, 15 de junio de 2021.</w:t>
      </w:r>
    </w:p>
  </w:footnote>
  <w:footnote w:id="483">
    <w:p w14:paraId="4DB8D2D7" w14:textId="559328F5" w:rsidR="000235D8" w:rsidRPr="000D1DE6" w:rsidRDefault="000235D8" w:rsidP="00F46807">
      <w:pPr>
        <w:spacing w:after="120" w:line="240" w:lineRule="auto"/>
        <w:ind w:firstLine="720"/>
        <w:jc w:val="both"/>
        <w:rPr>
          <w:rFonts w:asciiTheme="minorHAnsi" w:eastAsia="Cambria" w:hAnsiTheme="minorHAnsi" w:cs="Cambria"/>
          <w:sz w:val="18"/>
          <w:szCs w:val="18"/>
          <w:lang w:val="es-MX"/>
        </w:rPr>
      </w:pPr>
      <w:r w:rsidRPr="000D1DE6">
        <w:rPr>
          <w:rFonts w:asciiTheme="minorHAnsi" w:hAnsiTheme="minorHAnsi"/>
          <w:sz w:val="18"/>
          <w:szCs w:val="18"/>
          <w:vertAlign w:val="superscript"/>
          <w:lang w:val="es-MX"/>
        </w:rPr>
        <w:footnoteRef/>
      </w:r>
      <w:r w:rsidRPr="000D1DE6">
        <w:rPr>
          <w:rFonts w:asciiTheme="minorHAnsi" w:eastAsia="Cambria" w:hAnsiTheme="minorHAnsi" w:cs="Cambria"/>
          <w:sz w:val="18"/>
          <w:szCs w:val="18"/>
          <w:lang w:val="es-MX"/>
        </w:rPr>
        <w:t xml:space="preserve"> Propuesta Cívica, </w:t>
      </w:r>
      <w:hyperlink r:id="rId416">
        <w:r w:rsidRPr="000D1DE6">
          <w:rPr>
            <w:rFonts w:asciiTheme="minorHAnsi" w:eastAsia="Cambria" w:hAnsiTheme="minorHAnsi" w:cs="Cambria"/>
            <w:color w:val="1155CC"/>
            <w:sz w:val="18"/>
            <w:szCs w:val="18"/>
            <w:u w:val="single"/>
            <w:lang w:val="es-MX"/>
          </w:rPr>
          <w:t>Fallo condenatorio para Juan Francisco Picos Barrueta alias "El Quillo" por su participación en el asesinato del periodista Javier Valdez</w:t>
        </w:r>
      </w:hyperlink>
      <w:r w:rsidRPr="000D1DE6">
        <w:rPr>
          <w:rFonts w:asciiTheme="minorHAnsi" w:eastAsia="Cambria" w:hAnsiTheme="minorHAnsi" w:cs="Cambria"/>
          <w:color w:val="1155CC"/>
          <w:sz w:val="18"/>
          <w:szCs w:val="18"/>
          <w:u w:val="single"/>
          <w:lang w:val="es-MX"/>
        </w:rPr>
        <w:t xml:space="preserve">, </w:t>
      </w:r>
      <w:r w:rsidRPr="000D1DE6">
        <w:rPr>
          <w:rFonts w:asciiTheme="minorHAnsi" w:eastAsia="Cambria" w:hAnsiTheme="minorHAnsi" w:cs="Cambria"/>
          <w:sz w:val="18"/>
          <w:szCs w:val="18"/>
          <w:lang w:val="es-MX"/>
        </w:rPr>
        <w:t xml:space="preserve">8 de junio de 2021; El País, </w:t>
      </w:r>
      <w:hyperlink r:id="rId417">
        <w:r w:rsidRPr="000D1DE6">
          <w:rPr>
            <w:rFonts w:asciiTheme="minorHAnsi" w:eastAsia="Cambria" w:hAnsiTheme="minorHAnsi" w:cs="Cambria"/>
            <w:color w:val="1155CC"/>
            <w:sz w:val="18"/>
            <w:szCs w:val="18"/>
            <w:u w:val="single"/>
            <w:lang w:val="es-MX"/>
          </w:rPr>
          <w:t>Condenado El Quillo por el asesinato del periodista Javier Valdez</w:t>
        </w:r>
      </w:hyperlink>
      <w:r w:rsidRPr="000D1DE6">
        <w:rPr>
          <w:rFonts w:asciiTheme="minorHAnsi" w:eastAsia="Cambria" w:hAnsiTheme="minorHAnsi" w:cs="Cambria"/>
          <w:color w:val="1155CC"/>
          <w:sz w:val="18"/>
          <w:szCs w:val="18"/>
          <w:u w:val="single"/>
          <w:lang w:val="es-MX"/>
        </w:rPr>
        <w:t xml:space="preserve">, </w:t>
      </w:r>
      <w:r w:rsidRPr="000D1DE6">
        <w:rPr>
          <w:rFonts w:asciiTheme="minorHAnsi" w:eastAsia="Cambria" w:hAnsiTheme="minorHAnsi" w:cs="Cambria"/>
          <w:sz w:val="18"/>
          <w:szCs w:val="18"/>
          <w:lang w:val="es-MX"/>
        </w:rPr>
        <w:t xml:space="preserve">8 de junio de 2021; CPJ, </w:t>
      </w:r>
      <w:hyperlink r:id="rId418">
        <w:r w:rsidRPr="000D1DE6">
          <w:rPr>
            <w:rFonts w:asciiTheme="minorHAnsi" w:eastAsia="Cambria" w:hAnsiTheme="minorHAnsi" w:cs="Cambria"/>
            <w:color w:val="1155CC"/>
            <w:sz w:val="18"/>
            <w:szCs w:val="18"/>
            <w:u w:val="single"/>
            <w:lang w:val="es-MX"/>
          </w:rPr>
          <w:t>CPJ welcomes 2nd conviction in case of slain Mexican journalist Javier Valdez Cárdenas</w:t>
        </w:r>
      </w:hyperlink>
      <w:r w:rsidRPr="000D1DE6">
        <w:rPr>
          <w:rFonts w:asciiTheme="minorHAnsi" w:eastAsia="Cambria" w:hAnsiTheme="minorHAnsi" w:cs="Cambria"/>
          <w:sz w:val="18"/>
          <w:szCs w:val="18"/>
          <w:lang w:val="es-MX"/>
        </w:rPr>
        <w:t>, 9 de junio de 2021.</w:t>
      </w:r>
    </w:p>
  </w:footnote>
  <w:footnote w:id="484">
    <w:p w14:paraId="467D6A42" w14:textId="7C461329" w:rsidR="000235D8" w:rsidRPr="000D1DE6" w:rsidRDefault="000235D8" w:rsidP="00F46807">
      <w:pPr>
        <w:spacing w:after="120" w:line="240" w:lineRule="auto"/>
        <w:ind w:firstLine="720"/>
        <w:jc w:val="both"/>
        <w:rPr>
          <w:rFonts w:asciiTheme="minorHAnsi" w:hAnsiTheme="minorHAnsi"/>
          <w:sz w:val="18"/>
          <w:szCs w:val="18"/>
          <w:lang w:val="es-MX"/>
        </w:rPr>
      </w:pPr>
      <w:r w:rsidRPr="000D1DE6">
        <w:rPr>
          <w:rFonts w:asciiTheme="minorHAnsi" w:hAnsiTheme="minorHAnsi"/>
          <w:sz w:val="18"/>
          <w:szCs w:val="18"/>
          <w:vertAlign w:val="superscript"/>
          <w:lang w:val="es-MX"/>
        </w:rPr>
        <w:footnoteRef/>
      </w:r>
      <w:r w:rsidRPr="000D1DE6">
        <w:rPr>
          <w:rFonts w:asciiTheme="minorHAnsi" w:eastAsia="Cambria" w:hAnsiTheme="minorHAnsi" w:cs="Cambria"/>
          <w:sz w:val="18"/>
          <w:szCs w:val="18"/>
          <w:lang w:val="es-MX"/>
        </w:rPr>
        <w:t xml:space="preserve"> CIDH, Relatoría Especial para la Libertad de Expresión. </w:t>
      </w:r>
      <w:hyperlink r:id="rId419">
        <w:r w:rsidRPr="000D1DE6">
          <w:rPr>
            <w:rFonts w:asciiTheme="minorHAnsi" w:eastAsia="Cambria" w:hAnsiTheme="minorHAnsi" w:cs="Cambria"/>
            <w:color w:val="1155CC"/>
            <w:sz w:val="18"/>
            <w:szCs w:val="18"/>
            <w:u w:val="single"/>
            <w:lang w:val="es-MX"/>
          </w:rPr>
          <w:t>Informe Especial sobre la Situación de la Libertad de Expresión en México</w:t>
        </w:r>
      </w:hyperlink>
      <w:r w:rsidRPr="000D1DE6">
        <w:rPr>
          <w:rFonts w:asciiTheme="minorHAnsi" w:eastAsia="Cambria" w:hAnsiTheme="minorHAnsi" w:cs="Cambria"/>
          <w:sz w:val="18"/>
          <w:szCs w:val="18"/>
          <w:lang w:val="es-MX"/>
        </w:rPr>
        <w:t>, junio 2018, párr. 48.</w:t>
      </w:r>
    </w:p>
  </w:footnote>
  <w:footnote w:id="485">
    <w:p w14:paraId="546242E3" w14:textId="3A1264B8" w:rsidR="000235D8" w:rsidRPr="000D1DE6" w:rsidRDefault="000235D8" w:rsidP="00F46807">
      <w:pPr>
        <w:pBdr>
          <w:top w:val="nil"/>
          <w:left w:val="nil"/>
          <w:bottom w:val="nil"/>
          <w:right w:val="nil"/>
          <w:between w:val="nil"/>
        </w:pBdr>
        <w:spacing w:after="120" w:line="240" w:lineRule="auto"/>
        <w:ind w:firstLine="720"/>
        <w:jc w:val="both"/>
        <w:rPr>
          <w:rFonts w:asciiTheme="minorHAnsi" w:eastAsia="Cambria" w:hAnsiTheme="minorHAnsi" w:cs="Cambria"/>
          <w:sz w:val="18"/>
          <w:szCs w:val="18"/>
          <w:lang w:val="es-MX"/>
        </w:rPr>
      </w:pPr>
      <w:r w:rsidRPr="000D1DE6">
        <w:rPr>
          <w:rFonts w:asciiTheme="minorHAnsi" w:hAnsiTheme="minorHAnsi"/>
          <w:sz w:val="18"/>
          <w:szCs w:val="18"/>
          <w:vertAlign w:val="superscript"/>
          <w:lang w:val="es-MX"/>
        </w:rPr>
        <w:footnoteRef/>
      </w:r>
      <w:r w:rsidRPr="000D1DE6">
        <w:rPr>
          <w:rFonts w:asciiTheme="minorHAnsi" w:eastAsia="Cambria" w:hAnsiTheme="minorHAnsi" w:cs="Cambria"/>
          <w:sz w:val="18"/>
          <w:szCs w:val="18"/>
          <w:lang w:val="es-MX"/>
        </w:rPr>
        <w:t xml:space="preserve"> Fiscalía General de la República de México. </w:t>
      </w:r>
      <w:hyperlink r:id="rId420">
        <w:r w:rsidRPr="000D1DE6">
          <w:rPr>
            <w:rFonts w:asciiTheme="minorHAnsi" w:eastAsia="Cambria" w:hAnsiTheme="minorHAnsi" w:cs="Cambria"/>
            <w:color w:val="1155CC"/>
            <w:sz w:val="18"/>
            <w:szCs w:val="18"/>
            <w:u w:val="single"/>
            <w:lang w:val="es-MX"/>
          </w:rPr>
          <w:t>Informe estadístico. Actualizado al mes de septiembre de 2021</w:t>
        </w:r>
      </w:hyperlink>
      <w:r w:rsidRPr="000D1DE6">
        <w:rPr>
          <w:rFonts w:asciiTheme="minorHAnsi" w:eastAsia="Cambria" w:hAnsiTheme="minorHAnsi" w:cs="Cambria"/>
          <w:sz w:val="18"/>
          <w:szCs w:val="18"/>
          <w:lang w:val="es-MX"/>
        </w:rPr>
        <w:t xml:space="preserve">; El Financiero, </w:t>
      </w:r>
      <w:hyperlink r:id="rId421">
        <w:r w:rsidRPr="000D1DE6">
          <w:rPr>
            <w:rFonts w:asciiTheme="minorHAnsi" w:eastAsia="Cambria" w:hAnsiTheme="minorHAnsi" w:cs="Cambria"/>
            <w:color w:val="1155CC"/>
            <w:sz w:val="18"/>
            <w:szCs w:val="18"/>
            <w:u w:val="single"/>
            <w:lang w:val="es-MX"/>
          </w:rPr>
          <w:t>Feadle rechaza indagar 71% de asesinatos de periodistas</w:t>
        </w:r>
      </w:hyperlink>
      <w:r w:rsidRPr="000D1DE6">
        <w:rPr>
          <w:rFonts w:asciiTheme="minorHAnsi" w:eastAsia="Cambria" w:hAnsiTheme="minorHAnsi" w:cs="Cambria"/>
          <w:sz w:val="18"/>
          <w:szCs w:val="18"/>
          <w:lang w:val="es-MX"/>
        </w:rPr>
        <w:t>, 22 de octubre de 2021.</w:t>
      </w:r>
    </w:p>
  </w:footnote>
  <w:footnote w:id="486">
    <w:p w14:paraId="58ACE14B" w14:textId="1DDA5432" w:rsidR="000235D8" w:rsidRPr="000D1DE6" w:rsidRDefault="000235D8" w:rsidP="00F46807">
      <w:pPr>
        <w:pBdr>
          <w:top w:val="nil"/>
          <w:left w:val="nil"/>
          <w:bottom w:val="nil"/>
          <w:right w:val="nil"/>
          <w:between w:val="nil"/>
        </w:pBdr>
        <w:spacing w:after="120" w:line="240" w:lineRule="auto"/>
        <w:ind w:firstLine="720"/>
        <w:jc w:val="both"/>
        <w:rPr>
          <w:rFonts w:asciiTheme="minorHAnsi" w:hAnsiTheme="minorHAnsi"/>
          <w:sz w:val="18"/>
          <w:szCs w:val="18"/>
          <w:lang w:val="es-MX"/>
        </w:rPr>
      </w:pPr>
      <w:r w:rsidRPr="000D1DE6">
        <w:rPr>
          <w:rFonts w:asciiTheme="minorHAnsi" w:hAnsiTheme="minorHAnsi"/>
          <w:sz w:val="18"/>
          <w:szCs w:val="18"/>
          <w:vertAlign w:val="superscript"/>
          <w:lang w:val="es-MX"/>
        </w:rPr>
        <w:footnoteRef/>
      </w:r>
      <w:r w:rsidRPr="000D1DE6">
        <w:rPr>
          <w:rFonts w:asciiTheme="minorHAnsi" w:eastAsia="Cambria" w:hAnsiTheme="minorHAnsi" w:cs="Cambria"/>
          <w:sz w:val="18"/>
          <w:szCs w:val="18"/>
          <w:lang w:val="es-MX"/>
        </w:rPr>
        <w:t xml:space="preserve"> Animal Político, </w:t>
      </w:r>
      <w:hyperlink r:id="rId422">
        <w:r w:rsidRPr="000D1DE6">
          <w:rPr>
            <w:rFonts w:asciiTheme="minorHAnsi" w:eastAsia="Cambria" w:hAnsiTheme="minorHAnsi" w:cs="Cambria"/>
            <w:color w:val="1155CC"/>
            <w:sz w:val="18"/>
            <w:szCs w:val="18"/>
            <w:u w:val="single"/>
            <w:lang w:val="es-MX"/>
          </w:rPr>
          <w:t>Pese a violencia e impunidad recortan presupuesto para indagar torturas y ataques a periodistas</w:t>
        </w:r>
      </w:hyperlink>
      <w:r w:rsidRPr="000D1DE6">
        <w:rPr>
          <w:rFonts w:asciiTheme="minorHAnsi" w:eastAsia="Cambria" w:hAnsiTheme="minorHAnsi" w:cs="Cambria"/>
          <w:sz w:val="18"/>
          <w:szCs w:val="18"/>
          <w:lang w:val="es-MX"/>
        </w:rPr>
        <w:t>, 10 de septiembre de 2021.</w:t>
      </w:r>
    </w:p>
  </w:footnote>
  <w:footnote w:id="487">
    <w:p w14:paraId="7B4BEA7C" w14:textId="6D268958" w:rsidR="000235D8" w:rsidRPr="000D1DE6" w:rsidRDefault="000235D8" w:rsidP="00F46807">
      <w:pPr>
        <w:pBdr>
          <w:top w:val="nil"/>
          <w:left w:val="nil"/>
          <w:bottom w:val="nil"/>
          <w:right w:val="nil"/>
          <w:between w:val="nil"/>
        </w:pBdr>
        <w:spacing w:after="120" w:line="240" w:lineRule="auto"/>
        <w:ind w:firstLine="720"/>
        <w:jc w:val="both"/>
        <w:rPr>
          <w:rFonts w:asciiTheme="minorHAnsi" w:hAnsiTheme="minorHAnsi"/>
          <w:sz w:val="18"/>
          <w:szCs w:val="18"/>
          <w:lang w:val="es-MX"/>
        </w:rPr>
      </w:pPr>
      <w:r w:rsidRPr="000D1DE6">
        <w:rPr>
          <w:rFonts w:asciiTheme="minorHAnsi" w:hAnsiTheme="minorHAnsi"/>
          <w:sz w:val="18"/>
          <w:szCs w:val="18"/>
          <w:vertAlign w:val="superscript"/>
          <w:lang w:val="es-MX"/>
        </w:rPr>
        <w:footnoteRef/>
      </w:r>
      <w:r w:rsidRPr="000D1DE6">
        <w:rPr>
          <w:rFonts w:asciiTheme="minorHAnsi" w:eastAsia="Cambria" w:hAnsiTheme="minorHAnsi" w:cs="Cambria"/>
          <w:sz w:val="18"/>
          <w:szCs w:val="18"/>
          <w:lang w:val="es-MX"/>
        </w:rPr>
        <w:t xml:space="preserve"> Agencia EFE, </w:t>
      </w:r>
      <w:hyperlink r:id="rId423">
        <w:r w:rsidRPr="000D1DE6">
          <w:rPr>
            <w:rFonts w:asciiTheme="minorHAnsi" w:eastAsia="Cambria" w:hAnsiTheme="minorHAnsi" w:cs="Cambria"/>
            <w:color w:val="1155CC"/>
            <w:sz w:val="18"/>
            <w:szCs w:val="18"/>
            <w:u w:val="single"/>
            <w:lang w:val="es-MX"/>
          </w:rPr>
          <w:t>La impunidad da alas a los crímenes contra los periodistas en México</w:t>
        </w:r>
      </w:hyperlink>
      <w:r w:rsidRPr="000D1DE6">
        <w:rPr>
          <w:rFonts w:asciiTheme="minorHAnsi" w:eastAsia="Cambria" w:hAnsiTheme="minorHAnsi" w:cs="Cambria"/>
          <w:sz w:val="18"/>
          <w:szCs w:val="18"/>
          <w:lang w:val="es-MX"/>
        </w:rPr>
        <w:t>, 2 de noviembre de 2021.</w:t>
      </w:r>
    </w:p>
  </w:footnote>
  <w:footnote w:id="488">
    <w:p w14:paraId="2A6F9AFF" w14:textId="2D51F00E" w:rsidR="000235D8" w:rsidRPr="000D1DE6" w:rsidRDefault="000235D8" w:rsidP="00F46807">
      <w:pPr>
        <w:pBdr>
          <w:top w:val="nil"/>
          <w:left w:val="nil"/>
          <w:bottom w:val="nil"/>
          <w:right w:val="nil"/>
          <w:between w:val="nil"/>
        </w:pBdr>
        <w:spacing w:after="120" w:line="240" w:lineRule="auto"/>
        <w:ind w:firstLine="720"/>
        <w:jc w:val="both"/>
        <w:rPr>
          <w:rFonts w:asciiTheme="minorHAnsi" w:hAnsiTheme="minorHAnsi"/>
          <w:sz w:val="18"/>
          <w:szCs w:val="18"/>
          <w:lang w:val="es-MX"/>
        </w:rPr>
      </w:pPr>
      <w:r w:rsidRPr="000D1DE6">
        <w:rPr>
          <w:rFonts w:asciiTheme="minorHAnsi" w:hAnsiTheme="minorHAnsi"/>
          <w:sz w:val="18"/>
          <w:szCs w:val="18"/>
          <w:vertAlign w:val="superscript"/>
          <w:lang w:val="es-MX"/>
        </w:rPr>
        <w:footnoteRef/>
      </w:r>
      <w:r w:rsidRPr="000D1DE6">
        <w:rPr>
          <w:rFonts w:asciiTheme="minorHAnsi" w:eastAsia="Cambria" w:hAnsiTheme="minorHAnsi" w:cs="Cambria"/>
          <w:sz w:val="18"/>
          <w:szCs w:val="18"/>
          <w:lang w:val="es-MX"/>
        </w:rPr>
        <w:t xml:space="preserve"> CPJ, </w:t>
      </w:r>
      <w:hyperlink r:id="rId424">
        <w:r w:rsidRPr="000D1DE6">
          <w:rPr>
            <w:rFonts w:asciiTheme="minorHAnsi" w:eastAsia="Cambria" w:hAnsiTheme="minorHAnsi" w:cs="Cambria"/>
            <w:color w:val="1155CC"/>
            <w:sz w:val="18"/>
            <w:szCs w:val="18"/>
            <w:u w:val="single"/>
            <w:lang w:val="es-MX"/>
          </w:rPr>
          <w:t>Secuestran y matan al periodista mexicano Alfredo Cardoso Echevarría en Acapulco</w:t>
        </w:r>
      </w:hyperlink>
      <w:r w:rsidRPr="000D1DE6">
        <w:rPr>
          <w:rFonts w:asciiTheme="minorHAnsi" w:eastAsia="Cambria" w:hAnsiTheme="minorHAnsi" w:cs="Cambria"/>
          <w:sz w:val="18"/>
          <w:szCs w:val="18"/>
          <w:lang w:val="es-MX"/>
        </w:rPr>
        <w:t>, 8 de noviembre de 2021.</w:t>
      </w:r>
    </w:p>
  </w:footnote>
  <w:footnote w:id="489">
    <w:p w14:paraId="1699FD89" w14:textId="3F30CFCC" w:rsidR="000235D8" w:rsidRPr="000D1DE6" w:rsidRDefault="000235D8" w:rsidP="00F46807">
      <w:pPr>
        <w:pBdr>
          <w:top w:val="nil"/>
          <w:left w:val="nil"/>
          <w:bottom w:val="nil"/>
          <w:right w:val="nil"/>
          <w:between w:val="nil"/>
        </w:pBdr>
        <w:spacing w:after="120" w:line="240" w:lineRule="auto"/>
        <w:ind w:firstLine="720"/>
        <w:jc w:val="both"/>
        <w:rPr>
          <w:rFonts w:asciiTheme="minorHAnsi" w:hAnsiTheme="minorHAnsi"/>
          <w:sz w:val="18"/>
          <w:szCs w:val="18"/>
          <w:lang w:val="es-MX"/>
        </w:rPr>
      </w:pPr>
      <w:r w:rsidRPr="000D1DE6">
        <w:rPr>
          <w:rFonts w:asciiTheme="minorHAnsi" w:hAnsiTheme="minorHAnsi"/>
          <w:sz w:val="18"/>
          <w:szCs w:val="18"/>
          <w:vertAlign w:val="superscript"/>
          <w:lang w:val="es-MX"/>
        </w:rPr>
        <w:footnoteRef/>
      </w:r>
      <w:r w:rsidRPr="000D1DE6">
        <w:rPr>
          <w:rFonts w:asciiTheme="minorHAnsi" w:eastAsia="Cambria" w:hAnsiTheme="minorHAnsi" w:cs="Cambria"/>
          <w:sz w:val="18"/>
          <w:szCs w:val="18"/>
          <w:lang w:val="es-MX"/>
        </w:rPr>
        <w:t xml:space="preserve"> Artículo 19, </w:t>
      </w:r>
      <w:hyperlink r:id="rId425">
        <w:r w:rsidRPr="000D1DE6">
          <w:rPr>
            <w:rFonts w:asciiTheme="minorHAnsi" w:eastAsia="Cambria" w:hAnsiTheme="minorHAnsi" w:cs="Cambria"/>
            <w:color w:val="1155CC"/>
            <w:sz w:val="18"/>
            <w:szCs w:val="18"/>
            <w:u w:val="single"/>
            <w:lang w:val="es-MX"/>
          </w:rPr>
          <w:t>Asesinatos de periodistas en México: resultado de la ausencia de una política pública integral de protección</w:t>
        </w:r>
      </w:hyperlink>
      <w:r w:rsidRPr="000D1DE6">
        <w:rPr>
          <w:rFonts w:asciiTheme="minorHAnsi" w:eastAsia="Cambria" w:hAnsiTheme="minorHAnsi" w:cs="Cambria"/>
          <w:sz w:val="18"/>
          <w:szCs w:val="18"/>
          <w:lang w:val="es-MX"/>
        </w:rPr>
        <w:t xml:space="preserve">, 21 de junio de 2021. </w:t>
      </w:r>
    </w:p>
  </w:footnote>
  <w:footnote w:id="490">
    <w:p w14:paraId="72EEC3C4" w14:textId="7425C8E2" w:rsidR="00897787" w:rsidRPr="000D1DE6" w:rsidRDefault="00897787" w:rsidP="00F46807">
      <w:pPr>
        <w:pStyle w:val="FootnoteText"/>
        <w:spacing w:after="120"/>
        <w:ind w:firstLine="720"/>
      </w:pPr>
      <w:r w:rsidRPr="000D1DE6">
        <w:rPr>
          <w:rStyle w:val="FootnoteReference"/>
        </w:rPr>
        <w:footnoteRef/>
      </w:r>
      <w:r w:rsidRPr="000D1DE6">
        <w:t xml:space="preserve"> </w:t>
      </w:r>
      <w:r w:rsidRPr="000D1DE6">
        <w:rPr>
          <w:rFonts w:asciiTheme="minorHAnsi" w:eastAsia="Cambria" w:hAnsiTheme="minorHAnsi" w:cs="Cambria"/>
          <w:color w:val="000000"/>
          <w:lang w:val="es-MX"/>
        </w:rPr>
        <w:t>Observaciones y comentarios del Estado de 24 de enero de 2022, pág</w:t>
      </w:r>
      <w:r w:rsidRPr="000D1DE6">
        <w:t xml:space="preserve"> 28.</w:t>
      </w:r>
    </w:p>
  </w:footnote>
  <w:footnote w:id="491">
    <w:p w14:paraId="4D9606D5" w14:textId="6CE8C334" w:rsidR="000235D8" w:rsidRPr="000D1DE6" w:rsidRDefault="000235D8" w:rsidP="00F46807">
      <w:pPr>
        <w:pStyle w:val="FootnoteText"/>
        <w:spacing w:after="120"/>
        <w:ind w:firstLine="720"/>
        <w:rPr>
          <w:rFonts w:asciiTheme="minorHAnsi" w:hAnsiTheme="minorHAnsi"/>
          <w:lang w:val="es-MX"/>
        </w:rPr>
      </w:pPr>
      <w:r w:rsidRPr="000D1DE6">
        <w:rPr>
          <w:rStyle w:val="FootnoteReference"/>
          <w:rFonts w:asciiTheme="minorHAnsi" w:hAnsiTheme="minorHAnsi"/>
          <w:lang w:val="es-MX"/>
        </w:rPr>
        <w:footnoteRef/>
      </w:r>
      <w:r w:rsidRPr="000D1DE6">
        <w:rPr>
          <w:rFonts w:asciiTheme="minorHAnsi" w:hAnsiTheme="minorHAnsi"/>
          <w:lang w:val="es-MX"/>
        </w:rPr>
        <w:t xml:space="preserve"> Noveno Informe del Estado mexicano sobre el cumplimiento y seguimiento de las recomendaciones contenidas en el informe “Situación de los Derechos Humanos en México”, págs. 90 – 91.</w:t>
      </w:r>
    </w:p>
  </w:footnote>
  <w:footnote w:id="492">
    <w:p w14:paraId="0F90F6F8" w14:textId="6A83FCE2" w:rsidR="000235D8" w:rsidRPr="000D1DE6" w:rsidRDefault="000235D8" w:rsidP="00F46807">
      <w:pPr>
        <w:pBdr>
          <w:top w:val="nil"/>
          <w:left w:val="nil"/>
          <w:bottom w:val="nil"/>
          <w:right w:val="nil"/>
          <w:between w:val="nil"/>
        </w:pBdr>
        <w:spacing w:after="120" w:line="240" w:lineRule="auto"/>
        <w:ind w:firstLine="720"/>
        <w:jc w:val="both"/>
        <w:rPr>
          <w:rFonts w:asciiTheme="minorHAnsi" w:eastAsia="Cambria" w:hAnsiTheme="minorHAnsi" w:cs="Cambria"/>
          <w:sz w:val="18"/>
          <w:szCs w:val="18"/>
          <w:lang w:val="es-MX"/>
        </w:rPr>
      </w:pPr>
      <w:r w:rsidRPr="000D1DE6">
        <w:rPr>
          <w:rFonts w:asciiTheme="minorHAnsi" w:hAnsiTheme="minorHAnsi"/>
          <w:sz w:val="18"/>
          <w:szCs w:val="18"/>
          <w:vertAlign w:val="superscript"/>
          <w:lang w:val="es-MX"/>
        </w:rPr>
        <w:footnoteRef/>
      </w:r>
      <w:r w:rsidRPr="000D1DE6">
        <w:rPr>
          <w:rFonts w:asciiTheme="minorHAnsi" w:eastAsia="Cambria" w:hAnsiTheme="minorHAnsi" w:cs="Cambria"/>
          <w:sz w:val="18"/>
          <w:szCs w:val="18"/>
          <w:lang w:val="es-MX"/>
        </w:rPr>
        <w:t xml:space="preserve"> Reforma, </w:t>
      </w:r>
      <w:hyperlink r:id="rId426">
        <w:r w:rsidRPr="000D1DE6">
          <w:rPr>
            <w:rFonts w:asciiTheme="minorHAnsi" w:eastAsia="Cambria" w:hAnsiTheme="minorHAnsi" w:cs="Cambria"/>
            <w:color w:val="1155CC"/>
            <w:sz w:val="18"/>
            <w:szCs w:val="18"/>
            <w:u w:val="single"/>
            <w:lang w:val="es-MX"/>
          </w:rPr>
          <w:t>Bloquean datos sobre vacunas</w:t>
        </w:r>
      </w:hyperlink>
      <w:r w:rsidRPr="000D1DE6">
        <w:rPr>
          <w:rFonts w:asciiTheme="minorHAnsi" w:eastAsia="Cambria" w:hAnsiTheme="minorHAnsi" w:cs="Cambria"/>
          <w:sz w:val="18"/>
          <w:szCs w:val="18"/>
          <w:lang w:val="es-MX"/>
        </w:rPr>
        <w:t xml:space="preserve">, 3 de diciembre de 2021; El Universal, </w:t>
      </w:r>
      <w:hyperlink r:id="rId427">
        <w:r w:rsidRPr="000D1DE6">
          <w:rPr>
            <w:rFonts w:asciiTheme="minorHAnsi" w:eastAsia="Cambria" w:hAnsiTheme="minorHAnsi" w:cs="Cambria"/>
            <w:color w:val="1155CC"/>
            <w:sz w:val="18"/>
            <w:szCs w:val="18"/>
            <w:u w:val="single"/>
            <w:lang w:val="es-MX"/>
          </w:rPr>
          <w:t>Suspende SCJN transparentar información sobre vacunas antiCovid</w:t>
        </w:r>
      </w:hyperlink>
      <w:r w:rsidRPr="000D1DE6">
        <w:rPr>
          <w:rFonts w:asciiTheme="minorHAnsi" w:eastAsia="Cambria" w:hAnsiTheme="minorHAnsi" w:cs="Cambria"/>
          <w:sz w:val="18"/>
          <w:szCs w:val="18"/>
          <w:lang w:val="es-MX"/>
        </w:rPr>
        <w:t>, 2 de diciembre de 2021</w:t>
      </w:r>
    </w:p>
  </w:footnote>
  <w:footnote w:id="493">
    <w:p w14:paraId="475F368D" w14:textId="068AEDB1" w:rsidR="000235D8" w:rsidRPr="000D1DE6" w:rsidRDefault="000235D8" w:rsidP="00F46807">
      <w:pPr>
        <w:pBdr>
          <w:top w:val="nil"/>
          <w:left w:val="nil"/>
          <w:bottom w:val="nil"/>
          <w:right w:val="nil"/>
          <w:between w:val="nil"/>
        </w:pBdr>
        <w:spacing w:after="120" w:line="240" w:lineRule="auto"/>
        <w:ind w:firstLine="720"/>
        <w:jc w:val="both"/>
        <w:rPr>
          <w:rFonts w:asciiTheme="minorHAnsi" w:eastAsia="Cambria" w:hAnsiTheme="minorHAnsi" w:cs="Cambria"/>
          <w:sz w:val="18"/>
          <w:szCs w:val="18"/>
          <w:lang w:val="es-MX"/>
        </w:rPr>
      </w:pPr>
      <w:r w:rsidRPr="000D1DE6">
        <w:rPr>
          <w:rFonts w:asciiTheme="minorHAnsi" w:hAnsiTheme="minorHAnsi"/>
          <w:sz w:val="18"/>
          <w:szCs w:val="18"/>
          <w:vertAlign w:val="superscript"/>
          <w:lang w:val="es-MX"/>
        </w:rPr>
        <w:footnoteRef/>
      </w:r>
      <w:r w:rsidRPr="000D1DE6">
        <w:rPr>
          <w:rFonts w:asciiTheme="minorHAnsi" w:eastAsia="Cambria" w:hAnsiTheme="minorHAnsi" w:cs="Cambria"/>
          <w:sz w:val="18"/>
          <w:szCs w:val="18"/>
          <w:lang w:val="es-MX"/>
        </w:rPr>
        <w:t xml:space="preserve"> Infobae, </w:t>
      </w:r>
      <w:hyperlink r:id="rId428">
        <w:r w:rsidRPr="000D1DE6">
          <w:rPr>
            <w:rFonts w:asciiTheme="minorHAnsi" w:eastAsia="Cambria" w:hAnsiTheme="minorHAnsi" w:cs="Cambria"/>
            <w:color w:val="1155CC"/>
            <w:sz w:val="18"/>
            <w:szCs w:val="18"/>
            <w:u w:val="single"/>
            <w:lang w:val="es-MX"/>
          </w:rPr>
          <w:t>SCJN bloquea información sobre vacunas contra COVID-19 por “seguridad nacional”</w:t>
        </w:r>
      </w:hyperlink>
      <w:r w:rsidRPr="000D1DE6">
        <w:rPr>
          <w:rFonts w:asciiTheme="minorHAnsi" w:eastAsia="Cambria" w:hAnsiTheme="minorHAnsi" w:cs="Cambria"/>
          <w:sz w:val="18"/>
          <w:szCs w:val="18"/>
          <w:lang w:val="es-MX"/>
        </w:rPr>
        <w:t xml:space="preserve">, 3 de diciembre de 2021; Sopitas, </w:t>
      </w:r>
      <w:hyperlink r:id="rId429">
        <w:r w:rsidRPr="000D1DE6">
          <w:rPr>
            <w:rFonts w:asciiTheme="minorHAnsi" w:eastAsia="Cambria" w:hAnsiTheme="minorHAnsi" w:cs="Cambria"/>
            <w:color w:val="1155CC"/>
            <w:sz w:val="18"/>
            <w:szCs w:val="18"/>
            <w:u w:val="single"/>
            <w:lang w:val="es-MX"/>
          </w:rPr>
          <w:t>Por “seguridad nacional”, SCJN bloquea datos sobre vacunas COVID</w:t>
        </w:r>
      </w:hyperlink>
      <w:r w:rsidRPr="000D1DE6">
        <w:rPr>
          <w:rFonts w:asciiTheme="minorHAnsi" w:eastAsia="Cambria" w:hAnsiTheme="minorHAnsi" w:cs="Cambria"/>
          <w:sz w:val="18"/>
          <w:szCs w:val="18"/>
          <w:lang w:val="es-MX"/>
        </w:rPr>
        <w:t xml:space="preserve">3 de diciembre de 2021; Artículo 19, </w:t>
      </w:r>
      <w:hyperlink r:id="rId430">
        <w:r w:rsidRPr="000D1DE6">
          <w:rPr>
            <w:rFonts w:asciiTheme="minorHAnsi" w:eastAsia="Cambria" w:hAnsiTheme="minorHAnsi" w:cs="Cambria"/>
            <w:color w:val="1155CC"/>
            <w:sz w:val="18"/>
            <w:szCs w:val="18"/>
            <w:u w:val="single"/>
            <w:lang w:val="es-MX"/>
          </w:rPr>
          <w:t>Impugnación de la Consejería Jurídica del Ejecutivo Federal a resolución del INAI para abrir contratos de la vacuna SPUTNIK viola el derecho a la información de la sociedad</w:t>
        </w:r>
      </w:hyperlink>
      <w:r w:rsidRPr="000D1DE6">
        <w:rPr>
          <w:rFonts w:asciiTheme="minorHAnsi" w:eastAsia="Cambria" w:hAnsiTheme="minorHAnsi" w:cs="Cambria"/>
          <w:sz w:val="18"/>
          <w:szCs w:val="18"/>
          <w:lang w:val="es-MX"/>
        </w:rPr>
        <w:t>, 28 de junio de 2021.</w:t>
      </w:r>
    </w:p>
  </w:footnote>
  <w:footnote w:id="494">
    <w:p w14:paraId="736EC5DC" w14:textId="2C42BED2" w:rsidR="00897787" w:rsidRPr="000D1DE6" w:rsidRDefault="00897787" w:rsidP="00F46807">
      <w:pPr>
        <w:pStyle w:val="FootnoteText"/>
        <w:spacing w:after="120"/>
        <w:ind w:firstLine="720"/>
      </w:pPr>
      <w:r w:rsidRPr="000D1DE6">
        <w:rPr>
          <w:rStyle w:val="FootnoteReference"/>
        </w:rPr>
        <w:footnoteRef/>
      </w:r>
      <w:r w:rsidRPr="000D1DE6">
        <w:t xml:space="preserve"> </w:t>
      </w:r>
      <w:r w:rsidRPr="000D1DE6">
        <w:rPr>
          <w:rFonts w:asciiTheme="minorHAnsi" w:eastAsia="Cambria" w:hAnsiTheme="minorHAnsi" w:cs="Cambria"/>
          <w:color w:val="000000"/>
          <w:lang w:val="es-MX"/>
        </w:rPr>
        <w:t>Observaciones y comentarios del Estado de 24 de enero de 2022.</w:t>
      </w:r>
    </w:p>
  </w:footnote>
  <w:footnote w:id="495">
    <w:p w14:paraId="2ABC8A61" w14:textId="4AEF3000" w:rsidR="000235D8" w:rsidRPr="000D1DE6" w:rsidRDefault="000235D8" w:rsidP="00F46807">
      <w:pPr>
        <w:pBdr>
          <w:top w:val="nil"/>
          <w:left w:val="nil"/>
          <w:bottom w:val="nil"/>
          <w:right w:val="nil"/>
          <w:between w:val="nil"/>
        </w:pBdr>
        <w:spacing w:after="120" w:line="240" w:lineRule="auto"/>
        <w:ind w:firstLine="720"/>
        <w:jc w:val="both"/>
        <w:rPr>
          <w:rFonts w:asciiTheme="minorHAnsi" w:eastAsia="Cambria" w:hAnsiTheme="minorHAnsi" w:cs="Cambria"/>
          <w:sz w:val="18"/>
          <w:szCs w:val="18"/>
          <w:lang w:val="es-MX"/>
        </w:rPr>
      </w:pPr>
      <w:r w:rsidRPr="000D1DE6">
        <w:rPr>
          <w:rFonts w:asciiTheme="minorHAnsi" w:hAnsiTheme="minorHAnsi"/>
          <w:sz w:val="18"/>
          <w:szCs w:val="18"/>
          <w:vertAlign w:val="superscript"/>
          <w:lang w:val="es-MX"/>
        </w:rPr>
        <w:footnoteRef/>
      </w:r>
      <w:r w:rsidRPr="000D1DE6">
        <w:rPr>
          <w:rFonts w:asciiTheme="minorHAnsi" w:eastAsia="Cambria" w:hAnsiTheme="minorHAnsi" w:cs="Cambria"/>
          <w:sz w:val="18"/>
          <w:szCs w:val="18"/>
          <w:lang w:val="es-MX"/>
        </w:rPr>
        <w:t xml:space="preserve"> Infobae, </w:t>
      </w:r>
      <w:hyperlink r:id="rId431">
        <w:r w:rsidRPr="000D1DE6">
          <w:rPr>
            <w:rFonts w:asciiTheme="minorHAnsi" w:eastAsia="Cambria" w:hAnsiTheme="minorHAnsi" w:cs="Cambria"/>
            <w:color w:val="1155CC"/>
            <w:sz w:val="18"/>
            <w:szCs w:val="18"/>
            <w:u w:val="single"/>
            <w:lang w:val="es-MX"/>
          </w:rPr>
          <w:t>Por qué el decreto de AMLO pone en riesgo el acceso a la información pública: “Lo más delicado es incluir la expresión ‘seguridad nacional”</w:t>
        </w:r>
      </w:hyperlink>
      <w:r w:rsidRPr="000D1DE6">
        <w:rPr>
          <w:rFonts w:asciiTheme="minorHAnsi" w:eastAsia="Cambria" w:hAnsiTheme="minorHAnsi" w:cs="Cambria"/>
          <w:sz w:val="18"/>
          <w:szCs w:val="18"/>
          <w:lang w:val="es-MX"/>
        </w:rPr>
        <w:t xml:space="preserve">, 23 de noviembre de 2021; Expansión, </w:t>
      </w:r>
      <w:hyperlink r:id="rId432">
        <w:r w:rsidRPr="000D1DE6">
          <w:rPr>
            <w:rFonts w:asciiTheme="minorHAnsi" w:eastAsia="Cambria" w:hAnsiTheme="minorHAnsi" w:cs="Cambria"/>
            <w:color w:val="1155CC"/>
            <w:sz w:val="18"/>
            <w:szCs w:val="18"/>
            <w:u w:val="single"/>
            <w:lang w:val="es-MX"/>
          </w:rPr>
          <w:t>AMLO declara de seguridad nacional los proyectos de infraestructura de la 4T</w:t>
        </w:r>
      </w:hyperlink>
      <w:r w:rsidRPr="000D1DE6">
        <w:rPr>
          <w:rFonts w:asciiTheme="minorHAnsi" w:eastAsia="Cambria" w:hAnsiTheme="minorHAnsi" w:cs="Cambria"/>
          <w:color w:val="1155CC"/>
          <w:sz w:val="18"/>
          <w:szCs w:val="18"/>
          <w:u w:val="single"/>
          <w:lang w:val="es-MX"/>
        </w:rPr>
        <w:t>,</w:t>
      </w:r>
      <w:r w:rsidRPr="000D1DE6">
        <w:rPr>
          <w:rFonts w:asciiTheme="minorHAnsi" w:eastAsia="Cambria" w:hAnsiTheme="minorHAnsi" w:cs="Cambria"/>
          <w:i/>
          <w:color w:val="1155CC"/>
          <w:sz w:val="18"/>
          <w:szCs w:val="18"/>
          <w:u w:val="single"/>
          <w:lang w:val="es-MX"/>
        </w:rPr>
        <w:t xml:space="preserve"> </w:t>
      </w:r>
      <w:r w:rsidRPr="000D1DE6">
        <w:rPr>
          <w:rFonts w:asciiTheme="minorHAnsi" w:eastAsia="Cambria" w:hAnsiTheme="minorHAnsi" w:cs="Cambria"/>
          <w:sz w:val="18"/>
          <w:szCs w:val="18"/>
          <w:lang w:val="es-MX"/>
        </w:rPr>
        <w:t xml:space="preserve">23 de noviembre de 2021; Proceso, </w:t>
      </w:r>
      <w:hyperlink r:id="rId433">
        <w:r w:rsidRPr="000D1DE6">
          <w:rPr>
            <w:rFonts w:asciiTheme="minorHAnsi" w:eastAsia="Cambria" w:hAnsiTheme="minorHAnsi" w:cs="Cambria"/>
            <w:color w:val="1155CC"/>
            <w:sz w:val="18"/>
            <w:szCs w:val="18"/>
            <w:u w:val="single"/>
            <w:lang w:val="es-MX"/>
          </w:rPr>
          <w:t>ONU-DH analiza implicaciones de acuerdo de AMLO sobre seguridad nacional</w:t>
        </w:r>
      </w:hyperlink>
      <w:r w:rsidRPr="000D1DE6">
        <w:rPr>
          <w:rFonts w:asciiTheme="minorHAnsi" w:eastAsia="Cambria" w:hAnsiTheme="minorHAnsi" w:cs="Cambria"/>
          <w:sz w:val="18"/>
          <w:szCs w:val="18"/>
          <w:lang w:val="es-MX"/>
        </w:rPr>
        <w:t>, 29 de noviembre de 2021.</w:t>
      </w:r>
    </w:p>
  </w:footnote>
  <w:footnote w:id="496">
    <w:p w14:paraId="1E1565D6" w14:textId="274AE0B3" w:rsidR="000235D8" w:rsidRPr="000D1DE6" w:rsidRDefault="000235D8" w:rsidP="00F46807">
      <w:pPr>
        <w:pStyle w:val="FootnoteText"/>
        <w:spacing w:after="120"/>
        <w:ind w:firstLine="720"/>
        <w:rPr>
          <w:rFonts w:asciiTheme="minorHAnsi" w:hAnsiTheme="minorHAnsi"/>
          <w:lang w:val="es-MX"/>
        </w:rPr>
      </w:pPr>
      <w:r w:rsidRPr="000D1DE6">
        <w:rPr>
          <w:rStyle w:val="FootnoteReference"/>
          <w:rFonts w:asciiTheme="minorHAnsi" w:hAnsiTheme="minorHAnsi"/>
          <w:lang w:val="es-MX"/>
        </w:rPr>
        <w:footnoteRef/>
      </w:r>
      <w:r w:rsidRPr="000D1DE6">
        <w:rPr>
          <w:rFonts w:asciiTheme="minorHAnsi" w:hAnsiTheme="minorHAnsi"/>
          <w:lang w:val="es-MX"/>
        </w:rPr>
        <w:t xml:space="preserve"> Noveno Informe del Estado mexicano sobre el cumplimiento y seguimiento de las recomendaciones contenidas en el informe “Situación de los Derechos Humanos en México”, págs. 91 – 92. </w:t>
      </w:r>
    </w:p>
  </w:footnote>
  <w:footnote w:id="497">
    <w:p w14:paraId="35F077DE" w14:textId="3AAC2455" w:rsidR="000235D8" w:rsidRPr="000D1DE6" w:rsidRDefault="000235D8" w:rsidP="00F46807">
      <w:pPr>
        <w:pStyle w:val="FootnoteText"/>
        <w:spacing w:after="120"/>
        <w:ind w:firstLine="720"/>
        <w:rPr>
          <w:rFonts w:asciiTheme="minorHAnsi" w:hAnsiTheme="minorHAnsi"/>
          <w:lang w:val="es-MX"/>
        </w:rPr>
      </w:pPr>
      <w:r w:rsidRPr="000D1DE6">
        <w:rPr>
          <w:rStyle w:val="FootnoteReference"/>
          <w:rFonts w:asciiTheme="minorHAnsi" w:hAnsiTheme="minorHAnsi"/>
          <w:lang w:val="es-MX"/>
        </w:rPr>
        <w:footnoteRef/>
      </w:r>
      <w:r w:rsidRPr="000D1DE6">
        <w:rPr>
          <w:rFonts w:asciiTheme="minorHAnsi" w:hAnsiTheme="minorHAnsi"/>
          <w:lang w:val="es-MX"/>
        </w:rPr>
        <w:t xml:space="preserve"> Noveno Informe del Estado mexicano sobre el cumplimiento y seguimiento de las recomendaciones contenidas en el informe “Situación de los Derechos Humanos en México”, págs. 91 – 92.</w:t>
      </w:r>
    </w:p>
  </w:footnote>
  <w:footnote w:id="498">
    <w:p w14:paraId="7CBDD06F" w14:textId="6B1643F1" w:rsidR="000235D8" w:rsidRPr="000D1DE6" w:rsidRDefault="000235D8" w:rsidP="00F46807">
      <w:pPr>
        <w:pBdr>
          <w:top w:val="nil"/>
          <w:left w:val="nil"/>
          <w:bottom w:val="nil"/>
          <w:right w:val="nil"/>
          <w:between w:val="nil"/>
        </w:pBdr>
        <w:spacing w:after="120" w:line="240" w:lineRule="auto"/>
        <w:ind w:firstLine="720"/>
        <w:jc w:val="both"/>
        <w:rPr>
          <w:rFonts w:asciiTheme="minorHAnsi" w:eastAsia="Cambria" w:hAnsiTheme="minorHAnsi" w:cs="Cambria"/>
          <w:sz w:val="18"/>
          <w:szCs w:val="18"/>
          <w:lang w:val="es-MX"/>
        </w:rPr>
      </w:pPr>
      <w:r w:rsidRPr="000D1DE6">
        <w:rPr>
          <w:rFonts w:asciiTheme="minorHAnsi" w:hAnsiTheme="minorHAnsi"/>
          <w:sz w:val="18"/>
          <w:szCs w:val="18"/>
          <w:vertAlign w:val="superscript"/>
          <w:lang w:val="es-MX"/>
        </w:rPr>
        <w:footnoteRef/>
      </w:r>
      <w:r w:rsidRPr="000D1DE6">
        <w:rPr>
          <w:rFonts w:asciiTheme="minorHAnsi" w:eastAsia="Cambria" w:hAnsiTheme="minorHAnsi" w:cs="Cambria"/>
          <w:sz w:val="18"/>
          <w:szCs w:val="18"/>
          <w:lang w:val="es-MX"/>
        </w:rPr>
        <w:t xml:space="preserve"> Centro Prodh, </w:t>
      </w:r>
      <w:hyperlink r:id="rId434">
        <w:r w:rsidRPr="000D1DE6">
          <w:rPr>
            <w:rFonts w:asciiTheme="minorHAnsi" w:eastAsia="Cambria" w:hAnsiTheme="minorHAnsi" w:cs="Cambria"/>
            <w:color w:val="1155CC"/>
            <w:sz w:val="18"/>
            <w:szCs w:val="18"/>
            <w:u w:val="single"/>
            <w:lang w:val="es-MX"/>
          </w:rPr>
          <w:t>Revés a la opacidad de la GN</w:t>
        </w:r>
      </w:hyperlink>
      <w:r w:rsidRPr="000D1DE6">
        <w:rPr>
          <w:rFonts w:asciiTheme="minorHAnsi" w:eastAsia="Cambria" w:hAnsiTheme="minorHAnsi" w:cs="Cambria"/>
          <w:color w:val="1155CC"/>
          <w:sz w:val="18"/>
          <w:szCs w:val="18"/>
          <w:u w:val="single"/>
          <w:lang w:val="es-MX"/>
        </w:rPr>
        <w:t xml:space="preserve">, </w:t>
      </w:r>
      <w:r w:rsidRPr="000D1DE6">
        <w:rPr>
          <w:rFonts w:asciiTheme="minorHAnsi" w:eastAsia="Cambria" w:hAnsiTheme="minorHAnsi" w:cs="Cambria"/>
          <w:sz w:val="18"/>
          <w:szCs w:val="18"/>
          <w:lang w:val="es-MX"/>
        </w:rPr>
        <w:t xml:space="preserve">30 de septiembre de 2021; ONU-DH México, </w:t>
      </w:r>
      <w:hyperlink r:id="rId435">
        <w:r w:rsidRPr="000D1DE6">
          <w:rPr>
            <w:rFonts w:asciiTheme="minorHAnsi" w:eastAsia="Cambria" w:hAnsiTheme="minorHAnsi" w:cs="Cambria"/>
            <w:color w:val="1155CC"/>
            <w:sz w:val="18"/>
            <w:szCs w:val="18"/>
            <w:u w:val="single"/>
            <w:lang w:val="es-MX"/>
          </w:rPr>
          <w:t>ONU-DH saluda la orden a la Guardia Nacional de hacer públicos sus informes sobre uso de la fuerza</w:t>
        </w:r>
      </w:hyperlink>
      <w:r w:rsidRPr="000D1DE6">
        <w:rPr>
          <w:rFonts w:asciiTheme="minorHAnsi" w:eastAsia="Cambria" w:hAnsiTheme="minorHAnsi" w:cs="Cambria"/>
          <w:sz w:val="18"/>
          <w:szCs w:val="18"/>
          <w:lang w:val="es-MX"/>
        </w:rPr>
        <w:t>, 20 de septiembre de 2021.</w:t>
      </w:r>
    </w:p>
  </w:footnote>
  <w:footnote w:id="499">
    <w:p w14:paraId="18F22F28" w14:textId="3E2455DF" w:rsidR="000235D8" w:rsidRPr="000D1DE6" w:rsidRDefault="000235D8" w:rsidP="00F46807">
      <w:pPr>
        <w:pBdr>
          <w:top w:val="nil"/>
          <w:left w:val="nil"/>
          <w:bottom w:val="nil"/>
          <w:right w:val="nil"/>
          <w:between w:val="nil"/>
        </w:pBdr>
        <w:spacing w:after="120" w:line="240" w:lineRule="auto"/>
        <w:ind w:firstLine="720"/>
        <w:jc w:val="both"/>
        <w:rPr>
          <w:rFonts w:asciiTheme="minorHAnsi" w:eastAsia="Cambria" w:hAnsiTheme="minorHAnsi" w:cs="Cambria"/>
          <w:sz w:val="18"/>
          <w:szCs w:val="18"/>
          <w:lang w:val="es-MX"/>
        </w:rPr>
      </w:pPr>
      <w:r w:rsidRPr="000D1DE6">
        <w:rPr>
          <w:rFonts w:asciiTheme="minorHAnsi" w:hAnsiTheme="minorHAnsi"/>
          <w:sz w:val="18"/>
          <w:szCs w:val="18"/>
          <w:vertAlign w:val="superscript"/>
          <w:lang w:val="es-MX"/>
        </w:rPr>
        <w:footnoteRef/>
      </w:r>
      <w:r w:rsidRPr="000D1DE6">
        <w:rPr>
          <w:rFonts w:asciiTheme="minorHAnsi" w:eastAsia="Cambria" w:hAnsiTheme="minorHAnsi" w:cs="Cambria"/>
          <w:sz w:val="18"/>
          <w:szCs w:val="18"/>
          <w:lang w:val="es-MX"/>
        </w:rPr>
        <w:t xml:space="preserve"> Animal Político, </w:t>
      </w:r>
      <w:hyperlink r:id="rId436">
        <w:r w:rsidRPr="000D1DE6">
          <w:rPr>
            <w:rFonts w:asciiTheme="minorHAnsi" w:eastAsia="Cambria" w:hAnsiTheme="minorHAnsi" w:cs="Cambria"/>
            <w:color w:val="1155CC"/>
            <w:sz w:val="18"/>
            <w:szCs w:val="18"/>
            <w:u w:val="single"/>
            <w:lang w:val="es-MX"/>
          </w:rPr>
          <w:t>Guardia Nacional se niega a dar datos de uso de la fuerza y el armamento para contener protestas</w:t>
        </w:r>
      </w:hyperlink>
      <w:r w:rsidRPr="000D1DE6">
        <w:rPr>
          <w:rFonts w:asciiTheme="minorHAnsi" w:eastAsia="Cambria" w:hAnsiTheme="minorHAnsi" w:cs="Cambria"/>
          <w:sz w:val="18"/>
          <w:szCs w:val="18"/>
          <w:lang w:val="es-MX"/>
        </w:rPr>
        <w:t>, 14 de octubre de 2021.</w:t>
      </w:r>
    </w:p>
  </w:footnote>
  <w:footnote w:id="500">
    <w:p w14:paraId="1E07DCB0" w14:textId="59A8FDD4" w:rsidR="000235D8" w:rsidRPr="000D1DE6" w:rsidRDefault="000235D8" w:rsidP="00F46807">
      <w:pPr>
        <w:spacing w:after="120" w:line="240" w:lineRule="auto"/>
        <w:ind w:firstLine="720"/>
        <w:jc w:val="both"/>
        <w:rPr>
          <w:rFonts w:asciiTheme="minorHAnsi" w:eastAsia="Cambria" w:hAnsiTheme="minorHAnsi" w:cs="Cambria"/>
          <w:sz w:val="18"/>
          <w:szCs w:val="18"/>
          <w:lang w:val="es-MX"/>
        </w:rPr>
      </w:pPr>
      <w:r w:rsidRPr="000D1DE6">
        <w:rPr>
          <w:rFonts w:asciiTheme="minorHAnsi" w:hAnsiTheme="minorHAnsi"/>
          <w:sz w:val="18"/>
          <w:szCs w:val="18"/>
          <w:vertAlign w:val="superscript"/>
          <w:lang w:val="es-MX"/>
        </w:rPr>
        <w:footnoteRef/>
      </w:r>
      <w:r w:rsidRPr="000D1DE6">
        <w:rPr>
          <w:rFonts w:asciiTheme="minorHAnsi" w:eastAsia="Cambria" w:hAnsiTheme="minorHAnsi" w:cs="Cambria"/>
          <w:sz w:val="18"/>
          <w:szCs w:val="18"/>
          <w:lang w:val="es-MX"/>
        </w:rPr>
        <w:t xml:space="preserve"> CIDH, Relatoría Especial para la Libertad de Expresión. </w:t>
      </w:r>
      <w:hyperlink r:id="rId437">
        <w:r w:rsidRPr="000D1DE6">
          <w:rPr>
            <w:rFonts w:asciiTheme="minorHAnsi" w:eastAsia="Cambria" w:hAnsiTheme="minorHAnsi" w:cs="Cambria"/>
            <w:color w:val="1155CC"/>
            <w:sz w:val="18"/>
            <w:szCs w:val="18"/>
            <w:u w:val="single"/>
            <w:lang w:val="es-MX"/>
          </w:rPr>
          <w:t>Derecho a la información y seguridad nacional</w:t>
        </w:r>
      </w:hyperlink>
      <w:r w:rsidRPr="000D1DE6">
        <w:rPr>
          <w:rFonts w:asciiTheme="minorHAnsi" w:eastAsia="Cambria" w:hAnsiTheme="minorHAnsi" w:cs="Cambria"/>
          <w:sz w:val="18"/>
          <w:szCs w:val="18"/>
          <w:lang w:val="es-MX"/>
        </w:rPr>
        <w:t>. OEA/Ser.L/V/II CIDH/RELE/INF.24/20, julio 2020, párr. 76.</w:t>
      </w:r>
    </w:p>
  </w:footnote>
  <w:footnote w:id="501">
    <w:p w14:paraId="2EAA0688" w14:textId="1EC3A757" w:rsidR="000235D8" w:rsidRPr="000D1DE6" w:rsidRDefault="000235D8" w:rsidP="00F46807">
      <w:pPr>
        <w:spacing w:after="120" w:line="240" w:lineRule="auto"/>
        <w:ind w:firstLine="720"/>
        <w:jc w:val="both"/>
        <w:rPr>
          <w:rFonts w:asciiTheme="minorHAnsi" w:eastAsia="Cambria" w:hAnsiTheme="minorHAnsi" w:cs="Cambria"/>
          <w:sz w:val="18"/>
          <w:szCs w:val="18"/>
          <w:lang w:val="es-MX"/>
        </w:rPr>
      </w:pPr>
      <w:r w:rsidRPr="000D1DE6">
        <w:rPr>
          <w:rFonts w:asciiTheme="minorHAnsi" w:hAnsiTheme="minorHAnsi"/>
          <w:sz w:val="18"/>
          <w:szCs w:val="18"/>
          <w:vertAlign w:val="superscript"/>
          <w:lang w:val="es-MX"/>
        </w:rPr>
        <w:footnoteRef/>
      </w:r>
      <w:r w:rsidRPr="000D1DE6">
        <w:rPr>
          <w:rFonts w:asciiTheme="minorHAnsi" w:eastAsia="Cambria" w:hAnsiTheme="minorHAnsi" w:cs="Cambria"/>
          <w:sz w:val="18"/>
          <w:szCs w:val="18"/>
          <w:lang w:val="es-MX"/>
        </w:rPr>
        <w:t xml:space="preserve"> Corte IDH. Caso Claude Reyes y otros Vs. Chile. Fondo, Reparaciones y Costas. Sentencia de 19 de septiembre de 2006. Serie C No. 151., párr. 98.</w:t>
      </w:r>
    </w:p>
  </w:footnote>
  <w:footnote w:id="502">
    <w:p w14:paraId="3201A64B" w14:textId="5A7DE8CA" w:rsidR="000235D8" w:rsidRPr="000D1DE6" w:rsidRDefault="000235D8" w:rsidP="00F46807">
      <w:pPr>
        <w:pStyle w:val="FootnoteText"/>
        <w:spacing w:after="120"/>
        <w:ind w:firstLine="720"/>
        <w:rPr>
          <w:rFonts w:asciiTheme="minorHAnsi" w:hAnsiTheme="minorHAnsi"/>
        </w:rPr>
      </w:pPr>
      <w:r w:rsidRPr="000D1DE6">
        <w:rPr>
          <w:rStyle w:val="FootnoteReference"/>
          <w:rFonts w:asciiTheme="minorHAnsi" w:hAnsiTheme="minorHAnsi"/>
        </w:rPr>
        <w:footnoteRef/>
      </w:r>
      <w:r w:rsidRPr="000D1DE6">
        <w:rPr>
          <w:rFonts w:asciiTheme="minorHAnsi" w:hAnsiTheme="minorHAnsi"/>
        </w:rPr>
        <w:t xml:space="preserve"> Noveno Informe del Estado mexicano sobre el cumplimiento y seguimiento de las recomendaciones contenidas en el informe “Situación de los Derechos Humanos en México”, pág. 93.</w:t>
      </w:r>
    </w:p>
  </w:footnote>
  <w:footnote w:id="503">
    <w:p w14:paraId="045559C6" w14:textId="38499BB4" w:rsidR="000235D8" w:rsidRPr="000D1DE6" w:rsidRDefault="000235D8" w:rsidP="00F46807">
      <w:pPr>
        <w:pStyle w:val="FootnoteText"/>
        <w:spacing w:after="120"/>
        <w:ind w:firstLine="720"/>
        <w:rPr>
          <w:rFonts w:asciiTheme="minorHAnsi" w:hAnsiTheme="minorHAnsi"/>
        </w:rPr>
      </w:pPr>
      <w:r w:rsidRPr="000D1DE6">
        <w:rPr>
          <w:rStyle w:val="FootnoteReference"/>
          <w:rFonts w:asciiTheme="minorHAnsi" w:hAnsiTheme="minorHAnsi"/>
        </w:rPr>
        <w:footnoteRef/>
      </w:r>
      <w:r w:rsidRPr="000D1DE6">
        <w:rPr>
          <w:rFonts w:asciiTheme="minorHAnsi" w:hAnsiTheme="minorHAnsi"/>
        </w:rPr>
        <w:t xml:space="preserve"> Noveno Informe del Estado mexicano sobre el cumplimiento y seguimiento de las recomendaciones contenidas en el informe “Situación de los Derechos Humanos en México”, pág. 94. </w:t>
      </w:r>
    </w:p>
  </w:footnote>
  <w:footnote w:id="504">
    <w:p w14:paraId="4F1967CB" w14:textId="07282C2E" w:rsidR="00897787" w:rsidRPr="000D1DE6" w:rsidRDefault="00897787" w:rsidP="00F46807">
      <w:pPr>
        <w:pStyle w:val="FootnoteText"/>
        <w:spacing w:after="120"/>
        <w:ind w:firstLine="720"/>
      </w:pPr>
      <w:r w:rsidRPr="000D1DE6">
        <w:rPr>
          <w:rStyle w:val="FootnoteReference"/>
        </w:rPr>
        <w:footnoteRef/>
      </w:r>
      <w:r w:rsidRPr="000D1DE6">
        <w:t xml:space="preserve"> </w:t>
      </w:r>
      <w:r w:rsidRPr="000D1DE6">
        <w:rPr>
          <w:rFonts w:asciiTheme="minorHAnsi" w:eastAsia="Cambria" w:hAnsiTheme="minorHAnsi" w:cs="Cambria"/>
          <w:color w:val="000000"/>
          <w:lang w:val="es-MX"/>
        </w:rPr>
        <w:t>Observaciones y comentarios del Estado de 24 de enero de 2022, pág. 30.</w:t>
      </w:r>
    </w:p>
  </w:footnote>
  <w:footnote w:id="505">
    <w:p w14:paraId="3DFCF332" w14:textId="70B2F9B4" w:rsidR="000235D8" w:rsidRPr="000D1DE6" w:rsidRDefault="000235D8" w:rsidP="00F46807">
      <w:pPr>
        <w:pStyle w:val="FootnoteText"/>
        <w:spacing w:after="120"/>
        <w:ind w:firstLine="720"/>
        <w:rPr>
          <w:rFonts w:asciiTheme="minorHAnsi" w:hAnsiTheme="minorHAnsi"/>
          <w:lang w:val="es-US"/>
        </w:rPr>
      </w:pPr>
      <w:r w:rsidRPr="000D1DE6">
        <w:rPr>
          <w:rStyle w:val="FootnoteReference"/>
          <w:rFonts w:asciiTheme="minorHAnsi" w:hAnsiTheme="minorHAnsi"/>
        </w:rPr>
        <w:footnoteRef/>
      </w:r>
      <w:r w:rsidRPr="000D1DE6">
        <w:rPr>
          <w:rFonts w:asciiTheme="minorHAnsi" w:hAnsiTheme="minorHAnsi"/>
        </w:rPr>
        <w:t xml:space="preserve"> Noveno Informe del Estado mexicano sobre el cumplimiento y seguimiento de las recomendaciones contenidas en el informe “Situación de los Derechos Humanos en México”, pág. 95.</w:t>
      </w:r>
    </w:p>
  </w:footnote>
  <w:footnote w:id="506">
    <w:p w14:paraId="5D6B148A" w14:textId="6C60298E" w:rsidR="000235D8" w:rsidRPr="000D1DE6" w:rsidRDefault="000235D8" w:rsidP="00F46807">
      <w:pPr>
        <w:pStyle w:val="FootnoteText"/>
        <w:spacing w:after="120"/>
        <w:ind w:firstLine="720"/>
        <w:rPr>
          <w:rFonts w:asciiTheme="minorHAnsi" w:hAnsiTheme="minorHAnsi"/>
          <w:lang w:val="es-US"/>
        </w:rPr>
      </w:pPr>
      <w:r w:rsidRPr="000D1DE6">
        <w:rPr>
          <w:rStyle w:val="FootnoteReference"/>
          <w:rFonts w:asciiTheme="minorHAnsi" w:hAnsiTheme="minorHAnsi"/>
        </w:rPr>
        <w:footnoteRef/>
      </w:r>
      <w:r w:rsidRPr="000D1DE6">
        <w:rPr>
          <w:rFonts w:asciiTheme="minorHAnsi" w:hAnsiTheme="minorHAnsi"/>
        </w:rPr>
        <w:t xml:space="preserve"> Noveno Informe del Estado mexicano sobre el cumplimiento y seguimiento de las recomendaciones contenidas en el informe “Situación de los Derechos Humanos en México”, pág. 95.</w:t>
      </w:r>
    </w:p>
  </w:footnote>
  <w:footnote w:id="507">
    <w:p w14:paraId="5961C231" w14:textId="2260695B" w:rsidR="000235D8" w:rsidRPr="000D1DE6" w:rsidRDefault="000235D8" w:rsidP="00F46807">
      <w:pPr>
        <w:pStyle w:val="FootnoteText"/>
        <w:spacing w:after="120"/>
        <w:ind w:firstLine="720"/>
        <w:rPr>
          <w:rFonts w:asciiTheme="minorHAnsi" w:hAnsiTheme="minorHAnsi"/>
        </w:rPr>
      </w:pPr>
      <w:r w:rsidRPr="000D1DE6">
        <w:rPr>
          <w:rStyle w:val="FootnoteReference"/>
          <w:rFonts w:asciiTheme="minorHAnsi" w:hAnsiTheme="minorHAnsi"/>
        </w:rPr>
        <w:footnoteRef/>
      </w:r>
      <w:r w:rsidRPr="000D1DE6">
        <w:rPr>
          <w:rFonts w:asciiTheme="minorHAnsi" w:hAnsiTheme="minorHAnsi"/>
        </w:rPr>
        <w:t xml:space="preserve"> CIDH, Relatoría Especial para la Libertad de Expresión, Comunicado de prensa R157/21. </w:t>
      </w:r>
      <w:hyperlink r:id="rId438" w:history="1">
        <w:r w:rsidRPr="000D1DE6">
          <w:rPr>
            <w:rStyle w:val="Hyperlink"/>
            <w:rFonts w:asciiTheme="minorHAnsi" w:hAnsiTheme="minorHAnsi"/>
          </w:rPr>
          <w:t>La Relatoría condena el asesinato de los periodistas Gustavo Sánchez Cabrera, Enrique García y Saúl Tijerina y llama al Estado mexicano a investigar los hechos y fortalecer las medidas de protección a la prensa</w:t>
        </w:r>
      </w:hyperlink>
      <w:r w:rsidRPr="000D1DE6">
        <w:rPr>
          <w:rFonts w:asciiTheme="minorHAnsi" w:hAnsiTheme="minorHAnsi"/>
        </w:rPr>
        <w:t>, Washington D.C., 24 de junio de 2021.</w:t>
      </w:r>
    </w:p>
  </w:footnote>
  <w:footnote w:id="508">
    <w:p w14:paraId="1663B3A9" w14:textId="4F78B20D" w:rsidR="000235D8" w:rsidRPr="000D1DE6" w:rsidRDefault="000235D8" w:rsidP="00F46807">
      <w:pPr>
        <w:pStyle w:val="FootnoteText"/>
        <w:spacing w:after="120"/>
        <w:ind w:firstLine="720"/>
        <w:rPr>
          <w:rFonts w:asciiTheme="minorHAnsi" w:hAnsiTheme="minorHAnsi"/>
        </w:rPr>
      </w:pPr>
      <w:r w:rsidRPr="000D1DE6">
        <w:rPr>
          <w:rStyle w:val="FootnoteReference"/>
          <w:rFonts w:asciiTheme="minorHAnsi" w:hAnsiTheme="minorHAnsi"/>
        </w:rPr>
        <w:footnoteRef/>
      </w:r>
      <w:r w:rsidRPr="000D1DE6">
        <w:rPr>
          <w:rFonts w:asciiTheme="minorHAnsi" w:hAnsiTheme="minorHAnsi"/>
        </w:rPr>
        <w:t xml:space="preserve"> CIDH, </w:t>
      </w:r>
      <w:hyperlink r:id="rId439" w:history="1">
        <w:r w:rsidRPr="000D1DE6">
          <w:rPr>
            <w:rStyle w:val="Hyperlink"/>
            <w:rFonts w:asciiTheme="minorHAnsi" w:hAnsiTheme="minorHAnsi"/>
          </w:rPr>
          <w:t>Informe Anual, Anexo: Informe de la Relatoría Especial para la Libertad de Expresión</w:t>
        </w:r>
      </w:hyperlink>
      <w:r w:rsidRPr="000D1DE6">
        <w:rPr>
          <w:rFonts w:asciiTheme="minorHAnsi" w:hAnsiTheme="minorHAnsi"/>
        </w:rPr>
        <w:t>, 2014, OEA/Ser.L/V/II Doc. 13, 9 de marzo de 2015, párr. 720.</w:t>
      </w:r>
    </w:p>
  </w:footnote>
  <w:footnote w:id="509">
    <w:p w14:paraId="09F0166A" w14:textId="6A53AA72" w:rsidR="000235D8" w:rsidRPr="000D1DE6" w:rsidRDefault="000235D8" w:rsidP="00F46807">
      <w:pPr>
        <w:pStyle w:val="FootnoteText"/>
        <w:spacing w:after="120"/>
        <w:ind w:firstLine="720"/>
        <w:rPr>
          <w:rFonts w:asciiTheme="minorHAnsi" w:hAnsiTheme="minorHAnsi"/>
        </w:rPr>
      </w:pPr>
      <w:r w:rsidRPr="000D1DE6">
        <w:rPr>
          <w:rStyle w:val="FootnoteReference"/>
          <w:rFonts w:asciiTheme="minorHAnsi" w:hAnsiTheme="minorHAnsi"/>
        </w:rPr>
        <w:footnoteRef/>
      </w:r>
      <w:r w:rsidRPr="000D1DE6">
        <w:rPr>
          <w:rFonts w:asciiTheme="minorHAnsi" w:hAnsiTheme="minorHAnsi"/>
        </w:rPr>
        <w:t xml:space="preserve"> CIDH, Relatoría Especial para la Libertad de Expresión. Comunicado de prensa R157/21. </w:t>
      </w:r>
      <w:hyperlink r:id="rId440" w:history="1">
        <w:r w:rsidRPr="000D1DE6">
          <w:rPr>
            <w:rStyle w:val="Hyperlink"/>
            <w:rFonts w:asciiTheme="minorHAnsi" w:hAnsiTheme="minorHAnsi"/>
            <w:i/>
            <w:iCs/>
          </w:rPr>
          <w:t>La Relatoría condena el asesinato de los periodistas Gustavo Sánchez Cabrera, Enrique García y Saúl Tijerina y llama al Estado mexicano a investigar los hechos y fortalecer las medidas de protección a la prensa</w:t>
        </w:r>
      </w:hyperlink>
      <w:r w:rsidRPr="000D1DE6">
        <w:rPr>
          <w:rFonts w:asciiTheme="minorHAnsi" w:hAnsiTheme="minorHAnsi"/>
        </w:rPr>
        <w:t>, Washington D.C., 24 de junio de 2021.</w:t>
      </w:r>
    </w:p>
  </w:footnote>
  <w:footnote w:id="510">
    <w:p w14:paraId="5A98A6F0" w14:textId="166F1B11" w:rsidR="000235D8" w:rsidRPr="000D1DE6" w:rsidRDefault="000235D8" w:rsidP="00F46807">
      <w:pPr>
        <w:pStyle w:val="FootnoteText"/>
        <w:spacing w:after="120"/>
        <w:ind w:firstLine="720"/>
        <w:rPr>
          <w:rFonts w:asciiTheme="minorHAnsi" w:hAnsiTheme="minorHAnsi"/>
        </w:rPr>
      </w:pPr>
      <w:r w:rsidRPr="000D1DE6">
        <w:rPr>
          <w:rStyle w:val="FootnoteReference"/>
          <w:rFonts w:asciiTheme="minorHAnsi" w:hAnsiTheme="minorHAnsi"/>
        </w:rPr>
        <w:footnoteRef/>
      </w:r>
      <w:r w:rsidRPr="000D1DE6">
        <w:rPr>
          <w:rFonts w:asciiTheme="minorHAnsi" w:hAnsiTheme="minorHAnsi"/>
        </w:rPr>
        <w:t xml:space="preserve"> CIDH, Relatoría Especial para la Libertad de Expresión. </w:t>
      </w:r>
      <w:hyperlink r:id="rId441" w:history="1">
        <w:r w:rsidRPr="000D1DE6">
          <w:rPr>
            <w:rStyle w:val="Hyperlink"/>
            <w:rFonts w:asciiTheme="minorHAnsi" w:hAnsiTheme="minorHAnsi"/>
          </w:rPr>
          <w:t>Informe Especial sobre la Situación de la Libertad de Expresión en México</w:t>
        </w:r>
      </w:hyperlink>
      <w:r w:rsidRPr="000D1DE6">
        <w:rPr>
          <w:rFonts w:asciiTheme="minorHAnsi" w:hAnsiTheme="minorHAnsi"/>
        </w:rPr>
        <w:t xml:space="preserve">. Informe conjunto del Relator Especial para la libertad de expresión de la CIDH, Edison Lanza, y el Relator Especial de las Naciones Unidas sobre la promoción y protección del derecho a la libertad de opinión y de expresión, David Kaye, sobre su misión a México, junio de 2018. </w:t>
      </w:r>
    </w:p>
  </w:footnote>
  <w:footnote w:id="511">
    <w:p w14:paraId="167F81E1" w14:textId="11237A01" w:rsidR="000235D8" w:rsidRPr="000D1DE6" w:rsidRDefault="000235D8" w:rsidP="00F46807">
      <w:pPr>
        <w:pStyle w:val="FootnoteText"/>
        <w:spacing w:after="120"/>
        <w:ind w:firstLine="720"/>
        <w:rPr>
          <w:rFonts w:asciiTheme="minorHAnsi" w:hAnsiTheme="minorHAnsi"/>
          <w:lang w:val="es-US"/>
        </w:rPr>
      </w:pPr>
      <w:r w:rsidRPr="000D1DE6">
        <w:rPr>
          <w:rStyle w:val="FootnoteReference"/>
          <w:rFonts w:asciiTheme="minorHAnsi" w:hAnsiTheme="minorHAnsi"/>
        </w:rPr>
        <w:footnoteRef/>
      </w:r>
      <w:r w:rsidRPr="000D1DE6">
        <w:rPr>
          <w:rFonts w:asciiTheme="minorHAnsi" w:hAnsiTheme="minorHAnsi"/>
        </w:rPr>
        <w:t xml:space="preserve"> Noveno Informe del Estado mexicano sobre el cumplimiento y seguimiento de las recomendaciones contenidas en el informe “Situación de los Derechos Humanos en México”, pág. 96. </w:t>
      </w:r>
    </w:p>
  </w:footnote>
  <w:footnote w:id="512">
    <w:p w14:paraId="2D493B80" w14:textId="38BBC920" w:rsidR="000235D8" w:rsidRPr="000D1DE6" w:rsidRDefault="000235D8" w:rsidP="00F46807">
      <w:pPr>
        <w:pStyle w:val="FootnoteText"/>
        <w:spacing w:after="120"/>
        <w:ind w:firstLine="720"/>
        <w:rPr>
          <w:rFonts w:asciiTheme="minorHAnsi" w:hAnsiTheme="minorHAnsi"/>
        </w:rPr>
      </w:pPr>
      <w:r w:rsidRPr="000D1DE6">
        <w:rPr>
          <w:rStyle w:val="FootnoteReference"/>
          <w:rFonts w:asciiTheme="minorHAnsi" w:hAnsiTheme="minorHAnsi"/>
        </w:rPr>
        <w:footnoteRef/>
      </w:r>
      <w:r w:rsidRPr="000D1DE6">
        <w:rPr>
          <w:rFonts w:asciiTheme="minorHAnsi" w:hAnsiTheme="minorHAnsi"/>
        </w:rPr>
        <w:t xml:space="preserve"> Noveno Informe del Estado mexicano sobre el cumplimiento y seguimiento de las recomendaciones contenidas en el informe “Situación de los Derechos Humanos en México”, pág. 97. </w:t>
      </w:r>
    </w:p>
  </w:footnote>
  <w:footnote w:id="513">
    <w:p w14:paraId="6DD4FE65" w14:textId="4FE599ED" w:rsidR="000235D8" w:rsidRPr="000D1DE6" w:rsidRDefault="000235D8" w:rsidP="00F46807">
      <w:pPr>
        <w:pStyle w:val="FootnoteText"/>
        <w:spacing w:after="120"/>
        <w:ind w:firstLine="720"/>
        <w:rPr>
          <w:rFonts w:asciiTheme="minorHAnsi" w:hAnsiTheme="minorHAnsi"/>
        </w:rPr>
      </w:pPr>
      <w:r w:rsidRPr="000D1DE6">
        <w:rPr>
          <w:rStyle w:val="FootnoteReference"/>
          <w:rFonts w:asciiTheme="minorHAnsi" w:hAnsiTheme="minorHAnsi"/>
        </w:rPr>
        <w:footnoteRef/>
      </w:r>
      <w:r w:rsidRPr="000D1DE6">
        <w:rPr>
          <w:rFonts w:asciiTheme="minorHAnsi" w:hAnsiTheme="minorHAnsi"/>
        </w:rPr>
        <w:t xml:space="preserve"> Noveno Informe del Estado mexicano sobre el cumplimiento y seguimiento de las recomendaciones contenidas en el informe “Situación de los Derechos Humanos en México”, pág. 97 – 98. </w:t>
      </w:r>
    </w:p>
  </w:footnote>
  <w:footnote w:id="514">
    <w:p w14:paraId="6D7C7012" w14:textId="7FE2B092" w:rsidR="000235D8" w:rsidRPr="000D1DE6" w:rsidRDefault="000235D8" w:rsidP="00F46807">
      <w:pPr>
        <w:pStyle w:val="FootnoteText"/>
        <w:spacing w:after="120"/>
        <w:ind w:firstLine="720"/>
        <w:rPr>
          <w:rFonts w:asciiTheme="minorHAnsi" w:hAnsiTheme="minorHAnsi"/>
        </w:rPr>
      </w:pPr>
      <w:r w:rsidRPr="000D1DE6">
        <w:rPr>
          <w:rStyle w:val="FootnoteReference"/>
          <w:rFonts w:asciiTheme="minorHAnsi" w:hAnsiTheme="minorHAnsi"/>
        </w:rPr>
        <w:footnoteRef/>
      </w:r>
      <w:r w:rsidRPr="000D1DE6">
        <w:rPr>
          <w:rFonts w:asciiTheme="minorHAnsi" w:hAnsiTheme="minorHAnsi"/>
        </w:rPr>
        <w:t xml:space="preserve"> Noveno Informe del Estado mexicano sobre el cumplimiento y seguimiento de las recomendaciones contenidas en el informe “Situación de los Derechos Humanos en México”, pág. 98. </w:t>
      </w:r>
    </w:p>
  </w:footnote>
  <w:footnote w:id="515">
    <w:p w14:paraId="59E442D2" w14:textId="1EA409AD" w:rsidR="000235D8" w:rsidRPr="000D1DE6" w:rsidRDefault="000235D8" w:rsidP="00F46807">
      <w:pPr>
        <w:pStyle w:val="FootnoteText"/>
        <w:spacing w:after="120"/>
        <w:ind w:firstLine="720"/>
        <w:rPr>
          <w:rFonts w:asciiTheme="minorHAnsi" w:hAnsiTheme="minorHAnsi"/>
        </w:rPr>
      </w:pPr>
      <w:r w:rsidRPr="000D1DE6">
        <w:rPr>
          <w:rStyle w:val="FootnoteReference"/>
          <w:rFonts w:asciiTheme="minorHAnsi" w:hAnsiTheme="minorHAnsi"/>
        </w:rPr>
        <w:footnoteRef/>
      </w:r>
      <w:r w:rsidRPr="000D1DE6">
        <w:rPr>
          <w:rFonts w:asciiTheme="minorHAnsi" w:hAnsiTheme="minorHAnsi"/>
        </w:rPr>
        <w:t xml:space="preserve"> Noveno Informe del Estado mexicano sobre el cumplimiento y seguimiento de las recomendaciones contenidas en el informe “Situación de los Derechos Humanos en México”, pág. 99. </w:t>
      </w:r>
    </w:p>
  </w:footnote>
  <w:footnote w:id="516">
    <w:p w14:paraId="24E45BDD" w14:textId="5860C124" w:rsidR="000235D8" w:rsidRPr="005C04BD" w:rsidRDefault="000235D8" w:rsidP="00F46807">
      <w:pPr>
        <w:pStyle w:val="FootnoteText"/>
        <w:spacing w:after="120"/>
        <w:ind w:firstLine="720"/>
        <w:rPr>
          <w:rFonts w:asciiTheme="minorHAnsi" w:hAnsiTheme="minorHAnsi"/>
        </w:rPr>
      </w:pPr>
      <w:r w:rsidRPr="000D1DE6">
        <w:rPr>
          <w:rStyle w:val="FootnoteReference"/>
          <w:rFonts w:asciiTheme="minorHAnsi" w:hAnsiTheme="minorHAnsi"/>
        </w:rPr>
        <w:footnoteRef/>
      </w:r>
      <w:r w:rsidRPr="000D1DE6">
        <w:rPr>
          <w:rFonts w:asciiTheme="minorHAnsi" w:hAnsiTheme="minorHAnsi"/>
        </w:rPr>
        <w:t xml:space="preserve"> Noveno Informe del Estado mexicano sobre el cumplimiento y seguimiento de las recomendaciones contenidas en el informe “Situación de los Derechos Humanos en México”, pág. 99 – 100.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9771C" w14:textId="77777777" w:rsidR="0053683D" w:rsidRPr="00ED1EBA" w:rsidRDefault="0053683D" w:rsidP="0053683D">
    <w:pPr>
      <w:pStyle w:val="Header"/>
      <w:rPr>
        <w:rFonts w:ascii="Arial" w:hAnsi="Arial" w:cs="Arial"/>
        <w:color w:val="4A442A" w:themeColor="background2" w:themeShade="40"/>
        <w:szCs w:val="28"/>
      </w:rPr>
    </w:pPr>
    <w:r w:rsidRPr="006B1F24">
      <w:rPr>
        <w:noProof/>
        <w:sz w:val="28"/>
        <w:szCs w:val="28"/>
      </w:rPr>
      <w:drawing>
        <wp:anchor distT="0" distB="0" distL="114300" distR="114300" simplePos="0" relativeHeight="251661314" behindDoc="0" locked="0" layoutInCell="1" allowOverlap="1" wp14:anchorId="2454FC1B" wp14:editId="6B58649C">
          <wp:simplePos x="0" y="0"/>
          <wp:positionH relativeFrom="column">
            <wp:posOffset>4658995</wp:posOffset>
          </wp:positionH>
          <wp:positionV relativeFrom="paragraph">
            <wp:posOffset>-3447</wp:posOffset>
          </wp:positionV>
          <wp:extent cx="1485900" cy="346075"/>
          <wp:effectExtent l="0" t="0" r="0" b="0"/>
          <wp:wrapSquare wrapText="bothSides"/>
          <wp:docPr id="3"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85900" cy="34607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918957B" wp14:editId="7F2B5D3B">
          <wp:extent cx="1328057" cy="309334"/>
          <wp:effectExtent l="0" t="0" r="5715" b="0"/>
          <wp:docPr id="1"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Uma imagem contendo placa, desenho, comida, placar&#10;&#10;Descrição gerad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1361022" cy="317012"/>
                  </a:xfrm>
                  <a:prstGeom prst="rect">
                    <a:avLst/>
                  </a:prstGeom>
                </pic:spPr>
              </pic:pic>
            </a:graphicData>
          </a:graphic>
        </wp:inline>
      </w:drawing>
    </w:r>
    <w:r>
      <w:rPr>
        <w:rFonts w:ascii="Arial" w:hAnsi="Arial" w:cs="Arial"/>
        <w:color w:val="4A442A" w:themeColor="background2" w:themeShade="40"/>
        <w:szCs w:val="28"/>
      </w:rPr>
      <w:softHyphen/>
    </w:r>
    <w:r>
      <w:rPr>
        <w:rFonts w:ascii="Arial" w:hAnsi="Arial" w:cs="Arial"/>
        <w:color w:val="4A442A" w:themeColor="background2" w:themeShade="40"/>
        <w:szCs w:val="28"/>
      </w:rPr>
      <w:softHyphen/>
      <w:t xml:space="preserve">                       </w:t>
    </w:r>
  </w:p>
  <w:p w14:paraId="63BB5266" w14:textId="77777777" w:rsidR="0053683D" w:rsidRPr="00D56DC4" w:rsidRDefault="0053683D" w:rsidP="0053683D">
    <w:pPr>
      <w:pStyle w:val="Header"/>
      <w:rPr>
        <w:rFonts w:ascii="Arial" w:hAnsi="Arial" w:cs="Arial"/>
        <w:b/>
        <w:bCs/>
        <w:color w:val="404040" w:themeColor="text1" w:themeTint="BF"/>
        <w:sz w:val="44"/>
        <w:szCs w:val="44"/>
      </w:rPr>
    </w:pPr>
    <w:r>
      <w:rPr>
        <w:rFonts w:ascii="Arial" w:hAnsi="Arial" w:cs="Arial"/>
        <w:b/>
        <w:bCs/>
        <w:noProof/>
        <w:color w:val="000000" w:themeColor="text1"/>
        <w:sz w:val="44"/>
        <w:szCs w:val="44"/>
      </w:rPr>
      <mc:AlternateContent>
        <mc:Choice Requires="wps">
          <w:drawing>
            <wp:anchor distT="0" distB="0" distL="114300" distR="114300" simplePos="0" relativeHeight="251660290" behindDoc="0" locked="0" layoutInCell="1" allowOverlap="1" wp14:anchorId="3DA4A090" wp14:editId="6FB07F2A">
              <wp:simplePos x="0" y="0"/>
              <wp:positionH relativeFrom="column">
                <wp:posOffset>-5080</wp:posOffset>
              </wp:positionH>
              <wp:positionV relativeFrom="paragraph">
                <wp:posOffset>174133</wp:posOffset>
              </wp:positionV>
              <wp:extent cx="6148358"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C200C6" id="Straight Connector 2" o:spid="_x0000_s1026" style="position:absolute;z-index:251660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3.7pt" to="483.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" strokecolor="#272727 [2749]" strokeweight="1.2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CA883" w14:textId="77777777" w:rsidR="000235D8" w:rsidRDefault="000235D8" w:rsidP="00855023">
    <w:pPr>
      <w:pStyle w:val="Header"/>
      <w:spacing w:line="216" w:lineRule="auto"/>
      <w:rPr>
        <w:rFonts w:ascii="Arial" w:hAnsi="Arial" w:cs="Arial"/>
        <w:color w:val="4A442A" w:themeColor="background2" w:themeShade="40"/>
        <w:sz w:val="28"/>
        <w:szCs w:val="28"/>
      </w:rPr>
    </w:pPr>
    <w:r w:rsidRPr="006B1F24">
      <w:rPr>
        <w:noProof/>
        <w:sz w:val="28"/>
        <w:szCs w:val="28"/>
        <w:lang w:val="es-US"/>
      </w:rPr>
      <w:drawing>
        <wp:anchor distT="0" distB="0" distL="114300" distR="114300" simplePos="0" relativeHeight="251658241" behindDoc="0" locked="0" layoutInCell="1" allowOverlap="1" wp14:anchorId="430C15B5" wp14:editId="41A991E7">
          <wp:simplePos x="0" y="0"/>
          <wp:positionH relativeFrom="column">
            <wp:posOffset>4088765</wp:posOffset>
          </wp:positionH>
          <wp:positionV relativeFrom="paragraph">
            <wp:posOffset>72390</wp:posOffset>
          </wp:positionV>
          <wp:extent cx="2183130" cy="50863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183130" cy="508635"/>
                  </a:xfrm>
                  <a:prstGeom prst="rect">
                    <a:avLst/>
                  </a:prstGeom>
                </pic:spPr>
              </pic:pic>
            </a:graphicData>
          </a:graphic>
          <wp14:sizeRelH relativeFrom="page">
            <wp14:pctWidth>0</wp14:pctWidth>
          </wp14:sizeRelH>
          <wp14:sizeRelV relativeFrom="page">
            <wp14:pctHeight>0</wp14:pctHeight>
          </wp14:sizeRelV>
        </wp:anchor>
      </w:drawing>
    </w:r>
    <w:r>
      <w:rPr>
        <w:noProof/>
        <w:sz w:val="28"/>
        <w:szCs w:val="28"/>
        <w:lang w:val="es-US"/>
      </w:rPr>
      <mc:AlternateContent>
        <mc:Choice Requires="wps">
          <w:drawing>
            <wp:anchor distT="0" distB="0" distL="114300" distR="114300" simplePos="0" relativeHeight="251658242" behindDoc="0" locked="0" layoutInCell="1" allowOverlap="1" wp14:anchorId="214F19E5" wp14:editId="72A12AE6">
              <wp:simplePos x="0" y="0"/>
              <wp:positionH relativeFrom="column">
                <wp:posOffset>-166255</wp:posOffset>
              </wp:positionH>
              <wp:positionV relativeFrom="paragraph">
                <wp:posOffset>49184</wp:posOffset>
              </wp:positionV>
              <wp:extent cx="2937164" cy="665018"/>
              <wp:effectExtent l="0" t="0" r="0" b="0"/>
              <wp:wrapNone/>
              <wp:docPr id="9" name="Caixa de Texto 9"/>
              <wp:cNvGraphicFramePr/>
              <a:graphic xmlns:a="http://schemas.openxmlformats.org/drawingml/2006/main">
                <a:graphicData uri="http://schemas.microsoft.com/office/word/2010/wordprocessingShape">
                  <wps:wsp>
                    <wps:cNvSpPr txBox="1"/>
                    <wps:spPr>
                      <a:xfrm>
                        <a:off x="0" y="0"/>
                        <a:ext cx="2937164" cy="665018"/>
                      </a:xfrm>
                      <a:prstGeom prst="rect">
                        <a:avLst/>
                      </a:prstGeom>
                      <a:noFill/>
                      <a:ln w="6350">
                        <a:noFill/>
                      </a:ln>
                    </wps:spPr>
                    <wps:txbx>
                      <w:txbxContent>
                        <w:p w14:paraId="0C9433DA" w14:textId="77777777" w:rsidR="000235D8" w:rsidRDefault="000235D8" w:rsidP="00855023">
                          <w:r>
                            <w:rPr>
                              <w:noProof/>
                              <w:lang w:val="es-US"/>
                            </w:rPr>
                            <w:drawing>
                              <wp:inline distT="0" distB="0" distL="0" distR="0" wp14:anchorId="2C95F508" wp14:editId="0FE60EA6">
                                <wp:extent cx="2022371" cy="471055"/>
                                <wp:effectExtent l="0" t="0" r="0" b="0"/>
                                <wp:docPr id="11"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Uma imagem contendo placa, desenho, comida, placar&#10;&#10;Descrição gerad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2022371" cy="4710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14F19E5" id="_x0000_t202" coordsize="21600,21600" o:spt="202" path="m,l,21600r21600,l21600,xe">
              <v:stroke joinstyle="miter"/>
              <v:path gradientshapeok="t" o:connecttype="rect"/>
            </v:shapetype>
            <v:shape id="Caixa de Texto 9" o:spid="_x0000_s1026" type="#_x0000_t202" style="position:absolute;margin-left:-13.1pt;margin-top:3.85pt;width:231.25pt;height:52.35pt;z-index:25165824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" filled="f" stroked="f" strokeweight=".5pt">
              <v:textbox>
                <w:txbxContent>
                  <w:p w14:paraId="0C9433DA" w14:textId="77777777" w:rsidR="000235D8" w:rsidRDefault="000235D8" w:rsidP="00855023">
                    <w:r>
                      <w:rPr>
                        <w:noProof/>
                        <w:lang w:val="es-US"/>
                      </w:rPr>
                      <w:drawing>
                        <wp:inline distT="0" distB="0" distL="0" distR="0" wp14:anchorId="2C95F508" wp14:editId="0FE60EA6">
                          <wp:extent cx="2022371" cy="471055"/>
                          <wp:effectExtent l="0" t="0" r="0" b="0"/>
                          <wp:docPr id="11"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Uma imagem contendo placa, desenho, comida, placar&#10;&#10;Descrição gerada automaticamente"/>
                                  <pic:cNvPicPr/>
                                </pic:nvPicPr>
                                <pic:blipFill>
                                  <a:blip r:embed="rId3">
                                    <a:extLst>
                                      <a:ext uri="{28A0092B-C50C-407E-A947-70E740481C1C}">
                                        <a14:useLocalDpi xmlns:a14="http://schemas.microsoft.com/office/drawing/2010/main" val="0"/>
                                      </a:ext>
                                    </a:extLst>
                                  </a:blip>
                                  <a:stretch>
                                    <a:fillRect/>
                                  </a:stretch>
                                </pic:blipFill>
                                <pic:spPr>
                                  <a:xfrm>
                                    <a:off x="0" y="0"/>
                                    <a:ext cx="2022371" cy="471055"/>
                                  </a:xfrm>
                                  <a:prstGeom prst="rect">
                                    <a:avLst/>
                                  </a:prstGeom>
                                </pic:spPr>
                              </pic:pic>
                            </a:graphicData>
                          </a:graphic>
                        </wp:inline>
                      </w:drawing>
                    </w:r>
                  </w:p>
                </w:txbxContent>
              </v:textbox>
            </v:shape>
          </w:pict>
        </mc:Fallback>
      </mc:AlternateContent>
    </w:r>
    <w:r>
      <w:rPr>
        <w:rFonts w:ascii="Arial" w:hAnsi="Arial" w:cs="Arial"/>
        <w:color w:val="4A442A" w:themeColor="background2" w:themeShade="40"/>
        <w:sz w:val="28"/>
        <w:szCs w:val="28"/>
      </w:rPr>
      <w:softHyphen/>
    </w:r>
    <w:r>
      <w:rPr>
        <w:rFonts w:ascii="Arial" w:hAnsi="Arial" w:cs="Arial"/>
        <w:color w:val="4A442A" w:themeColor="background2" w:themeShade="40"/>
        <w:sz w:val="28"/>
        <w:szCs w:val="28"/>
      </w:rPr>
      <w:softHyphen/>
    </w:r>
    <w:r>
      <w:rPr>
        <w:rFonts w:ascii="Arial" w:hAnsi="Arial" w:cs="Arial"/>
        <w:color w:val="4A442A" w:themeColor="background2" w:themeShade="40"/>
        <w:sz w:val="28"/>
        <w:szCs w:val="28"/>
      </w:rPr>
      <w:softHyphen/>
    </w:r>
  </w:p>
  <w:p w14:paraId="51695187" w14:textId="77777777" w:rsidR="000235D8" w:rsidRDefault="000235D8" w:rsidP="00855023">
    <w:pPr>
      <w:pStyle w:val="Header"/>
      <w:spacing w:line="216" w:lineRule="auto"/>
      <w:rPr>
        <w:rFonts w:ascii="Arial" w:hAnsi="Arial" w:cs="Arial"/>
        <w:color w:val="4A442A" w:themeColor="background2" w:themeShade="40"/>
        <w:sz w:val="28"/>
        <w:szCs w:val="28"/>
      </w:rPr>
    </w:pPr>
  </w:p>
  <w:p w14:paraId="50697AC3" w14:textId="77777777" w:rsidR="000235D8" w:rsidRDefault="000235D8" w:rsidP="00855023">
    <w:pPr>
      <w:pStyle w:val="Header"/>
      <w:spacing w:line="216" w:lineRule="auto"/>
      <w:rPr>
        <w:rFonts w:ascii="Arial" w:hAnsi="Arial" w:cs="Arial"/>
        <w:color w:val="4A442A" w:themeColor="background2" w:themeShade="40"/>
        <w:sz w:val="28"/>
        <w:szCs w:val="28"/>
      </w:rPr>
    </w:pPr>
  </w:p>
  <w:p w14:paraId="7997790E" w14:textId="77777777" w:rsidR="000235D8" w:rsidRPr="00566CD0" w:rsidRDefault="000235D8" w:rsidP="00855023">
    <w:pPr>
      <w:pStyle w:val="Header"/>
      <w:spacing w:line="216" w:lineRule="auto"/>
      <w:rPr>
        <w:rFonts w:ascii="Arial" w:hAnsi="Arial" w:cs="Arial"/>
        <w:b/>
        <w:bCs/>
        <w:color w:val="404040" w:themeColor="text1" w:themeTint="BF"/>
        <w:sz w:val="44"/>
        <w:szCs w:val="44"/>
      </w:rPr>
    </w:pPr>
    <w:r>
      <w:rPr>
        <w:rFonts w:ascii="Arial" w:hAnsi="Arial" w:cs="Arial"/>
        <w:b/>
        <w:bCs/>
        <w:noProof/>
        <w:color w:val="000000" w:themeColor="text1"/>
        <w:sz w:val="44"/>
        <w:szCs w:val="44"/>
        <w:lang w:val="es-US"/>
      </w:rPr>
      <mc:AlternateContent>
        <mc:Choice Requires="wps">
          <w:drawing>
            <wp:anchor distT="0" distB="0" distL="114300" distR="114300" simplePos="0" relativeHeight="251658240" behindDoc="0" locked="0" layoutInCell="1" allowOverlap="1" wp14:anchorId="2BF7A90D" wp14:editId="571D15FD">
              <wp:simplePos x="0" y="0"/>
              <wp:positionH relativeFrom="column">
                <wp:posOffset>-5610</wp:posOffset>
              </wp:positionH>
              <wp:positionV relativeFrom="paragraph">
                <wp:posOffset>167882</wp:posOffset>
              </wp:positionV>
              <wp:extent cx="6148358"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F549D0" id="Straight Connector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3.2pt" to="48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" strokecolor="#272727 [2749]" strokeweight="1.25pt"/>
          </w:pict>
        </mc:Fallback>
      </mc:AlternateContent>
    </w:r>
  </w:p>
  <w:p w14:paraId="14606BC7" w14:textId="62706309" w:rsidR="000235D8" w:rsidRPr="00855023" w:rsidRDefault="000235D8" w:rsidP="00855023">
    <w:pPr>
      <w:pStyle w:val="Header"/>
    </w:pPr>
  </w:p>
</w:hdr>
</file>

<file path=word/intelligence.xml><?xml version="1.0" encoding="utf-8"?>
<int:Intelligence xmlns:int="http://schemas.microsoft.com/office/intelligence/2019/intelligence">
  <int:IntelligenceSettings/>
  <int:Manifest>
    <int:ParagraphRange paragraphId="341863080" textId="2004318071" start="171" length="10" invalidationStart="171" invalidationLength="10" id="yrp7NmLB"/>
    <int:WordHash hashCode="CatSTgc9L8OGjy" id="UCtA8S8J"/>
    <int:WordHash hashCode="Juevm2cL9ITb2v" id="ILMr1NW0"/>
  </int:Manifest>
  <int:Observations>
    <int:Content id="yrp7NmLB">
      <int:Rejection type="LegacyProofing"/>
    </int:Content>
    <int:Content id="UCtA8S8J">
      <int:Rejection type="AugLoop_Acronyms_AcronymsCritique"/>
    </int:Content>
    <int:Content id="ILMr1NW0">
      <int:Rejection type="AugLoop_Acronyms_Acronyms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72E6C"/>
    <w:multiLevelType w:val="multilevel"/>
    <w:tmpl w:val="3FA4E35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03894563"/>
    <w:multiLevelType w:val="multilevel"/>
    <w:tmpl w:val="2F2025B4"/>
    <w:lvl w:ilvl="0">
      <w:start w:val="1"/>
      <w:numFmt w:val="bullet"/>
      <w:lvlText w:val="●"/>
      <w:lvlJc w:val="left"/>
      <w:pPr>
        <w:ind w:left="1350" w:hanging="360"/>
      </w:pPr>
      <w:rPr>
        <w:rFonts w:ascii="Noto Sans Symbols" w:eastAsia="Noto Sans Symbols" w:hAnsi="Noto Sans Symbols" w:cs="Noto Sans Symbols"/>
      </w:rPr>
    </w:lvl>
    <w:lvl w:ilvl="1">
      <w:start w:val="1"/>
      <w:numFmt w:val="bullet"/>
      <w:lvlText w:val="o"/>
      <w:lvlJc w:val="left"/>
      <w:pPr>
        <w:ind w:left="2070" w:hanging="360"/>
      </w:pPr>
      <w:rPr>
        <w:rFonts w:ascii="Courier New" w:eastAsia="Courier New" w:hAnsi="Courier New" w:cs="Courier New"/>
      </w:rPr>
    </w:lvl>
    <w:lvl w:ilvl="2">
      <w:start w:val="1"/>
      <w:numFmt w:val="bullet"/>
      <w:lvlText w:val="▪"/>
      <w:lvlJc w:val="left"/>
      <w:pPr>
        <w:ind w:left="2790" w:hanging="360"/>
      </w:pPr>
      <w:rPr>
        <w:rFonts w:ascii="Noto Sans Symbols" w:eastAsia="Noto Sans Symbols" w:hAnsi="Noto Sans Symbols" w:cs="Noto Sans Symbols"/>
      </w:rPr>
    </w:lvl>
    <w:lvl w:ilvl="3">
      <w:start w:val="1"/>
      <w:numFmt w:val="bullet"/>
      <w:lvlText w:val="●"/>
      <w:lvlJc w:val="left"/>
      <w:pPr>
        <w:ind w:left="3510" w:hanging="360"/>
      </w:pPr>
      <w:rPr>
        <w:rFonts w:ascii="Noto Sans Symbols" w:eastAsia="Noto Sans Symbols" w:hAnsi="Noto Sans Symbols" w:cs="Noto Sans Symbols"/>
      </w:rPr>
    </w:lvl>
    <w:lvl w:ilvl="4">
      <w:start w:val="1"/>
      <w:numFmt w:val="bullet"/>
      <w:lvlText w:val="o"/>
      <w:lvlJc w:val="left"/>
      <w:pPr>
        <w:ind w:left="4230" w:hanging="360"/>
      </w:pPr>
      <w:rPr>
        <w:rFonts w:ascii="Courier New" w:eastAsia="Courier New" w:hAnsi="Courier New" w:cs="Courier New"/>
      </w:rPr>
    </w:lvl>
    <w:lvl w:ilvl="5">
      <w:start w:val="1"/>
      <w:numFmt w:val="bullet"/>
      <w:lvlText w:val="▪"/>
      <w:lvlJc w:val="left"/>
      <w:pPr>
        <w:ind w:left="4950" w:hanging="360"/>
      </w:pPr>
      <w:rPr>
        <w:rFonts w:ascii="Noto Sans Symbols" w:eastAsia="Noto Sans Symbols" w:hAnsi="Noto Sans Symbols" w:cs="Noto Sans Symbols"/>
      </w:rPr>
    </w:lvl>
    <w:lvl w:ilvl="6">
      <w:start w:val="1"/>
      <w:numFmt w:val="bullet"/>
      <w:lvlText w:val="●"/>
      <w:lvlJc w:val="left"/>
      <w:pPr>
        <w:ind w:left="5670" w:hanging="360"/>
      </w:pPr>
      <w:rPr>
        <w:rFonts w:ascii="Noto Sans Symbols" w:eastAsia="Noto Sans Symbols" w:hAnsi="Noto Sans Symbols" w:cs="Noto Sans Symbols"/>
      </w:rPr>
    </w:lvl>
    <w:lvl w:ilvl="7">
      <w:start w:val="1"/>
      <w:numFmt w:val="bullet"/>
      <w:lvlText w:val="o"/>
      <w:lvlJc w:val="left"/>
      <w:pPr>
        <w:ind w:left="6390" w:hanging="360"/>
      </w:pPr>
      <w:rPr>
        <w:rFonts w:ascii="Courier New" w:eastAsia="Courier New" w:hAnsi="Courier New" w:cs="Courier New"/>
      </w:rPr>
    </w:lvl>
    <w:lvl w:ilvl="8">
      <w:start w:val="1"/>
      <w:numFmt w:val="bullet"/>
      <w:lvlText w:val="▪"/>
      <w:lvlJc w:val="left"/>
      <w:pPr>
        <w:ind w:left="7110" w:hanging="360"/>
      </w:pPr>
      <w:rPr>
        <w:rFonts w:ascii="Noto Sans Symbols" w:eastAsia="Noto Sans Symbols" w:hAnsi="Noto Sans Symbols" w:cs="Noto Sans Symbols"/>
      </w:rPr>
    </w:lvl>
  </w:abstractNum>
  <w:abstractNum w:abstractNumId="2" w15:restartNumberingAfterBreak="0">
    <w:nsid w:val="04347345"/>
    <w:multiLevelType w:val="multilevel"/>
    <w:tmpl w:val="C6EE49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404215"/>
    <w:multiLevelType w:val="multilevel"/>
    <w:tmpl w:val="CA0E2864"/>
    <w:lvl w:ilvl="0">
      <w:start w:val="1"/>
      <w:numFmt w:val="lowerLetter"/>
      <w:pStyle w:val="Numberedparagraphs"/>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FE56649"/>
    <w:multiLevelType w:val="multilevel"/>
    <w:tmpl w:val="BC082CF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15BC0852"/>
    <w:multiLevelType w:val="multilevel"/>
    <w:tmpl w:val="AEC0AD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AF668B"/>
    <w:multiLevelType w:val="multilevel"/>
    <w:tmpl w:val="671E564A"/>
    <w:lvl w:ilvl="0">
      <w:start w:val="1"/>
      <w:numFmt w:val="bullet"/>
      <w:lvlText w:val="●"/>
      <w:lvlJc w:val="left"/>
      <w:pPr>
        <w:ind w:left="1354" w:hanging="360"/>
      </w:pPr>
      <w:rPr>
        <w:rFonts w:ascii="Noto Sans Symbols" w:eastAsia="Noto Sans Symbols" w:hAnsi="Noto Sans Symbols" w:cs="Noto Sans Symbols"/>
      </w:rPr>
    </w:lvl>
    <w:lvl w:ilvl="1">
      <w:start w:val="1"/>
      <w:numFmt w:val="bullet"/>
      <w:lvlText w:val="o"/>
      <w:lvlJc w:val="left"/>
      <w:pPr>
        <w:ind w:left="2074" w:hanging="360"/>
      </w:pPr>
      <w:rPr>
        <w:rFonts w:ascii="Courier New" w:eastAsia="Courier New" w:hAnsi="Courier New" w:cs="Courier New"/>
      </w:rPr>
    </w:lvl>
    <w:lvl w:ilvl="2">
      <w:start w:val="1"/>
      <w:numFmt w:val="bullet"/>
      <w:lvlText w:val="▪"/>
      <w:lvlJc w:val="left"/>
      <w:pPr>
        <w:ind w:left="2794" w:hanging="360"/>
      </w:pPr>
      <w:rPr>
        <w:rFonts w:ascii="Noto Sans Symbols" w:eastAsia="Noto Sans Symbols" w:hAnsi="Noto Sans Symbols" w:cs="Noto Sans Symbols"/>
      </w:rPr>
    </w:lvl>
    <w:lvl w:ilvl="3">
      <w:start w:val="1"/>
      <w:numFmt w:val="bullet"/>
      <w:lvlText w:val="●"/>
      <w:lvlJc w:val="left"/>
      <w:pPr>
        <w:ind w:left="3514" w:hanging="360"/>
      </w:pPr>
      <w:rPr>
        <w:rFonts w:ascii="Noto Sans Symbols" w:eastAsia="Noto Sans Symbols" w:hAnsi="Noto Sans Symbols" w:cs="Noto Sans Symbols"/>
      </w:rPr>
    </w:lvl>
    <w:lvl w:ilvl="4">
      <w:start w:val="1"/>
      <w:numFmt w:val="bullet"/>
      <w:lvlText w:val="o"/>
      <w:lvlJc w:val="left"/>
      <w:pPr>
        <w:ind w:left="4234" w:hanging="360"/>
      </w:pPr>
      <w:rPr>
        <w:rFonts w:ascii="Courier New" w:eastAsia="Courier New" w:hAnsi="Courier New" w:cs="Courier New"/>
      </w:rPr>
    </w:lvl>
    <w:lvl w:ilvl="5">
      <w:start w:val="1"/>
      <w:numFmt w:val="bullet"/>
      <w:lvlText w:val="▪"/>
      <w:lvlJc w:val="left"/>
      <w:pPr>
        <w:ind w:left="4954" w:hanging="360"/>
      </w:pPr>
      <w:rPr>
        <w:rFonts w:ascii="Noto Sans Symbols" w:eastAsia="Noto Sans Symbols" w:hAnsi="Noto Sans Symbols" w:cs="Noto Sans Symbols"/>
      </w:rPr>
    </w:lvl>
    <w:lvl w:ilvl="6">
      <w:start w:val="1"/>
      <w:numFmt w:val="bullet"/>
      <w:lvlText w:val="●"/>
      <w:lvlJc w:val="left"/>
      <w:pPr>
        <w:ind w:left="5674" w:hanging="360"/>
      </w:pPr>
      <w:rPr>
        <w:rFonts w:ascii="Noto Sans Symbols" w:eastAsia="Noto Sans Symbols" w:hAnsi="Noto Sans Symbols" w:cs="Noto Sans Symbols"/>
      </w:rPr>
    </w:lvl>
    <w:lvl w:ilvl="7">
      <w:start w:val="1"/>
      <w:numFmt w:val="bullet"/>
      <w:lvlText w:val="o"/>
      <w:lvlJc w:val="left"/>
      <w:pPr>
        <w:ind w:left="6394" w:hanging="360"/>
      </w:pPr>
      <w:rPr>
        <w:rFonts w:ascii="Courier New" w:eastAsia="Courier New" w:hAnsi="Courier New" w:cs="Courier New"/>
      </w:rPr>
    </w:lvl>
    <w:lvl w:ilvl="8">
      <w:start w:val="1"/>
      <w:numFmt w:val="bullet"/>
      <w:lvlText w:val="▪"/>
      <w:lvlJc w:val="left"/>
      <w:pPr>
        <w:ind w:left="7114" w:hanging="360"/>
      </w:pPr>
      <w:rPr>
        <w:rFonts w:ascii="Noto Sans Symbols" w:eastAsia="Noto Sans Symbols" w:hAnsi="Noto Sans Symbols" w:cs="Noto Sans Symbols"/>
      </w:rPr>
    </w:lvl>
  </w:abstractNum>
  <w:abstractNum w:abstractNumId="7" w15:restartNumberingAfterBreak="0">
    <w:nsid w:val="1A542EFE"/>
    <w:multiLevelType w:val="hybridMultilevel"/>
    <w:tmpl w:val="E856BF9A"/>
    <w:lvl w:ilvl="0" w:tplc="540A000F">
      <w:start w:val="1"/>
      <w:numFmt w:val="decimal"/>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8" w15:restartNumberingAfterBreak="0">
    <w:nsid w:val="2F0347EE"/>
    <w:multiLevelType w:val="multilevel"/>
    <w:tmpl w:val="6470930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34A686E"/>
    <w:multiLevelType w:val="multilevel"/>
    <w:tmpl w:val="463272A0"/>
    <w:lvl w:ilvl="0">
      <w:start w:val="1"/>
      <w:numFmt w:val="bullet"/>
      <w:lvlText w:val="●"/>
      <w:lvlJc w:val="left"/>
      <w:pPr>
        <w:ind w:left="1350" w:hanging="360"/>
      </w:pPr>
      <w:rPr>
        <w:rFonts w:ascii="Noto Sans Symbols" w:eastAsia="Noto Sans Symbols" w:hAnsi="Noto Sans Symbols" w:cs="Noto Sans Symbols"/>
      </w:rPr>
    </w:lvl>
    <w:lvl w:ilvl="1">
      <w:start w:val="1"/>
      <w:numFmt w:val="bullet"/>
      <w:lvlText w:val="o"/>
      <w:lvlJc w:val="left"/>
      <w:pPr>
        <w:ind w:left="2070" w:hanging="360"/>
      </w:pPr>
      <w:rPr>
        <w:rFonts w:ascii="Courier New" w:eastAsia="Courier New" w:hAnsi="Courier New" w:cs="Courier New"/>
      </w:rPr>
    </w:lvl>
    <w:lvl w:ilvl="2">
      <w:start w:val="1"/>
      <w:numFmt w:val="bullet"/>
      <w:lvlText w:val="▪"/>
      <w:lvlJc w:val="left"/>
      <w:pPr>
        <w:ind w:left="2790" w:hanging="360"/>
      </w:pPr>
      <w:rPr>
        <w:rFonts w:ascii="Noto Sans Symbols" w:eastAsia="Noto Sans Symbols" w:hAnsi="Noto Sans Symbols" w:cs="Noto Sans Symbols"/>
      </w:rPr>
    </w:lvl>
    <w:lvl w:ilvl="3">
      <w:start w:val="1"/>
      <w:numFmt w:val="bullet"/>
      <w:lvlText w:val="●"/>
      <w:lvlJc w:val="left"/>
      <w:pPr>
        <w:ind w:left="3510" w:hanging="360"/>
      </w:pPr>
      <w:rPr>
        <w:rFonts w:ascii="Noto Sans Symbols" w:eastAsia="Noto Sans Symbols" w:hAnsi="Noto Sans Symbols" w:cs="Noto Sans Symbols"/>
      </w:rPr>
    </w:lvl>
    <w:lvl w:ilvl="4">
      <w:start w:val="1"/>
      <w:numFmt w:val="bullet"/>
      <w:lvlText w:val="o"/>
      <w:lvlJc w:val="left"/>
      <w:pPr>
        <w:ind w:left="4230" w:hanging="360"/>
      </w:pPr>
      <w:rPr>
        <w:rFonts w:ascii="Courier New" w:eastAsia="Courier New" w:hAnsi="Courier New" w:cs="Courier New"/>
      </w:rPr>
    </w:lvl>
    <w:lvl w:ilvl="5">
      <w:start w:val="1"/>
      <w:numFmt w:val="bullet"/>
      <w:lvlText w:val="▪"/>
      <w:lvlJc w:val="left"/>
      <w:pPr>
        <w:ind w:left="4950" w:hanging="360"/>
      </w:pPr>
      <w:rPr>
        <w:rFonts w:ascii="Noto Sans Symbols" w:eastAsia="Noto Sans Symbols" w:hAnsi="Noto Sans Symbols" w:cs="Noto Sans Symbols"/>
      </w:rPr>
    </w:lvl>
    <w:lvl w:ilvl="6">
      <w:start w:val="1"/>
      <w:numFmt w:val="bullet"/>
      <w:lvlText w:val="●"/>
      <w:lvlJc w:val="left"/>
      <w:pPr>
        <w:ind w:left="5670" w:hanging="360"/>
      </w:pPr>
      <w:rPr>
        <w:rFonts w:ascii="Noto Sans Symbols" w:eastAsia="Noto Sans Symbols" w:hAnsi="Noto Sans Symbols" w:cs="Noto Sans Symbols"/>
      </w:rPr>
    </w:lvl>
    <w:lvl w:ilvl="7">
      <w:start w:val="1"/>
      <w:numFmt w:val="bullet"/>
      <w:lvlText w:val="o"/>
      <w:lvlJc w:val="left"/>
      <w:pPr>
        <w:ind w:left="6390" w:hanging="360"/>
      </w:pPr>
      <w:rPr>
        <w:rFonts w:ascii="Courier New" w:eastAsia="Courier New" w:hAnsi="Courier New" w:cs="Courier New"/>
      </w:rPr>
    </w:lvl>
    <w:lvl w:ilvl="8">
      <w:start w:val="1"/>
      <w:numFmt w:val="bullet"/>
      <w:lvlText w:val="▪"/>
      <w:lvlJc w:val="left"/>
      <w:pPr>
        <w:ind w:left="7110" w:hanging="360"/>
      </w:pPr>
      <w:rPr>
        <w:rFonts w:ascii="Noto Sans Symbols" w:eastAsia="Noto Sans Symbols" w:hAnsi="Noto Sans Symbols" w:cs="Noto Sans Symbols"/>
      </w:rPr>
    </w:lvl>
  </w:abstractNum>
  <w:abstractNum w:abstractNumId="10" w15:restartNumberingAfterBreak="0">
    <w:nsid w:val="347354E6"/>
    <w:multiLevelType w:val="hybridMultilevel"/>
    <w:tmpl w:val="6478CEBA"/>
    <w:lvl w:ilvl="0" w:tplc="540A000F">
      <w:start w:val="1"/>
      <w:numFmt w:val="decimal"/>
      <w:lvlText w:val="%1."/>
      <w:lvlJc w:val="left"/>
      <w:pPr>
        <w:ind w:left="720" w:hanging="360"/>
      </w:pPr>
    </w:lvl>
    <w:lvl w:ilvl="1" w:tplc="540A0019">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1" w15:restartNumberingAfterBreak="0">
    <w:nsid w:val="3819460E"/>
    <w:multiLevelType w:val="multilevel"/>
    <w:tmpl w:val="8ECCB362"/>
    <w:lvl w:ilvl="0">
      <w:start w:val="1"/>
      <w:numFmt w:val="bullet"/>
      <w:lvlText w:val="●"/>
      <w:lvlJc w:val="left"/>
      <w:pPr>
        <w:ind w:left="1350" w:hanging="360"/>
      </w:pPr>
      <w:rPr>
        <w:rFonts w:ascii="Noto Sans Symbols" w:eastAsia="Noto Sans Symbols" w:hAnsi="Noto Sans Symbols" w:cs="Noto Sans Symbols"/>
      </w:rPr>
    </w:lvl>
    <w:lvl w:ilvl="1">
      <w:start w:val="1"/>
      <w:numFmt w:val="bullet"/>
      <w:lvlText w:val="o"/>
      <w:lvlJc w:val="left"/>
      <w:pPr>
        <w:ind w:left="2070" w:hanging="360"/>
      </w:pPr>
      <w:rPr>
        <w:rFonts w:ascii="Courier New" w:eastAsia="Courier New" w:hAnsi="Courier New" w:cs="Courier New"/>
      </w:rPr>
    </w:lvl>
    <w:lvl w:ilvl="2">
      <w:start w:val="1"/>
      <w:numFmt w:val="bullet"/>
      <w:lvlText w:val="▪"/>
      <w:lvlJc w:val="left"/>
      <w:pPr>
        <w:ind w:left="2790" w:hanging="360"/>
      </w:pPr>
      <w:rPr>
        <w:rFonts w:ascii="Noto Sans Symbols" w:eastAsia="Noto Sans Symbols" w:hAnsi="Noto Sans Symbols" w:cs="Noto Sans Symbols"/>
      </w:rPr>
    </w:lvl>
    <w:lvl w:ilvl="3">
      <w:start w:val="1"/>
      <w:numFmt w:val="bullet"/>
      <w:lvlText w:val="●"/>
      <w:lvlJc w:val="left"/>
      <w:pPr>
        <w:ind w:left="3510" w:hanging="360"/>
      </w:pPr>
      <w:rPr>
        <w:rFonts w:ascii="Noto Sans Symbols" w:eastAsia="Noto Sans Symbols" w:hAnsi="Noto Sans Symbols" w:cs="Noto Sans Symbols"/>
      </w:rPr>
    </w:lvl>
    <w:lvl w:ilvl="4">
      <w:start w:val="1"/>
      <w:numFmt w:val="bullet"/>
      <w:lvlText w:val="o"/>
      <w:lvlJc w:val="left"/>
      <w:pPr>
        <w:ind w:left="4230" w:hanging="360"/>
      </w:pPr>
      <w:rPr>
        <w:rFonts w:ascii="Courier New" w:eastAsia="Courier New" w:hAnsi="Courier New" w:cs="Courier New"/>
      </w:rPr>
    </w:lvl>
    <w:lvl w:ilvl="5">
      <w:start w:val="1"/>
      <w:numFmt w:val="bullet"/>
      <w:lvlText w:val="▪"/>
      <w:lvlJc w:val="left"/>
      <w:pPr>
        <w:ind w:left="4950" w:hanging="360"/>
      </w:pPr>
      <w:rPr>
        <w:rFonts w:ascii="Noto Sans Symbols" w:eastAsia="Noto Sans Symbols" w:hAnsi="Noto Sans Symbols" w:cs="Noto Sans Symbols"/>
      </w:rPr>
    </w:lvl>
    <w:lvl w:ilvl="6">
      <w:start w:val="1"/>
      <w:numFmt w:val="bullet"/>
      <w:lvlText w:val="●"/>
      <w:lvlJc w:val="left"/>
      <w:pPr>
        <w:ind w:left="5670" w:hanging="360"/>
      </w:pPr>
      <w:rPr>
        <w:rFonts w:ascii="Noto Sans Symbols" w:eastAsia="Noto Sans Symbols" w:hAnsi="Noto Sans Symbols" w:cs="Noto Sans Symbols"/>
      </w:rPr>
    </w:lvl>
    <w:lvl w:ilvl="7">
      <w:start w:val="1"/>
      <w:numFmt w:val="bullet"/>
      <w:lvlText w:val="o"/>
      <w:lvlJc w:val="left"/>
      <w:pPr>
        <w:ind w:left="6390" w:hanging="360"/>
      </w:pPr>
      <w:rPr>
        <w:rFonts w:ascii="Courier New" w:eastAsia="Courier New" w:hAnsi="Courier New" w:cs="Courier New"/>
      </w:rPr>
    </w:lvl>
    <w:lvl w:ilvl="8">
      <w:start w:val="1"/>
      <w:numFmt w:val="bullet"/>
      <w:lvlText w:val="▪"/>
      <w:lvlJc w:val="left"/>
      <w:pPr>
        <w:ind w:left="7110" w:hanging="360"/>
      </w:pPr>
      <w:rPr>
        <w:rFonts w:ascii="Noto Sans Symbols" w:eastAsia="Noto Sans Symbols" w:hAnsi="Noto Sans Symbols" w:cs="Noto Sans Symbols"/>
      </w:rPr>
    </w:lvl>
  </w:abstractNum>
  <w:abstractNum w:abstractNumId="12" w15:restartNumberingAfterBreak="0">
    <w:nsid w:val="3B794569"/>
    <w:multiLevelType w:val="multilevel"/>
    <w:tmpl w:val="3900474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3" w15:restartNumberingAfterBreak="0">
    <w:nsid w:val="3F3630C1"/>
    <w:multiLevelType w:val="hybridMultilevel"/>
    <w:tmpl w:val="F46A0944"/>
    <w:lvl w:ilvl="0" w:tplc="E8B2B31A">
      <w:start w:val="1"/>
      <w:numFmt w:val="decimal"/>
      <w:lvlText w:val="%1."/>
      <w:lvlJc w:val="left"/>
      <w:pPr>
        <w:ind w:left="720" w:hanging="360"/>
      </w:pPr>
      <w:rPr>
        <w:vertAlign w:val="baseline"/>
      </w:rPr>
    </w:lvl>
    <w:lvl w:ilvl="1" w:tplc="434AB9FA">
      <w:start w:val="1"/>
      <w:numFmt w:val="lowerLetter"/>
      <w:lvlText w:val="%2."/>
      <w:lvlJc w:val="left"/>
      <w:pPr>
        <w:ind w:left="1440" w:hanging="360"/>
      </w:pPr>
    </w:lvl>
    <w:lvl w:ilvl="2" w:tplc="365E39C0">
      <w:start w:val="1"/>
      <w:numFmt w:val="lowerRoman"/>
      <w:lvlText w:val="%3."/>
      <w:lvlJc w:val="right"/>
      <w:pPr>
        <w:ind w:left="2160" w:hanging="180"/>
      </w:pPr>
    </w:lvl>
    <w:lvl w:ilvl="3" w:tplc="0A4EB82A">
      <w:start w:val="1"/>
      <w:numFmt w:val="decimal"/>
      <w:lvlText w:val="%4."/>
      <w:lvlJc w:val="left"/>
      <w:pPr>
        <w:ind w:left="2880" w:hanging="360"/>
      </w:pPr>
    </w:lvl>
    <w:lvl w:ilvl="4" w:tplc="BA9EB45E">
      <w:start w:val="1"/>
      <w:numFmt w:val="lowerLetter"/>
      <w:lvlText w:val="%5."/>
      <w:lvlJc w:val="left"/>
      <w:pPr>
        <w:ind w:left="3600" w:hanging="360"/>
      </w:pPr>
    </w:lvl>
    <w:lvl w:ilvl="5" w:tplc="1C4260D6">
      <w:start w:val="1"/>
      <w:numFmt w:val="lowerRoman"/>
      <w:lvlText w:val="%6."/>
      <w:lvlJc w:val="right"/>
      <w:pPr>
        <w:ind w:left="4320" w:hanging="180"/>
      </w:pPr>
    </w:lvl>
    <w:lvl w:ilvl="6" w:tplc="749AD5C6">
      <w:start w:val="1"/>
      <w:numFmt w:val="decimal"/>
      <w:lvlText w:val="%7."/>
      <w:lvlJc w:val="left"/>
      <w:pPr>
        <w:ind w:left="5040" w:hanging="360"/>
      </w:pPr>
    </w:lvl>
    <w:lvl w:ilvl="7" w:tplc="8FC84F84">
      <w:start w:val="1"/>
      <w:numFmt w:val="lowerLetter"/>
      <w:lvlText w:val="%8."/>
      <w:lvlJc w:val="left"/>
      <w:pPr>
        <w:ind w:left="5760" w:hanging="360"/>
      </w:pPr>
    </w:lvl>
    <w:lvl w:ilvl="8" w:tplc="ECECCB74">
      <w:start w:val="1"/>
      <w:numFmt w:val="lowerRoman"/>
      <w:lvlText w:val="%9."/>
      <w:lvlJc w:val="right"/>
      <w:pPr>
        <w:ind w:left="6480" w:hanging="180"/>
      </w:pPr>
    </w:lvl>
  </w:abstractNum>
  <w:abstractNum w:abstractNumId="14" w15:restartNumberingAfterBreak="0">
    <w:nsid w:val="4E572040"/>
    <w:multiLevelType w:val="multilevel"/>
    <w:tmpl w:val="C3B8DD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1AD1C2A"/>
    <w:multiLevelType w:val="multilevel"/>
    <w:tmpl w:val="386ACDA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AC15960"/>
    <w:multiLevelType w:val="multilevel"/>
    <w:tmpl w:val="E4D68FF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7" w15:restartNumberingAfterBreak="0">
    <w:nsid w:val="633C2EBF"/>
    <w:multiLevelType w:val="multilevel"/>
    <w:tmpl w:val="3588056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8" w15:restartNumberingAfterBreak="0">
    <w:nsid w:val="638B27A2"/>
    <w:multiLevelType w:val="hybridMultilevel"/>
    <w:tmpl w:val="48D0CDF6"/>
    <w:lvl w:ilvl="0" w:tplc="540A000F">
      <w:start w:val="1"/>
      <w:numFmt w:val="decimal"/>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9" w15:restartNumberingAfterBreak="0">
    <w:nsid w:val="640026F6"/>
    <w:multiLevelType w:val="multilevel"/>
    <w:tmpl w:val="D0144FC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0" w15:restartNumberingAfterBreak="0">
    <w:nsid w:val="64072721"/>
    <w:multiLevelType w:val="multilevel"/>
    <w:tmpl w:val="B06ED78E"/>
    <w:lvl w:ilvl="0">
      <w:start w:val="1"/>
      <w:numFmt w:val="upperRoman"/>
      <w:pStyle w:val="Heading1"/>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15:restartNumberingAfterBreak="0">
    <w:nsid w:val="656F30D9"/>
    <w:multiLevelType w:val="multilevel"/>
    <w:tmpl w:val="84C87576"/>
    <w:lvl w:ilvl="0">
      <w:start w:val="1"/>
      <w:numFmt w:val="decimal"/>
      <w:lvlText w:val="%1."/>
      <w:lvlJc w:val="left"/>
      <w:pPr>
        <w:ind w:left="108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2" w15:restartNumberingAfterBreak="0">
    <w:nsid w:val="68387E43"/>
    <w:multiLevelType w:val="multilevel"/>
    <w:tmpl w:val="33D260B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3" w15:restartNumberingAfterBreak="0">
    <w:nsid w:val="6B695D81"/>
    <w:multiLevelType w:val="multilevel"/>
    <w:tmpl w:val="BD98207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4" w15:restartNumberingAfterBreak="0">
    <w:nsid w:val="6D5C1E67"/>
    <w:multiLevelType w:val="multilevel"/>
    <w:tmpl w:val="2E9677EC"/>
    <w:lvl w:ilvl="0">
      <w:start w:val="1"/>
      <w:numFmt w:val="decimal"/>
      <w:pStyle w:val="Heading3"/>
      <w:lvlText w:val="%1."/>
      <w:lvlJc w:val="left"/>
      <w:pPr>
        <w:ind w:left="4046" w:hanging="360"/>
      </w:pPr>
      <w:rPr>
        <w:rFonts w:ascii="Cambria" w:eastAsia="Cambria" w:hAnsi="Cambria" w:cs="Cambria"/>
        <w:b w:val="0"/>
        <w:i w:val="0"/>
        <w:sz w:val="20"/>
        <w:szCs w:val="20"/>
      </w:rPr>
    </w:lvl>
    <w:lvl w:ilvl="1">
      <w:start w:val="1"/>
      <w:numFmt w:val="lowerLetter"/>
      <w:lvlText w:val="%2."/>
      <w:lvlJc w:val="left"/>
      <w:pPr>
        <w:ind w:left="36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4010E35"/>
    <w:multiLevelType w:val="multilevel"/>
    <w:tmpl w:val="7A5241FA"/>
    <w:lvl w:ilvl="0">
      <w:start w:val="1"/>
      <w:numFmt w:val="bullet"/>
      <w:lvlText w:val="●"/>
      <w:lvlJc w:val="left"/>
      <w:pPr>
        <w:ind w:left="1354" w:hanging="360"/>
      </w:pPr>
      <w:rPr>
        <w:rFonts w:ascii="Noto Sans Symbols" w:eastAsia="Noto Sans Symbols" w:hAnsi="Noto Sans Symbols" w:cs="Noto Sans Symbols"/>
      </w:rPr>
    </w:lvl>
    <w:lvl w:ilvl="1">
      <w:start w:val="1"/>
      <w:numFmt w:val="bullet"/>
      <w:lvlText w:val="o"/>
      <w:lvlJc w:val="left"/>
      <w:pPr>
        <w:ind w:left="2074" w:hanging="360"/>
      </w:pPr>
      <w:rPr>
        <w:rFonts w:ascii="Courier New" w:eastAsia="Courier New" w:hAnsi="Courier New" w:cs="Courier New"/>
      </w:rPr>
    </w:lvl>
    <w:lvl w:ilvl="2">
      <w:start w:val="1"/>
      <w:numFmt w:val="bullet"/>
      <w:lvlText w:val="▪"/>
      <w:lvlJc w:val="left"/>
      <w:pPr>
        <w:ind w:left="2794" w:hanging="360"/>
      </w:pPr>
      <w:rPr>
        <w:rFonts w:ascii="Noto Sans Symbols" w:eastAsia="Noto Sans Symbols" w:hAnsi="Noto Sans Symbols" w:cs="Noto Sans Symbols"/>
      </w:rPr>
    </w:lvl>
    <w:lvl w:ilvl="3">
      <w:start w:val="1"/>
      <w:numFmt w:val="bullet"/>
      <w:lvlText w:val="●"/>
      <w:lvlJc w:val="left"/>
      <w:pPr>
        <w:ind w:left="3514" w:hanging="360"/>
      </w:pPr>
      <w:rPr>
        <w:rFonts w:ascii="Noto Sans Symbols" w:eastAsia="Noto Sans Symbols" w:hAnsi="Noto Sans Symbols" w:cs="Noto Sans Symbols"/>
      </w:rPr>
    </w:lvl>
    <w:lvl w:ilvl="4">
      <w:start w:val="1"/>
      <w:numFmt w:val="bullet"/>
      <w:lvlText w:val="o"/>
      <w:lvlJc w:val="left"/>
      <w:pPr>
        <w:ind w:left="4234" w:hanging="360"/>
      </w:pPr>
      <w:rPr>
        <w:rFonts w:ascii="Courier New" w:eastAsia="Courier New" w:hAnsi="Courier New" w:cs="Courier New"/>
      </w:rPr>
    </w:lvl>
    <w:lvl w:ilvl="5">
      <w:start w:val="1"/>
      <w:numFmt w:val="bullet"/>
      <w:lvlText w:val="▪"/>
      <w:lvlJc w:val="left"/>
      <w:pPr>
        <w:ind w:left="4954" w:hanging="360"/>
      </w:pPr>
      <w:rPr>
        <w:rFonts w:ascii="Noto Sans Symbols" w:eastAsia="Noto Sans Symbols" w:hAnsi="Noto Sans Symbols" w:cs="Noto Sans Symbols"/>
      </w:rPr>
    </w:lvl>
    <w:lvl w:ilvl="6">
      <w:start w:val="1"/>
      <w:numFmt w:val="bullet"/>
      <w:lvlText w:val="●"/>
      <w:lvlJc w:val="left"/>
      <w:pPr>
        <w:ind w:left="5674" w:hanging="360"/>
      </w:pPr>
      <w:rPr>
        <w:rFonts w:ascii="Noto Sans Symbols" w:eastAsia="Noto Sans Symbols" w:hAnsi="Noto Sans Symbols" w:cs="Noto Sans Symbols"/>
      </w:rPr>
    </w:lvl>
    <w:lvl w:ilvl="7">
      <w:start w:val="1"/>
      <w:numFmt w:val="bullet"/>
      <w:lvlText w:val="o"/>
      <w:lvlJc w:val="left"/>
      <w:pPr>
        <w:ind w:left="6394" w:hanging="360"/>
      </w:pPr>
      <w:rPr>
        <w:rFonts w:ascii="Courier New" w:eastAsia="Courier New" w:hAnsi="Courier New" w:cs="Courier New"/>
      </w:rPr>
    </w:lvl>
    <w:lvl w:ilvl="8">
      <w:start w:val="1"/>
      <w:numFmt w:val="bullet"/>
      <w:lvlText w:val="▪"/>
      <w:lvlJc w:val="left"/>
      <w:pPr>
        <w:ind w:left="7114" w:hanging="360"/>
      </w:pPr>
      <w:rPr>
        <w:rFonts w:ascii="Noto Sans Symbols" w:eastAsia="Noto Sans Symbols" w:hAnsi="Noto Sans Symbols" w:cs="Noto Sans Symbols"/>
      </w:rPr>
    </w:lvl>
  </w:abstractNum>
  <w:abstractNum w:abstractNumId="26" w15:restartNumberingAfterBreak="0">
    <w:nsid w:val="75534501"/>
    <w:multiLevelType w:val="multilevel"/>
    <w:tmpl w:val="F66C5944"/>
    <w:lvl w:ilvl="0">
      <w:start w:val="1"/>
      <w:numFmt w:val="bullet"/>
      <w:lvlText w:val="●"/>
      <w:lvlJc w:val="left"/>
      <w:pPr>
        <w:ind w:left="1354" w:hanging="360"/>
      </w:pPr>
      <w:rPr>
        <w:rFonts w:ascii="Noto Sans Symbols" w:eastAsia="Noto Sans Symbols" w:hAnsi="Noto Sans Symbols" w:cs="Noto Sans Symbols"/>
      </w:rPr>
    </w:lvl>
    <w:lvl w:ilvl="1">
      <w:start w:val="1"/>
      <w:numFmt w:val="bullet"/>
      <w:lvlText w:val="o"/>
      <w:lvlJc w:val="left"/>
      <w:pPr>
        <w:ind w:left="2074" w:hanging="360"/>
      </w:pPr>
      <w:rPr>
        <w:rFonts w:ascii="Courier New" w:eastAsia="Courier New" w:hAnsi="Courier New" w:cs="Courier New"/>
      </w:rPr>
    </w:lvl>
    <w:lvl w:ilvl="2">
      <w:start w:val="1"/>
      <w:numFmt w:val="bullet"/>
      <w:lvlText w:val="▪"/>
      <w:lvlJc w:val="left"/>
      <w:pPr>
        <w:ind w:left="2794" w:hanging="360"/>
      </w:pPr>
      <w:rPr>
        <w:rFonts w:ascii="Noto Sans Symbols" w:eastAsia="Noto Sans Symbols" w:hAnsi="Noto Sans Symbols" w:cs="Noto Sans Symbols"/>
      </w:rPr>
    </w:lvl>
    <w:lvl w:ilvl="3">
      <w:start w:val="1"/>
      <w:numFmt w:val="bullet"/>
      <w:lvlText w:val="●"/>
      <w:lvlJc w:val="left"/>
      <w:pPr>
        <w:ind w:left="3514" w:hanging="360"/>
      </w:pPr>
      <w:rPr>
        <w:rFonts w:ascii="Noto Sans Symbols" w:eastAsia="Noto Sans Symbols" w:hAnsi="Noto Sans Symbols" w:cs="Noto Sans Symbols"/>
      </w:rPr>
    </w:lvl>
    <w:lvl w:ilvl="4">
      <w:start w:val="1"/>
      <w:numFmt w:val="bullet"/>
      <w:lvlText w:val="o"/>
      <w:lvlJc w:val="left"/>
      <w:pPr>
        <w:ind w:left="4234" w:hanging="360"/>
      </w:pPr>
      <w:rPr>
        <w:rFonts w:ascii="Courier New" w:eastAsia="Courier New" w:hAnsi="Courier New" w:cs="Courier New"/>
      </w:rPr>
    </w:lvl>
    <w:lvl w:ilvl="5">
      <w:start w:val="1"/>
      <w:numFmt w:val="bullet"/>
      <w:lvlText w:val="▪"/>
      <w:lvlJc w:val="left"/>
      <w:pPr>
        <w:ind w:left="4954" w:hanging="360"/>
      </w:pPr>
      <w:rPr>
        <w:rFonts w:ascii="Noto Sans Symbols" w:eastAsia="Noto Sans Symbols" w:hAnsi="Noto Sans Symbols" w:cs="Noto Sans Symbols"/>
      </w:rPr>
    </w:lvl>
    <w:lvl w:ilvl="6">
      <w:start w:val="1"/>
      <w:numFmt w:val="bullet"/>
      <w:lvlText w:val="●"/>
      <w:lvlJc w:val="left"/>
      <w:pPr>
        <w:ind w:left="5674" w:hanging="360"/>
      </w:pPr>
      <w:rPr>
        <w:rFonts w:ascii="Noto Sans Symbols" w:eastAsia="Noto Sans Symbols" w:hAnsi="Noto Sans Symbols" w:cs="Noto Sans Symbols"/>
      </w:rPr>
    </w:lvl>
    <w:lvl w:ilvl="7">
      <w:start w:val="1"/>
      <w:numFmt w:val="bullet"/>
      <w:lvlText w:val="o"/>
      <w:lvlJc w:val="left"/>
      <w:pPr>
        <w:ind w:left="6394" w:hanging="360"/>
      </w:pPr>
      <w:rPr>
        <w:rFonts w:ascii="Courier New" w:eastAsia="Courier New" w:hAnsi="Courier New" w:cs="Courier New"/>
      </w:rPr>
    </w:lvl>
    <w:lvl w:ilvl="8">
      <w:start w:val="1"/>
      <w:numFmt w:val="bullet"/>
      <w:lvlText w:val="▪"/>
      <w:lvlJc w:val="left"/>
      <w:pPr>
        <w:ind w:left="7114" w:hanging="360"/>
      </w:pPr>
      <w:rPr>
        <w:rFonts w:ascii="Noto Sans Symbols" w:eastAsia="Noto Sans Symbols" w:hAnsi="Noto Sans Symbols" w:cs="Noto Sans Symbols"/>
      </w:rPr>
    </w:lvl>
  </w:abstractNum>
  <w:abstractNum w:abstractNumId="27" w15:restartNumberingAfterBreak="0">
    <w:nsid w:val="75DE0E99"/>
    <w:multiLevelType w:val="multilevel"/>
    <w:tmpl w:val="8A240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6C35C27"/>
    <w:multiLevelType w:val="multilevel"/>
    <w:tmpl w:val="410259F6"/>
    <w:lvl w:ilvl="0">
      <w:start w:val="1"/>
      <w:numFmt w:val="decimal"/>
      <w:lvlText w:val=""/>
      <w:lvlJc w:val="left"/>
      <w:pPr>
        <w:ind w:left="360" w:hanging="360"/>
      </w:pPr>
      <w:rPr>
        <w:rFonts w:ascii="Cambria" w:eastAsia="Cambria" w:hAnsi="Cambria" w:cs="Cambria"/>
        <w:b/>
        <w:i w:val="0"/>
        <w:smallCaps w:val="0"/>
        <w:strike w:val="0"/>
        <w:color w:val="000000"/>
        <w:u w:val="none"/>
        <w:vertAlign w:val="baseline"/>
      </w:rPr>
    </w:lvl>
    <w:lvl w:ilvl="1">
      <w:start w:val="1"/>
      <w:numFmt w:val="upperLetter"/>
      <w:lvlText w:val="%2."/>
      <w:lvlJc w:val="left"/>
      <w:pPr>
        <w:ind w:left="1080" w:hanging="360"/>
      </w:pPr>
      <w:rPr>
        <w:i/>
      </w:rPr>
    </w:lvl>
    <w:lvl w:ilvl="2">
      <w:start w:val="1"/>
      <w:numFmt w:val="decimal"/>
      <w:lvlText w:val="%3."/>
      <w:lvlJc w:val="left"/>
      <w:pPr>
        <w:ind w:left="890" w:hanging="180"/>
      </w:pPr>
    </w:lvl>
    <w:lvl w:ilvl="3">
      <w:start w:val="1"/>
      <w:numFmt w:val="lowerLetter"/>
      <w:lvlText w:val="%4."/>
      <w:lvlJc w:val="left"/>
      <w:pPr>
        <w:ind w:left="2520" w:hanging="360"/>
      </w:pPr>
    </w:lvl>
    <w:lvl w:ilvl="4">
      <w:start w:val="1"/>
      <w:numFmt w:val="lowerRoman"/>
      <w:lvlText w:val="%5."/>
      <w:lvlJc w:val="left"/>
      <w:pPr>
        <w:ind w:left="3240" w:hanging="360"/>
      </w:pPr>
      <w:rPr>
        <w:b/>
      </w:rPr>
    </w:lvl>
    <w:lvl w:ilvl="5">
      <w:start w:val="1"/>
      <w:numFmt w:val="decimal"/>
      <w:lvlText w:val="%6"/>
      <w:lvlJc w:val="right"/>
      <w:pPr>
        <w:ind w:left="3960" w:hanging="18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right"/>
      <w:pPr>
        <w:ind w:left="6120" w:hanging="180"/>
      </w:pPr>
    </w:lvl>
  </w:abstractNum>
  <w:abstractNum w:abstractNumId="29" w15:restartNumberingAfterBreak="0">
    <w:nsid w:val="7CBA2DCD"/>
    <w:multiLevelType w:val="multilevel"/>
    <w:tmpl w:val="BC7098F4"/>
    <w:lvl w:ilvl="0">
      <w:start w:val="1"/>
      <w:numFmt w:val="upperLetter"/>
      <w:pStyle w:val="Heading2"/>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18305962">
    <w:abstractNumId w:val="15"/>
  </w:num>
  <w:num w:numId="2" w16cid:durableId="1351027187">
    <w:abstractNumId w:val="1"/>
  </w:num>
  <w:num w:numId="3" w16cid:durableId="1686664096">
    <w:abstractNumId w:val="20"/>
  </w:num>
  <w:num w:numId="4" w16cid:durableId="155922459">
    <w:abstractNumId w:val="4"/>
  </w:num>
  <w:num w:numId="5" w16cid:durableId="32586321">
    <w:abstractNumId w:val="24"/>
  </w:num>
  <w:num w:numId="6" w16cid:durableId="2033072763">
    <w:abstractNumId w:val="29"/>
  </w:num>
  <w:num w:numId="7" w16cid:durableId="1699886162">
    <w:abstractNumId w:val="8"/>
  </w:num>
  <w:num w:numId="8" w16cid:durableId="251747693">
    <w:abstractNumId w:val="6"/>
  </w:num>
  <w:num w:numId="9" w16cid:durableId="2052533844">
    <w:abstractNumId w:val="16"/>
  </w:num>
  <w:num w:numId="10" w16cid:durableId="846211852">
    <w:abstractNumId w:val="3"/>
  </w:num>
  <w:num w:numId="11" w16cid:durableId="1184248293">
    <w:abstractNumId w:val="28"/>
  </w:num>
  <w:num w:numId="12" w16cid:durableId="559485208">
    <w:abstractNumId w:val="19"/>
  </w:num>
  <w:num w:numId="13" w16cid:durableId="1949045174">
    <w:abstractNumId w:val="23"/>
  </w:num>
  <w:num w:numId="14" w16cid:durableId="1348172940">
    <w:abstractNumId w:val="26"/>
  </w:num>
  <w:num w:numId="15" w16cid:durableId="641614533">
    <w:abstractNumId w:val="0"/>
  </w:num>
  <w:num w:numId="16" w16cid:durableId="394162859">
    <w:abstractNumId w:val="21"/>
  </w:num>
  <w:num w:numId="17" w16cid:durableId="674694596">
    <w:abstractNumId w:val="17"/>
  </w:num>
  <w:num w:numId="18" w16cid:durableId="1986085153">
    <w:abstractNumId w:val="12"/>
  </w:num>
  <w:num w:numId="19" w16cid:durableId="291206743">
    <w:abstractNumId w:val="25"/>
  </w:num>
  <w:num w:numId="20" w16cid:durableId="2058431887">
    <w:abstractNumId w:val="9"/>
  </w:num>
  <w:num w:numId="21" w16cid:durableId="1407914902">
    <w:abstractNumId w:val="22"/>
  </w:num>
  <w:num w:numId="22" w16cid:durableId="20478141">
    <w:abstractNumId w:val="11"/>
  </w:num>
  <w:num w:numId="23" w16cid:durableId="1007169482">
    <w:abstractNumId w:val="7"/>
  </w:num>
  <w:num w:numId="24" w16cid:durableId="1800762677">
    <w:abstractNumId w:val="18"/>
  </w:num>
  <w:num w:numId="25" w16cid:durableId="1915243151">
    <w:abstractNumId w:val="10"/>
  </w:num>
  <w:num w:numId="26" w16cid:durableId="1472555287">
    <w:abstractNumId w:val="13"/>
  </w:num>
  <w:num w:numId="27" w16cid:durableId="1833178646">
    <w:abstractNumId w:val="27"/>
  </w:num>
  <w:num w:numId="28" w16cid:durableId="1056128604">
    <w:abstractNumId w:val="14"/>
  </w:num>
  <w:num w:numId="29" w16cid:durableId="191650848">
    <w:abstractNumId w:val="2"/>
  </w:num>
  <w:num w:numId="30" w16cid:durableId="395981389">
    <w:abstractNumId w:val="5"/>
  </w:num>
  <w:num w:numId="31" w16cid:durableId="20388467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7F5"/>
    <w:rsid w:val="00000DA5"/>
    <w:rsid w:val="00000E37"/>
    <w:rsid w:val="0000144B"/>
    <w:rsid w:val="000017C3"/>
    <w:rsid w:val="00001F3F"/>
    <w:rsid w:val="000028C2"/>
    <w:rsid w:val="00003007"/>
    <w:rsid w:val="000038F6"/>
    <w:rsid w:val="000051D4"/>
    <w:rsid w:val="000056B7"/>
    <w:rsid w:val="00005C6B"/>
    <w:rsid w:val="00014005"/>
    <w:rsid w:val="00014167"/>
    <w:rsid w:val="0001538C"/>
    <w:rsid w:val="000166EE"/>
    <w:rsid w:val="00017414"/>
    <w:rsid w:val="00017BD6"/>
    <w:rsid w:val="00017E92"/>
    <w:rsid w:val="000209E3"/>
    <w:rsid w:val="000235D8"/>
    <w:rsid w:val="00024A03"/>
    <w:rsid w:val="00025002"/>
    <w:rsid w:val="0002571F"/>
    <w:rsid w:val="00026993"/>
    <w:rsid w:val="00026DA4"/>
    <w:rsid w:val="00027075"/>
    <w:rsid w:val="000307B6"/>
    <w:rsid w:val="000327A4"/>
    <w:rsid w:val="00033B56"/>
    <w:rsid w:val="0003419B"/>
    <w:rsid w:val="0003419E"/>
    <w:rsid w:val="00034678"/>
    <w:rsid w:val="00034B3B"/>
    <w:rsid w:val="000353F5"/>
    <w:rsid w:val="00035575"/>
    <w:rsid w:val="00035660"/>
    <w:rsid w:val="000365EA"/>
    <w:rsid w:val="00036A38"/>
    <w:rsid w:val="00036AA9"/>
    <w:rsid w:val="0004080A"/>
    <w:rsid w:val="00040862"/>
    <w:rsid w:val="00041DFB"/>
    <w:rsid w:val="000421DE"/>
    <w:rsid w:val="00042CC4"/>
    <w:rsid w:val="00044F9E"/>
    <w:rsid w:val="00045DB8"/>
    <w:rsid w:val="0004722C"/>
    <w:rsid w:val="00047A90"/>
    <w:rsid w:val="00050F3A"/>
    <w:rsid w:val="00050FD2"/>
    <w:rsid w:val="00051763"/>
    <w:rsid w:val="000519B0"/>
    <w:rsid w:val="00051A4D"/>
    <w:rsid w:val="00051FF2"/>
    <w:rsid w:val="0005269D"/>
    <w:rsid w:val="00052EDC"/>
    <w:rsid w:val="0005383E"/>
    <w:rsid w:val="0005393C"/>
    <w:rsid w:val="00054579"/>
    <w:rsid w:val="0005543A"/>
    <w:rsid w:val="00055E22"/>
    <w:rsid w:val="000563E6"/>
    <w:rsid w:val="00056A4E"/>
    <w:rsid w:val="00057A41"/>
    <w:rsid w:val="00057CE2"/>
    <w:rsid w:val="000612C9"/>
    <w:rsid w:val="000618A4"/>
    <w:rsid w:val="00061DEF"/>
    <w:rsid w:val="00062BCC"/>
    <w:rsid w:val="00062DC7"/>
    <w:rsid w:val="000642EA"/>
    <w:rsid w:val="00064A28"/>
    <w:rsid w:val="000726AD"/>
    <w:rsid w:val="00072BA0"/>
    <w:rsid w:val="00072E78"/>
    <w:rsid w:val="0007306A"/>
    <w:rsid w:val="0007328F"/>
    <w:rsid w:val="00073D4E"/>
    <w:rsid w:val="00074ED1"/>
    <w:rsid w:val="00075630"/>
    <w:rsid w:val="00075FF5"/>
    <w:rsid w:val="000764A1"/>
    <w:rsid w:val="000812E6"/>
    <w:rsid w:val="00081711"/>
    <w:rsid w:val="00082E5B"/>
    <w:rsid w:val="000845A2"/>
    <w:rsid w:val="00085421"/>
    <w:rsid w:val="000868FB"/>
    <w:rsid w:val="00087667"/>
    <w:rsid w:val="00087C7A"/>
    <w:rsid w:val="00087F91"/>
    <w:rsid w:val="0009098B"/>
    <w:rsid w:val="000910BC"/>
    <w:rsid w:val="00091274"/>
    <w:rsid w:val="00094727"/>
    <w:rsid w:val="00094F42"/>
    <w:rsid w:val="00096C1E"/>
    <w:rsid w:val="00096FC9"/>
    <w:rsid w:val="0009757F"/>
    <w:rsid w:val="00097750"/>
    <w:rsid w:val="00097858"/>
    <w:rsid w:val="00097CB3"/>
    <w:rsid w:val="000A0AA5"/>
    <w:rsid w:val="000A179F"/>
    <w:rsid w:val="000A190A"/>
    <w:rsid w:val="000A2172"/>
    <w:rsid w:val="000A21CF"/>
    <w:rsid w:val="000A24A5"/>
    <w:rsid w:val="000A2646"/>
    <w:rsid w:val="000A2827"/>
    <w:rsid w:val="000A2DF2"/>
    <w:rsid w:val="000A39B5"/>
    <w:rsid w:val="000A455C"/>
    <w:rsid w:val="000A6823"/>
    <w:rsid w:val="000A7692"/>
    <w:rsid w:val="000A7C11"/>
    <w:rsid w:val="000B0DF8"/>
    <w:rsid w:val="000B20D4"/>
    <w:rsid w:val="000B2560"/>
    <w:rsid w:val="000B44ED"/>
    <w:rsid w:val="000B5BC3"/>
    <w:rsid w:val="000B5BE7"/>
    <w:rsid w:val="000B5E6B"/>
    <w:rsid w:val="000B638A"/>
    <w:rsid w:val="000C01A4"/>
    <w:rsid w:val="000C0937"/>
    <w:rsid w:val="000C0A21"/>
    <w:rsid w:val="000C1A71"/>
    <w:rsid w:val="000C1CDE"/>
    <w:rsid w:val="000C2C22"/>
    <w:rsid w:val="000C54CF"/>
    <w:rsid w:val="000C6163"/>
    <w:rsid w:val="000C6E53"/>
    <w:rsid w:val="000D0D06"/>
    <w:rsid w:val="000D0D73"/>
    <w:rsid w:val="000D12B6"/>
    <w:rsid w:val="000D1DE6"/>
    <w:rsid w:val="000D1F1A"/>
    <w:rsid w:val="000D220C"/>
    <w:rsid w:val="000D3C96"/>
    <w:rsid w:val="000D5975"/>
    <w:rsid w:val="000D68F9"/>
    <w:rsid w:val="000D69A0"/>
    <w:rsid w:val="000D6FE4"/>
    <w:rsid w:val="000E15A7"/>
    <w:rsid w:val="000E16C5"/>
    <w:rsid w:val="000E18F1"/>
    <w:rsid w:val="000E1F7B"/>
    <w:rsid w:val="000E23E6"/>
    <w:rsid w:val="000E3278"/>
    <w:rsid w:val="000E3AC3"/>
    <w:rsid w:val="000E48C3"/>
    <w:rsid w:val="000E501F"/>
    <w:rsid w:val="000E53CD"/>
    <w:rsid w:val="000E5455"/>
    <w:rsid w:val="000E5BCC"/>
    <w:rsid w:val="000E6143"/>
    <w:rsid w:val="000E63BC"/>
    <w:rsid w:val="000E6CD9"/>
    <w:rsid w:val="000E6D74"/>
    <w:rsid w:val="000E6ED2"/>
    <w:rsid w:val="000E6FE6"/>
    <w:rsid w:val="000E71EC"/>
    <w:rsid w:val="000E7B75"/>
    <w:rsid w:val="000F0CEE"/>
    <w:rsid w:val="000F1630"/>
    <w:rsid w:val="000F1B0C"/>
    <w:rsid w:val="000F1B2D"/>
    <w:rsid w:val="000F272C"/>
    <w:rsid w:val="000F2E91"/>
    <w:rsid w:val="000F317C"/>
    <w:rsid w:val="000F4B1D"/>
    <w:rsid w:val="000F4D0E"/>
    <w:rsid w:val="000F5169"/>
    <w:rsid w:val="000F5CE5"/>
    <w:rsid w:val="000F72D7"/>
    <w:rsid w:val="000F7363"/>
    <w:rsid w:val="000F7B27"/>
    <w:rsid w:val="000F7BA0"/>
    <w:rsid w:val="001008C3"/>
    <w:rsid w:val="00100CA4"/>
    <w:rsid w:val="00102822"/>
    <w:rsid w:val="00103CD5"/>
    <w:rsid w:val="00103F0C"/>
    <w:rsid w:val="001043ED"/>
    <w:rsid w:val="00104CBD"/>
    <w:rsid w:val="00105697"/>
    <w:rsid w:val="001067D2"/>
    <w:rsid w:val="001103F7"/>
    <w:rsid w:val="00110B2A"/>
    <w:rsid w:val="0011275F"/>
    <w:rsid w:val="00112AA3"/>
    <w:rsid w:val="00112FBA"/>
    <w:rsid w:val="001135D6"/>
    <w:rsid w:val="0011372B"/>
    <w:rsid w:val="00113A34"/>
    <w:rsid w:val="00115318"/>
    <w:rsid w:val="00116300"/>
    <w:rsid w:val="00116532"/>
    <w:rsid w:val="00120828"/>
    <w:rsid w:val="00120F04"/>
    <w:rsid w:val="00121B1E"/>
    <w:rsid w:val="00121B92"/>
    <w:rsid w:val="00121E58"/>
    <w:rsid w:val="001220AE"/>
    <w:rsid w:val="00122BA2"/>
    <w:rsid w:val="00123F35"/>
    <w:rsid w:val="00123F8D"/>
    <w:rsid w:val="0012409A"/>
    <w:rsid w:val="00125E18"/>
    <w:rsid w:val="0012672B"/>
    <w:rsid w:val="00126CBE"/>
    <w:rsid w:val="00126EBC"/>
    <w:rsid w:val="0012724F"/>
    <w:rsid w:val="001272D1"/>
    <w:rsid w:val="001274D1"/>
    <w:rsid w:val="001277AE"/>
    <w:rsid w:val="00127D82"/>
    <w:rsid w:val="00130A37"/>
    <w:rsid w:val="00132A97"/>
    <w:rsid w:val="00135C18"/>
    <w:rsid w:val="00136007"/>
    <w:rsid w:val="00137202"/>
    <w:rsid w:val="00137F3D"/>
    <w:rsid w:val="00140320"/>
    <w:rsid w:val="0014049C"/>
    <w:rsid w:val="00140591"/>
    <w:rsid w:val="001409D3"/>
    <w:rsid w:val="00141798"/>
    <w:rsid w:val="00142541"/>
    <w:rsid w:val="001427E2"/>
    <w:rsid w:val="001434F1"/>
    <w:rsid w:val="00145049"/>
    <w:rsid w:val="00145281"/>
    <w:rsid w:val="0014554E"/>
    <w:rsid w:val="00145A93"/>
    <w:rsid w:val="00145E7F"/>
    <w:rsid w:val="00146E9C"/>
    <w:rsid w:val="00147158"/>
    <w:rsid w:val="0014782B"/>
    <w:rsid w:val="00147D7D"/>
    <w:rsid w:val="00150072"/>
    <w:rsid w:val="00150248"/>
    <w:rsid w:val="0015073B"/>
    <w:rsid w:val="00150769"/>
    <w:rsid w:val="0015149A"/>
    <w:rsid w:val="00151DEE"/>
    <w:rsid w:val="00151EFF"/>
    <w:rsid w:val="001521BF"/>
    <w:rsid w:val="001522D9"/>
    <w:rsid w:val="00154BC6"/>
    <w:rsid w:val="00154C06"/>
    <w:rsid w:val="00155615"/>
    <w:rsid w:val="00156E3F"/>
    <w:rsid w:val="0015731E"/>
    <w:rsid w:val="00157A65"/>
    <w:rsid w:val="00157CD3"/>
    <w:rsid w:val="00157F70"/>
    <w:rsid w:val="00160965"/>
    <w:rsid w:val="00160A8F"/>
    <w:rsid w:val="0016113D"/>
    <w:rsid w:val="001619E4"/>
    <w:rsid w:val="00163AD2"/>
    <w:rsid w:val="001650DB"/>
    <w:rsid w:val="001668BD"/>
    <w:rsid w:val="00166D5E"/>
    <w:rsid w:val="001707E1"/>
    <w:rsid w:val="00170E76"/>
    <w:rsid w:val="00171438"/>
    <w:rsid w:val="001729CE"/>
    <w:rsid w:val="0017309E"/>
    <w:rsid w:val="001738D1"/>
    <w:rsid w:val="001749F4"/>
    <w:rsid w:val="00174E35"/>
    <w:rsid w:val="0017555C"/>
    <w:rsid w:val="001769F2"/>
    <w:rsid w:val="001776C7"/>
    <w:rsid w:val="00177748"/>
    <w:rsid w:val="00177761"/>
    <w:rsid w:val="001800C0"/>
    <w:rsid w:val="00181611"/>
    <w:rsid w:val="001818D2"/>
    <w:rsid w:val="00181E29"/>
    <w:rsid w:val="001825C9"/>
    <w:rsid w:val="00182657"/>
    <w:rsid w:val="001827A0"/>
    <w:rsid w:val="001829E8"/>
    <w:rsid w:val="0018372C"/>
    <w:rsid w:val="00183A54"/>
    <w:rsid w:val="001848EC"/>
    <w:rsid w:val="00184D8E"/>
    <w:rsid w:val="001859E4"/>
    <w:rsid w:val="00185D84"/>
    <w:rsid w:val="00185F2E"/>
    <w:rsid w:val="00186F50"/>
    <w:rsid w:val="0019088C"/>
    <w:rsid w:val="00191BB5"/>
    <w:rsid w:val="00193A41"/>
    <w:rsid w:val="001949D0"/>
    <w:rsid w:val="00194EFD"/>
    <w:rsid w:val="001953D1"/>
    <w:rsid w:val="00196284"/>
    <w:rsid w:val="00196938"/>
    <w:rsid w:val="00196FA5"/>
    <w:rsid w:val="00197D40"/>
    <w:rsid w:val="001A00AE"/>
    <w:rsid w:val="001A0175"/>
    <w:rsid w:val="001A0AFC"/>
    <w:rsid w:val="001A0DE3"/>
    <w:rsid w:val="001A0FCE"/>
    <w:rsid w:val="001A1860"/>
    <w:rsid w:val="001A37D0"/>
    <w:rsid w:val="001A4384"/>
    <w:rsid w:val="001A441A"/>
    <w:rsid w:val="001A4D24"/>
    <w:rsid w:val="001A5DF4"/>
    <w:rsid w:val="001A6270"/>
    <w:rsid w:val="001A67C7"/>
    <w:rsid w:val="001A67CB"/>
    <w:rsid w:val="001A707A"/>
    <w:rsid w:val="001A74CE"/>
    <w:rsid w:val="001B004F"/>
    <w:rsid w:val="001B1268"/>
    <w:rsid w:val="001B1F85"/>
    <w:rsid w:val="001B309C"/>
    <w:rsid w:val="001B3B1F"/>
    <w:rsid w:val="001B5257"/>
    <w:rsid w:val="001B5A56"/>
    <w:rsid w:val="001B5E65"/>
    <w:rsid w:val="001B670C"/>
    <w:rsid w:val="001B7858"/>
    <w:rsid w:val="001C0142"/>
    <w:rsid w:val="001C04FF"/>
    <w:rsid w:val="001C0832"/>
    <w:rsid w:val="001C2B4F"/>
    <w:rsid w:val="001C34A1"/>
    <w:rsid w:val="001C395A"/>
    <w:rsid w:val="001C52AB"/>
    <w:rsid w:val="001C639D"/>
    <w:rsid w:val="001C6FF1"/>
    <w:rsid w:val="001C7D32"/>
    <w:rsid w:val="001D1068"/>
    <w:rsid w:val="001D2154"/>
    <w:rsid w:val="001D2E26"/>
    <w:rsid w:val="001D2F3A"/>
    <w:rsid w:val="001D38AC"/>
    <w:rsid w:val="001D3D80"/>
    <w:rsid w:val="001D48B9"/>
    <w:rsid w:val="001D4E68"/>
    <w:rsid w:val="001D6426"/>
    <w:rsid w:val="001D658D"/>
    <w:rsid w:val="001D6591"/>
    <w:rsid w:val="001D65F2"/>
    <w:rsid w:val="001D7982"/>
    <w:rsid w:val="001E011B"/>
    <w:rsid w:val="001E0376"/>
    <w:rsid w:val="001E0871"/>
    <w:rsid w:val="001E24F1"/>
    <w:rsid w:val="001E478F"/>
    <w:rsid w:val="001E4C95"/>
    <w:rsid w:val="001E5B9E"/>
    <w:rsid w:val="001E667B"/>
    <w:rsid w:val="001E6B3C"/>
    <w:rsid w:val="001E7201"/>
    <w:rsid w:val="001E7A8D"/>
    <w:rsid w:val="001F1971"/>
    <w:rsid w:val="001F20DE"/>
    <w:rsid w:val="001F3737"/>
    <w:rsid w:val="001F59C9"/>
    <w:rsid w:val="001F5F83"/>
    <w:rsid w:val="001F6AF9"/>
    <w:rsid w:val="001F71B0"/>
    <w:rsid w:val="00200148"/>
    <w:rsid w:val="00200B2D"/>
    <w:rsid w:val="00200E4E"/>
    <w:rsid w:val="0020187E"/>
    <w:rsid w:val="00201905"/>
    <w:rsid w:val="002027EC"/>
    <w:rsid w:val="00202EBF"/>
    <w:rsid w:val="0020316C"/>
    <w:rsid w:val="002033F1"/>
    <w:rsid w:val="002036BA"/>
    <w:rsid w:val="00203C24"/>
    <w:rsid w:val="002069B2"/>
    <w:rsid w:val="002071DD"/>
    <w:rsid w:val="00210B81"/>
    <w:rsid w:val="002117F8"/>
    <w:rsid w:val="00212287"/>
    <w:rsid w:val="002136AA"/>
    <w:rsid w:val="00215324"/>
    <w:rsid w:val="00215480"/>
    <w:rsid w:val="00215CE4"/>
    <w:rsid w:val="00216691"/>
    <w:rsid w:val="00216E60"/>
    <w:rsid w:val="00217932"/>
    <w:rsid w:val="00220232"/>
    <w:rsid w:val="00220665"/>
    <w:rsid w:val="0022101D"/>
    <w:rsid w:val="00221AB3"/>
    <w:rsid w:val="00221BFB"/>
    <w:rsid w:val="00221CAC"/>
    <w:rsid w:val="00222546"/>
    <w:rsid w:val="00222F22"/>
    <w:rsid w:val="00223FEC"/>
    <w:rsid w:val="00224648"/>
    <w:rsid w:val="00224C4A"/>
    <w:rsid w:val="00224FB3"/>
    <w:rsid w:val="002269C2"/>
    <w:rsid w:val="00226B3C"/>
    <w:rsid w:val="0022706D"/>
    <w:rsid w:val="002277F5"/>
    <w:rsid w:val="0023119F"/>
    <w:rsid w:val="00231AED"/>
    <w:rsid w:val="00233498"/>
    <w:rsid w:val="002335D0"/>
    <w:rsid w:val="002336DB"/>
    <w:rsid w:val="00233BE9"/>
    <w:rsid w:val="00233D94"/>
    <w:rsid w:val="00234AC7"/>
    <w:rsid w:val="00234D0F"/>
    <w:rsid w:val="00235EA0"/>
    <w:rsid w:val="00236391"/>
    <w:rsid w:val="0023642F"/>
    <w:rsid w:val="00236B58"/>
    <w:rsid w:val="00236D43"/>
    <w:rsid w:val="00237A32"/>
    <w:rsid w:val="0024087C"/>
    <w:rsid w:val="0024231C"/>
    <w:rsid w:val="00242BFF"/>
    <w:rsid w:val="0024370A"/>
    <w:rsid w:val="00244E0C"/>
    <w:rsid w:val="002452FF"/>
    <w:rsid w:val="002460F6"/>
    <w:rsid w:val="00247E80"/>
    <w:rsid w:val="00250111"/>
    <w:rsid w:val="002515EC"/>
    <w:rsid w:val="002532A2"/>
    <w:rsid w:val="002536A2"/>
    <w:rsid w:val="002541F4"/>
    <w:rsid w:val="0025554D"/>
    <w:rsid w:val="00255B0D"/>
    <w:rsid w:val="00255DAF"/>
    <w:rsid w:val="00255F0A"/>
    <w:rsid w:val="00255F84"/>
    <w:rsid w:val="00257149"/>
    <w:rsid w:val="00260298"/>
    <w:rsid w:val="00260793"/>
    <w:rsid w:val="00261265"/>
    <w:rsid w:val="0026180C"/>
    <w:rsid w:val="002621E6"/>
    <w:rsid w:val="00262FA3"/>
    <w:rsid w:val="002634FE"/>
    <w:rsid w:val="00264362"/>
    <w:rsid w:val="00264820"/>
    <w:rsid w:val="00264B5B"/>
    <w:rsid w:val="002657C3"/>
    <w:rsid w:val="00265C03"/>
    <w:rsid w:val="00266278"/>
    <w:rsid w:val="00266588"/>
    <w:rsid w:val="002666DF"/>
    <w:rsid w:val="00266EA9"/>
    <w:rsid w:val="00267525"/>
    <w:rsid w:val="0027207D"/>
    <w:rsid w:val="00272C66"/>
    <w:rsid w:val="00273A7E"/>
    <w:rsid w:val="0027531B"/>
    <w:rsid w:val="00275501"/>
    <w:rsid w:val="002800CB"/>
    <w:rsid w:val="0028026D"/>
    <w:rsid w:val="00280700"/>
    <w:rsid w:val="00281BC1"/>
    <w:rsid w:val="00281BC3"/>
    <w:rsid w:val="00281D86"/>
    <w:rsid w:val="002844BD"/>
    <w:rsid w:val="00284F64"/>
    <w:rsid w:val="00285098"/>
    <w:rsid w:val="002854B6"/>
    <w:rsid w:val="00285883"/>
    <w:rsid w:val="00286213"/>
    <w:rsid w:val="0028673D"/>
    <w:rsid w:val="002874A2"/>
    <w:rsid w:val="002874EC"/>
    <w:rsid w:val="002878D8"/>
    <w:rsid w:val="0029033A"/>
    <w:rsid w:val="00290FA2"/>
    <w:rsid w:val="00290FFE"/>
    <w:rsid w:val="0029151F"/>
    <w:rsid w:val="002919C1"/>
    <w:rsid w:val="00292572"/>
    <w:rsid w:val="0029272C"/>
    <w:rsid w:val="002933A6"/>
    <w:rsid w:val="002938E3"/>
    <w:rsid w:val="00294F6C"/>
    <w:rsid w:val="00296896"/>
    <w:rsid w:val="002A380C"/>
    <w:rsid w:val="002A5307"/>
    <w:rsid w:val="002A5D13"/>
    <w:rsid w:val="002A7BE7"/>
    <w:rsid w:val="002A7C24"/>
    <w:rsid w:val="002B07F2"/>
    <w:rsid w:val="002B1064"/>
    <w:rsid w:val="002B1844"/>
    <w:rsid w:val="002B1EAB"/>
    <w:rsid w:val="002B23C2"/>
    <w:rsid w:val="002B32DA"/>
    <w:rsid w:val="002B34AE"/>
    <w:rsid w:val="002B37F2"/>
    <w:rsid w:val="002B4EB5"/>
    <w:rsid w:val="002B62F4"/>
    <w:rsid w:val="002B6D76"/>
    <w:rsid w:val="002B756D"/>
    <w:rsid w:val="002B7626"/>
    <w:rsid w:val="002B7E7C"/>
    <w:rsid w:val="002C0835"/>
    <w:rsid w:val="002C1262"/>
    <w:rsid w:val="002C1860"/>
    <w:rsid w:val="002C265C"/>
    <w:rsid w:val="002C2D4E"/>
    <w:rsid w:val="002C49EE"/>
    <w:rsid w:val="002C4FD5"/>
    <w:rsid w:val="002C4FF2"/>
    <w:rsid w:val="002C55BC"/>
    <w:rsid w:val="002C6F35"/>
    <w:rsid w:val="002C70C9"/>
    <w:rsid w:val="002C7E7F"/>
    <w:rsid w:val="002D178D"/>
    <w:rsid w:val="002D23E9"/>
    <w:rsid w:val="002D2BF9"/>
    <w:rsid w:val="002D4627"/>
    <w:rsid w:val="002D5B16"/>
    <w:rsid w:val="002D6051"/>
    <w:rsid w:val="002D64DC"/>
    <w:rsid w:val="002D7652"/>
    <w:rsid w:val="002E00DB"/>
    <w:rsid w:val="002E086D"/>
    <w:rsid w:val="002E265C"/>
    <w:rsid w:val="002E4B25"/>
    <w:rsid w:val="002E51CC"/>
    <w:rsid w:val="002E5387"/>
    <w:rsid w:val="002E7CBD"/>
    <w:rsid w:val="002F04D5"/>
    <w:rsid w:val="002F126E"/>
    <w:rsid w:val="002F1A6A"/>
    <w:rsid w:val="002F1CA5"/>
    <w:rsid w:val="002F27E7"/>
    <w:rsid w:val="002F2AF4"/>
    <w:rsid w:val="002F4C9E"/>
    <w:rsid w:val="002F50F7"/>
    <w:rsid w:val="002F634C"/>
    <w:rsid w:val="002F6492"/>
    <w:rsid w:val="002F7106"/>
    <w:rsid w:val="002F71C4"/>
    <w:rsid w:val="002F7884"/>
    <w:rsid w:val="002F7CE8"/>
    <w:rsid w:val="00300A4A"/>
    <w:rsid w:val="00301272"/>
    <w:rsid w:val="003021AF"/>
    <w:rsid w:val="00302FF4"/>
    <w:rsid w:val="003031BC"/>
    <w:rsid w:val="00303BE8"/>
    <w:rsid w:val="003046D8"/>
    <w:rsid w:val="00304808"/>
    <w:rsid w:val="00304943"/>
    <w:rsid w:val="00304C5E"/>
    <w:rsid w:val="00305F98"/>
    <w:rsid w:val="00306D3F"/>
    <w:rsid w:val="00310371"/>
    <w:rsid w:val="0031173B"/>
    <w:rsid w:val="00312E4B"/>
    <w:rsid w:val="00317367"/>
    <w:rsid w:val="0032130B"/>
    <w:rsid w:val="00321A47"/>
    <w:rsid w:val="00323080"/>
    <w:rsid w:val="00323B90"/>
    <w:rsid w:val="003242C3"/>
    <w:rsid w:val="00324A33"/>
    <w:rsid w:val="00324C78"/>
    <w:rsid w:val="00325B37"/>
    <w:rsid w:val="00325EAB"/>
    <w:rsid w:val="00326B98"/>
    <w:rsid w:val="00326DC6"/>
    <w:rsid w:val="003271A7"/>
    <w:rsid w:val="003282B3"/>
    <w:rsid w:val="00330012"/>
    <w:rsid w:val="0033002B"/>
    <w:rsid w:val="00330B36"/>
    <w:rsid w:val="00331236"/>
    <w:rsid w:val="003342B8"/>
    <w:rsid w:val="00335772"/>
    <w:rsid w:val="003364E4"/>
    <w:rsid w:val="0033705E"/>
    <w:rsid w:val="003401FF"/>
    <w:rsid w:val="00341013"/>
    <w:rsid w:val="003422B9"/>
    <w:rsid w:val="003460E7"/>
    <w:rsid w:val="00346900"/>
    <w:rsid w:val="00347356"/>
    <w:rsid w:val="0034748A"/>
    <w:rsid w:val="00347D5C"/>
    <w:rsid w:val="00350D75"/>
    <w:rsid w:val="00350F90"/>
    <w:rsid w:val="00352A31"/>
    <w:rsid w:val="00352E73"/>
    <w:rsid w:val="0035313B"/>
    <w:rsid w:val="00354215"/>
    <w:rsid w:val="00354310"/>
    <w:rsid w:val="0035473D"/>
    <w:rsid w:val="00354F8B"/>
    <w:rsid w:val="00355D8B"/>
    <w:rsid w:val="0035759F"/>
    <w:rsid w:val="00357614"/>
    <w:rsid w:val="003613A0"/>
    <w:rsid w:val="00361645"/>
    <w:rsid w:val="00361957"/>
    <w:rsid w:val="00363258"/>
    <w:rsid w:val="00363BA5"/>
    <w:rsid w:val="003646A1"/>
    <w:rsid w:val="00364DBA"/>
    <w:rsid w:val="00365833"/>
    <w:rsid w:val="00366801"/>
    <w:rsid w:val="00370D21"/>
    <w:rsid w:val="00371DBA"/>
    <w:rsid w:val="00372330"/>
    <w:rsid w:val="00372778"/>
    <w:rsid w:val="00374D4B"/>
    <w:rsid w:val="003754BE"/>
    <w:rsid w:val="0037574D"/>
    <w:rsid w:val="00375A1E"/>
    <w:rsid w:val="00375CE7"/>
    <w:rsid w:val="00376085"/>
    <w:rsid w:val="003805E3"/>
    <w:rsid w:val="00380948"/>
    <w:rsid w:val="00380E33"/>
    <w:rsid w:val="00382864"/>
    <w:rsid w:val="00382D0C"/>
    <w:rsid w:val="003832A0"/>
    <w:rsid w:val="00383578"/>
    <w:rsid w:val="00384968"/>
    <w:rsid w:val="00384990"/>
    <w:rsid w:val="00384E2A"/>
    <w:rsid w:val="00385ABE"/>
    <w:rsid w:val="00385BBC"/>
    <w:rsid w:val="00385DBF"/>
    <w:rsid w:val="003861A1"/>
    <w:rsid w:val="00386259"/>
    <w:rsid w:val="003878D3"/>
    <w:rsid w:val="00387D41"/>
    <w:rsid w:val="00387F22"/>
    <w:rsid w:val="003908CA"/>
    <w:rsid w:val="00390E9A"/>
    <w:rsid w:val="00392541"/>
    <w:rsid w:val="00392BE7"/>
    <w:rsid w:val="00392F84"/>
    <w:rsid w:val="00393AF2"/>
    <w:rsid w:val="00393EA0"/>
    <w:rsid w:val="00394621"/>
    <w:rsid w:val="003954DA"/>
    <w:rsid w:val="00395B73"/>
    <w:rsid w:val="00395C92"/>
    <w:rsid w:val="00395F16"/>
    <w:rsid w:val="00395F98"/>
    <w:rsid w:val="003A0397"/>
    <w:rsid w:val="003A0FC3"/>
    <w:rsid w:val="003A296C"/>
    <w:rsid w:val="003A2BA1"/>
    <w:rsid w:val="003A2CB4"/>
    <w:rsid w:val="003A318D"/>
    <w:rsid w:val="003A4B5F"/>
    <w:rsid w:val="003A52E5"/>
    <w:rsid w:val="003A620B"/>
    <w:rsid w:val="003A6C16"/>
    <w:rsid w:val="003A6D94"/>
    <w:rsid w:val="003A6DAE"/>
    <w:rsid w:val="003A6DC7"/>
    <w:rsid w:val="003A768E"/>
    <w:rsid w:val="003A76BA"/>
    <w:rsid w:val="003A7CD8"/>
    <w:rsid w:val="003A7EC5"/>
    <w:rsid w:val="003B1853"/>
    <w:rsid w:val="003B2636"/>
    <w:rsid w:val="003B2C5B"/>
    <w:rsid w:val="003B32AC"/>
    <w:rsid w:val="003B480D"/>
    <w:rsid w:val="003B596B"/>
    <w:rsid w:val="003B63E8"/>
    <w:rsid w:val="003B6B7F"/>
    <w:rsid w:val="003B6E92"/>
    <w:rsid w:val="003B769A"/>
    <w:rsid w:val="003B79D4"/>
    <w:rsid w:val="003C176D"/>
    <w:rsid w:val="003C35C6"/>
    <w:rsid w:val="003C3B37"/>
    <w:rsid w:val="003C4509"/>
    <w:rsid w:val="003C4BA1"/>
    <w:rsid w:val="003C4C83"/>
    <w:rsid w:val="003C6776"/>
    <w:rsid w:val="003C74FB"/>
    <w:rsid w:val="003D044E"/>
    <w:rsid w:val="003D06E2"/>
    <w:rsid w:val="003D0DC2"/>
    <w:rsid w:val="003D4CB3"/>
    <w:rsid w:val="003D68A1"/>
    <w:rsid w:val="003D737E"/>
    <w:rsid w:val="003D7C79"/>
    <w:rsid w:val="003E064B"/>
    <w:rsid w:val="003E1257"/>
    <w:rsid w:val="003E2078"/>
    <w:rsid w:val="003E2EC4"/>
    <w:rsid w:val="003E30D8"/>
    <w:rsid w:val="003E36D1"/>
    <w:rsid w:val="003E38B1"/>
    <w:rsid w:val="003E4462"/>
    <w:rsid w:val="003E4564"/>
    <w:rsid w:val="003E4C7F"/>
    <w:rsid w:val="003E6065"/>
    <w:rsid w:val="003E62BC"/>
    <w:rsid w:val="003E6C2B"/>
    <w:rsid w:val="003E7094"/>
    <w:rsid w:val="003F168C"/>
    <w:rsid w:val="003F5632"/>
    <w:rsid w:val="003F58D1"/>
    <w:rsid w:val="003F6875"/>
    <w:rsid w:val="003F7735"/>
    <w:rsid w:val="003F792D"/>
    <w:rsid w:val="00400D85"/>
    <w:rsid w:val="004012C7"/>
    <w:rsid w:val="00401392"/>
    <w:rsid w:val="004013AB"/>
    <w:rsid w:val="004029D5"/>
    <w:rsid w:val="00402BBF"/>
    <w:rsid w:val="00402C34"/>
    <w:rsid w:val="00403357"/>
    <w:rsid w:val="00403D74"/>
    <w:rsid w:val="00404CF5"/>
    <w:rsid w:val="004055B1"/>
    <w:rsid w:val="0040574E"/>
    <w:rsid w:val="00405B08"/>
    <w:rsid w:val="00405BEA"/>
    <w:rsid w:val="00406551"/>
    <w:rsid w:val="004103E3"/>
    <w:rsid w:val="0041057C"/>
    <w:rsid w:val="0041321B"/>
    <w:rsid w:val="0041350F"/>
    <w:rsid w:val="00414AC1"/>
    <w:rsid w:val="00414B83"/>
    <w:rsid w:val="0041685A"/>
    <w:rsid w:val="0042004B"/>
    <w:rsid w:val="004203AB"/>
    <w:rsid w:val="00420D3B"/>
    <w:rsid w:val="004217DC"/>
    <w:rsid w:val="00421BD9"/>
    <w:rsid w:val="00421EB5"/>
    <w:rsid w:val="004220BD"/>
    <w:rsid w:val="00422C2D"/>
    <w:rsid w:val="00422E92"/>
    <w:rsid w:val="00424F36"/>
    <w:rsid w:val="004259B5"/>
    <w:rsid w:val="00425EC8"/>
    <w:rsid w:val="00427569"/>
    <w:rsid w:val="00427866"/>
    <w:rsid w:val="00427D55"/>
    <w:rsid w:val="00430AB7"/>
    <w:rsid w:val="0043333F"/>
    <w:rsid w:val="004335D3"/>
    <w:rsid w:val="004344D8"/>
    <w:rsid w:val="00434866"/>
    <w:rsid w:val="00434C34"/>
    <w:rsid w:val="004350D8"/>
    <w:rsid w:val="00435188"/>
    <w:rsid w:val="00435CB0"/>
    <w:rsid w:val="00437464"/>
    <w:rsid w:val="0044005D"/>
    <w:rsid w:val="00440084"/>
    <w:rsid w:val="0044122E"/>
    <w:rsid w:val="00441B01"/>
    <w:rsid w:val="00441B67"/>
    <w:rsid w:val="00441F36"/>
    <w:rsid w:val="00441FEA"/>
    <w:rsid w:val="0044347F"/>
    <w:rsid w:val="00443879"/>
    <w:rsid w:val="004439FB"/>
    <w:rsid w:val="00443BD1"/>
    <w:rsid w:val="0044494C"/>
    <w:rsid w:val="00444E7C"/>
    <w:rsid w:val="0044528E"/>
    <w:rsid w:val="004475E0"/>
    <w:rsid w:val="00447DF6"/>
    <w:rsid w:val="004524DD"/>
    <w:rsid w:val="00453B38"/>
    <w:rsid w:val="00453E89"/>
    <w:rsid w:val="0045423F"/>
    <w:rsid w:val="00454AAF"/>
    <w:rsid w:val="00455BF6"/>
    <w:rsid w:val="0045643B"/>
    <w:rsid w:val="00457BB7"/>
    <w:rsid w:val="00457C44"/>
    <w:rsid w:val="00460002"/>
    <w:rsid w:val="00460769"/>
    <w:rsid w:val="00460B2C"/>
    <w:rsid w:val="00461A7A"/>
    <w:rsid w:val="00461CCA"/>
    <w:rsid w:val="00462D53"/>
    <w:rsid w:val="00463B5C"/>
    <w:rsid w:val="00464062"/>
    <w:rsid w:val="00464120"/>
    <w:rsid w:val="00464254"/>
    <w:rsid w:val="00465058"/>
    <w:rsid w:val="00465443"/>
    <w:rsid w:val="00466188"/>
    <w:rsid w:val="004661D9"/>
    <w:rsid w:val="00466676"/>
    <w:rsid w:val="004666C7"/>
    <w:rsid w:val="00467111"/>
    <w:rsid w:val="0046768E"/>
    <w:rsid w:val="00470840"/>
    <w:rsid w:val="00470BF1"/>
    <w:rsid w:val="004727C9"/>
    <w:rsid w:val="00476190"/>
    <w:rsid w:val="004761D7"/>
    <w:rsid w:val="00476512"/>
    <w:rsid w:val="00476B65"/>
    <w:rsid w:val="0047751C"/>
    <w:rsid w:val="00477E46"/>
    <w:rsid w:val="00477F2A"/>
    <w:rsid w:val="00482A78"/>
    <w:rsid w:val="00483830"/>
    <w:rsid w:val="00483EB2"/>
    <w:rsid w:val="00484000"/>
    <w:rsid w:val="004841AB"/>
    <w:rsid w:val="00484DC8"/>
    <w:rsid w:val="0048526F"/>
    <w:rsid w:val="00485FAE"/>
    <w:rsid w:val="004879BB"/>
    <w:rsid w:val="00487A74"/>
    <w:rsid w:val="00491DEE"/>
    <w:rsid w:val="00492732"/>
    <w:rsid w:val="004933BB"/>
    <w:rsid w:val="00493511"/>
    <w:rsid w:val="00493939"/>
    <w:rsid w:val="0049401B"/>
    <w:rsid w:val="00494071"/>
    <w:rsid w:val="004950F1"/>
    <w:rsid w:val="00495342"/>
    <w:rsid w:val="00495490"/>
    <w:rsid w:val="00495891"/>
    <w:rsid w:val="00495FE6"/>
    <w:rsid w:val="00496414"/>
    <w:rsid w:val="00496AC0"/>
    <w:rsid w:val="00496D90"/>
    <w:rsid w:val="00497728"/>
    <w:rsid w:val="00497BF3"/>
    <w:rsid w:val="004A17FD"/>
    <w:rsid w:val="004A183A"/>
    <w:rsid w:val="004A27C3"/>
    <w:rsid w:val="004A2D0A"/>
    <w:rsid w:val="004A2D69"/>
    <w:rsid w:val="004A3ADD"/>
    <w:rsid w:val="004A485A"/>
    <w:rsid w:val="004A569F"/>
    <w:rsid w:val="004A5A2C"/>
    <w:rsid w:val="004A6D09"/>
    <w:rsid w:val="004B085E"/>
    <w:rsid w:val="004B0E29"/>
    <w:rsid w:val="004B14FD"/>
    <w:rsid w:val="004B22CB"/>
    <w:rsid w:val="004B3384"/>
    <w:rsid w:val="004B39C4"/>
    <w:rsid w:val="004B44C0"/>
    <w:rsid w:val="004B4992"/>
    <w:rsid w:val="004B4A05"/>
    <w:rsid w:val="004B5575"/>
    <w:rsid w:val="004B5F8C"/>
    <w:rsid w:val="004B6023"/>
    <w:rsid w:val="004B75A4"/>
    <w:rsid w:val="004B7E39"/>
    <w:rsid w:val="004C0A17"/>
    <w:rsid w:val="004C0EE7"/>
    <w:rsid w:val="004C1984"/>
    <w:rsid w:val="004C1EA5"/>
    <w:rsid w:val="004C23EE"/>
    <w:rsid w:val="004C3087"/>
    <w:rsid w:val="004C496A"/>
    <w:rsid w:val="004C5558"/>
    <w:rsid w:val="004C7992"/>
    <w:rsid w:val="004D07CA"/>
    <w:rsid w:val="004D2998"/>
    <w:rsid w:val="004D319F"/>
    <w:rsid w:val="004D3AB9"/>
    <w:rsid w:val="004D4248"/>
    <w:rsid w:val="004D4618"/>
    <w:rsid w:val="004D4DBC"/>
    <w:rsid w:val="004D55CC"/>
    <w:rsid w:val="004D6008"/>
    <w:rsid w:val="004D624E"/>
    <w:rsid w:val="004D6B76"/>
    <w:rsid w:val="004D7098"/>
    <w:rsid w:val="004D743A"/>
    <w:rsid w:val="004D7DA8"/>
    <w:rsid w:val="004E346C"/>
    <w:rsid w:val="004E3A5A"/>
    <w:rsid w:val="004E3E07"/>
    <w:rsid w:val="004E4A31"/>
    <w:rsid w:val="004E50F8"/>
    <w:rsid w:val="004E523E"/>
    <w:rsid w:val="004F02A6"/>
    <w:rsid w:val="004F061C"/>
    <w:rsid w:val="004F2895"/>
    <w:rsid w:val="004F28D1"/>
    <w:rsid w:val="004F2CA0"/>
    <w:rsid w:val="004F2CDE"/>
    <w:rsid w:val="004F38EC"/>
    <w:rsid w:val="004F3E66"/>
    <w:rsid w:val="004F4277"/>
    <w:rsid w:val="004F5852"/>
    <w:rsid w:val="004F66CB"/>
    <w:rsid w:val="004F7280"/>
    <w:rsid w:val="004F7A85"/>
    <w:rsid w:val="004F7D96"/>
    <w:rsid w:val="00500B11"/>
    <w:rsid w:val="00501264"/>
    <w:rsid w:val="0050175E"/>
    <w:rsid w:val="005020FF"/>
    <w:rsid w:val="00503CFF"/>
    <w:rsid w:val="00503E0D"/>
    <w:rsid w:val="00503F63"/>
    <w:rsid w:val="0050495F"/>
    <w:rsid w:val="00506082"/>
    <w:rsid w:val="0050703C"/>
    <w:rsid w:val="005070A5"/>
    <w:rsid w:val="00510524"/>
    <w:rsid w:val="00510CD1"/>
    <w:rsid w:val="00511186"/>
    <w:rsid w:val="00511860"/>
    <w:rsid w:val="0051199D"/>
    <w:rsid w:val="00511B0C"/>
    <w:rsid w:val="00511C80"/>
    <w:rsid w:val="00512709"/>
    <w:rsid w:val="00513B01"/>
    <w:rsid w:val="0051416E"/>
    <w:rsid w:val="00516985"/>
    <w:rsid w:val="00517FD8"/>
    <w:rsid w:val="00520485"/>
    <w:rsid w:val="005205BE"/>
    <w:rsid w:val="00521609"/>
    <w:rsid w:val="005229D4"/>
    <w:rsid w:val="00523165"/>
    <w:rsid w:val="00523BE9"/>
    <w:rsid w:val="005240C9"/>
    <w:rsid w:val="005247FE"/>
    <w:rsid w:val="005248DB"/>
    <w:rsid w:val="00525A99"/>
    <w:rsid w:val="00525FBF"/>
    <w:rsid w:val="005269A9"/>
    <w:rsid w:val="00526FB5"/>
    <w:rsid w:val="005273B7"/>
    <w:rsid w:val="00527DD1"/>
    <w:rsid w:val="005304F2"/>
    <w:rsid w:val="00530A92"/>
    <w:rsid w:val="00533498"/>
    <w:rsid w:val="005338CF"/>
    <w:rsid w:val="00533D74"/>
    <w:rsid w:val="005341F1"/>
    <w:rsid w:val="00535DDD"/>
    <w:rsid w:val="005361D0"/>
    <w:rsid w:val="00536755"/>
    <w:rsid w:val="0053683D"/>
    <w:rsid w:val="00537687"/>
    <w:rsid w:val="0054027A"/>
    <w:rsid w:val="00541F3E"/>
    <w:rsid w:val="005429DE"/>
    <w:rsid w:val="0054471D"/>
    <w:rsid w:val="00545291"/>
    <w:rsid w:val="00546524"/>
    <w:rsid w:val="00546E11"/>
    <w:rsid w:val="00547F67"/>
    <w:rsid w:val="00547FE3"/>
    <w:rsid w:val="00550269"/>
    <w:rsid w:val="00553617"/>
    <w:rsid w:val="00553853"/>
    <w:rsid w:val="00553BAB"/>
    <w:rsid w:val="00553FF7"/>
    <w:rsid w:val="00554657"/>
    <w:rsid w:val="005546BD"/>
    <w:rsid w:val="005558A6"/>
    <w:rsid w:val="00555F62"/>
    <w:rsid w:val="005560F2"/>
    <w:rsid w:val="00556319"/>
    <w:rsid w:val="0055686D"/>
    <w:rsid w:val="00556AD7"/>
    <w:rsid w:val="00557621"/>
    <w:rsid w:val="005577A6"/>
    <w:rsid w:val="00557ED6"/>
    <w:rsid w:val="00563309"/>
    <w:rsid w:val="00565B71"/>
    <w:rsid w:val="00566863"/>
    <w:rsid w:val="00566BD0"/>
    <w:rsid w:val="005677F4"/>
    <w:rsid w:val="0057034F"/>
    <w:rsid w:val="0057151B"/>
    <w:rsid w:val="00571992"/>
    <w:rsid w:val="005723B0"/>
    <w:rsid w:val="00572E94"/>
    <w:rsid w:val="00573645"/>
    <w:rsid w:val="00576459"/>
    <w:rsid w:val="005772BB"/>
    <w:rsid w:val="00580D14"/>
    <w:rsid w:val="00580E80"/>
    <w:rsid w:val="0058132F"/>
    <w:rsid w:val="00581F19"/>
    <w:rsid w:val="00582208"/>
    <w:rsid w:val="0058223D"/>
    <w:rsid w:val="0058241F"/>
    <w:rsid w:val="00582B24"/>
    <w:rsid w:val="00582E81"/>
    <w:rsid w:val="00584111"/>
    <w:rsid w:val="005841CF"/>
    <w:rsid w:val="005843F9"/>
    <w:rsid w:val="00584413"/>
    <w:rsid w:val="005844CD"/>
    <w:rsid w:val="00584561"/>
    <w:rsid w:val="00585C9A"/>
    <w:rsid w:val="00586913"/>
    <w:rsid w:val="00587A6D"/>
    <w:rsid w:val="00587EA2"/>
    <w:rsid w:val="0059142D"/>
    <w:rsid w:val="00592DAB"/>
    <w:rsid w:val="005953CA"/>
    <w:rsid w:val="00595D32"/>
    <w:rsid w:val="00596661"/>
    <w:rsid w:val="00596DD8"/>
    <w:rsid w:val="005A085F"/>
    <w:rsid w:val="005A2007"/>
    <w:rsid w:val="005A319A"/>
    <w:rsid w:val="005A39EF"/>
    <w:rsid w:val="005A3AB2"/>
    <w:rsid w:val="005A4307"/>
    <w:rsid w:val="005A4979"/>
    <w:rsid w:val="005A5137"/>
    <w:rsid w:val="005A5935"/>
    <w:rsid w:val="005A603E"/>
    <w:rsid w:val="005A64E3"/>
    <w:rsid w:val="005A6C02"/>
    <w:rsid w:val="005A6F9E"/>
    <w:rsid w:val="005A7706"/>
    <w:rsid w:val="005B2BED"/>
    <w:rsid w:val="005B3448"/>
    <w:rsid w:val="005B34E0"/>
    <w:rsid w:val="005B44B0"/>
    <w:rsid w:val="005B4509"/>
    <w:rsid w:val="005B498B"/>
    <w:rsid w:val="005B517A"/>
    <w:rsid w:val="005B51E0"/>
    <w:rsid w:val="005B55F4"/>
    <w:rsid w:val="005B69B0"/>
    <w:rsid w:val="005B7074"/>
    <w:rsid w:val="005B7112"/>
    <w:rsid w:val="005C04BD"/>
    <w:rsid w:val="005C0931"/>
    <w:rsid w:val="005C190E"/>
    <w:rsid w:val="005C198D"/>
    <w:rsid w:val="005C1D6B"/>
    <w:rsid w:val="005C21C3"/>
    <w:rsid w:val="005C2D56"/>
    <w:rsid w:val="005C2E1D"/>
    <w:rsid w:val="005C31B9"/>
    <w:rsid w:val="005C41EF"/>
    <w:rsid w:val="005C5AF9"/>
    <w:rsid w:val="005C5DA2"/>
    <w:rsid w:val="005C614A"/>
    <w:rsid w:val="005C772B"/>
    <w:rsid w:val="005D0FDF"/>
    <w:rsid w:val="005D15F7"/>
    <w:rsid w:val="005D2362"/>
    <w:rsid w:val="005D35A1"/>
    <w:rsid w:val="005D3A37"/>
    <w:rsid w:val="005D4985"/>
    <w:rsid w:val="005D618A"/>
    <w:rsid w:val="005D6FA6"/>
    <w:rsid w:val="005D7447"/>
    <w:rsid w:val="005D7497"/>
    <w:rsid w:val="005E025C"/>
    <w:rsid w:val="005E115C"/>
    <w:rsid w:val="005E23E2"/>
    <w:rsid w:val="005E3149"/>
    <w:rsid w:val="005E31F7"/>
    <w:rsid w:val="005E35EA"/>
    <w:rsid w:val="005E388E"/>
    <w:rsid w:val="005E3D15"/>
    <w:rsid w:val="005E3E22"/>
    <w:rsid w:val="005E3FB4"/>
    <w:rsid w:val="005E4FE8"/>
    <w:rsid w:val="005E5F18"/>
    <w:rsid w:val="005E6A7D"/>
    <w:rsid w:val="005E7464"/>
    <w:rsid w:val="005E7F28"/>
    <w:rsid w:val="005F0718"/>
    <w:rsid w:val="005F0EC2"/>
    <w:rsid w:val="005F2802"/>
    <w:rsid w:val="005F2DDF"/>
    <w:rsid w:val="005F2F40"/>
    <w:rsid w:val="005F3294"/>
    <w:rsid w:val="005F4474"/>
    <w:rsid w:val="005F4FC0"/>
    <w:rsid w:val="005F6662"/>
    <w:rsid w:val="005F75C5"/>
    <w:rsid w:val="00600C7F"/>
    <w:rsid w:val="00601A9D"/>
    <w:rsid w:val="00601FEE"/>
    <w:rsid w:val="00602712"/>
    <w:rsid w:val="006027D1"/>
    <w:rsid w:val="00602949"/>
    <w:rsid w:val="006030CF"/>
    <w:rsid w:val="006033E9"/>
    <w:rsid w:val="00604418"/>
    <w:rsid w:val="00607EEF"/>
    <w:rsid w:val="00607FF1"/>
    <w:rsid w:val="0061052F"/>
    <w:rsid w:val="0061110F"/>
    <w:rsid w:val="006114B0"/>
    <w:rsid w:val="00614B79"/>
    <w:rsid w:val="00616DF3"/>
    <w:rsid w:val="006179DA"/>
    <w:rsid w:val="00617A55"/>
    <w:rsid w:val="00620625"/>
    <w:rsid w:val="00620A54"/>
    <w:rsid w:val="00620CF3"/>
    <w:rsid w:val="00620F00"/>
    <w:rsid w:val="0062157E"/>
    <w:rsid w:val="00621C11"/>
    <w:rsid w:val="00622406"/>
    <w:rsid w:val="0062243C"/>
    <w:rsid w:val="00622E54"/>
    <w:rsid w:val="0062302C"/>
    <w:rsid w:val="0062314A"/>
    <w:rsid w:val="00623C12"/>
    <w:rsid w:val="00623CF6"/>
    <w:rsid w:val="006246EF"/>
    <w:rsid w:val="006250A2"/>
    <w:rsid w:val="00625520"/>
    <w:rsid w:val="00625D28"/>
    <w:rsid w:val="006260AE"/>
    <w:rsid w:val="006263DB"/>
    <w:rsid w:val="006267BD"/>
    <w:rsid w:val="006269DA"/>
    <w:rsid w:val="006269F3"/>
    <w:rsid w:val="006303D1"/>
    <w:rsid w:val="00630BCF"/>
    <w:rsid w:val="00630DB2"/>
    <w:rsid w:val="00630FB2"/>
    <w:rsid w:val="006320E6"/>
    <w:rsid w:val="00632983"/>
    <w:rsid w:val="00632C4E"/>
    <w:rsid w:val="006347B4"/>
    <w:rsid w:val="00634FCE"/>
    <w:rsid w:val="0063588F"/>
    <w:rsid w:val="006368BB"/>
    <w:rsid w:val="00640385"/>
    <w:rsid w:val="006438A5"/>
    <w:rsid w:val="006445D8"/>
    <w:rsid w:val="00644972"/>
    <w:rsid w:val="00645933"/>
    <w:rsid w:val="00645AE1"/>
    <w:rsid w:val="00646E79"/>
    <w:rsid w:val="0065040D"/>
    <w:rsid w:val="00650B13"/>
    <w:rsid w:val="00650CAD"/>
    <w:rsid w:val="00652A83"/>
    <w:rsid w:val="006531E5"/>
    <w:rsid w:val="00653847"/>
    <w:rsid w:val="00653C5F"/>
    <w:rsid w:val="006546F1"/>
    <w:rsid w:val="00654A39"/>
    <w:rsid w:val="00655B5D"/>
    <w:rsid w:val="00656CAC"/>
    <w:rsid w:val="00661138"/>
    <w:rsid w:val="00661D93"/>
    <w:rsid w:val="00662DF6"/>
    <w:rsid w:val="0066315D"/>
    <w:rsid w:val="00663183"/>
    <w:rsid w:val="006634A9"/>
    <w:rsid w:val="00663E74"/>
    <w:rsid w:val="0066435F"/>
    <w:rsid w:val="00665196"/>
    <w:rsid w:val="006655CD"/>
    <w:rsid w:val="006657B8"/>
    <w:rsid w:val="006662E1"/>
    <w:rsid w:val="00666555"/>
    <w:rsid w:val="006668A9"/>
    <w:rsid w:val="00667E0D"/>
    <w:rsid w:val="00670CAE"/>
    <w:rsid w:val="006715DB"/>
    <w:rsid w:val="00671B6C"/>
    <w:rsid w:val="00672572"/>
    <w:rsid w:val="00672667"/>
    <w:rsid w:val="006735E2"/>
    <w:rsid w:val="0067446F"/>
    <w:rsid w:val="00674BFF"/>
    <w:rsid w:val="006753BE"/>
    <w:rsid w:val="006765C2"/>
    <w:rsid w:val="00677F70"/>
    <w:rsid w:val="006802A2"/>
    <w:rsid w:val="00680C14"/>
    <w:rsid w:val="00681624"/>
    <w:rsid w:val="00682326"/>
    <w:rsid w:val="006825BF"/>
    <w:rsid w:val="006831FC"/>
    <w:rsid w:val="00683DB5"/>
    <w:rsid w:val="00684BCA"/>
    <w:rsid w:val="00685A31"/>
    <w:rsid w:val="00685A75"/>
    <w:rsid w:val="00687031"/>
    <w:rsid w:val="00690EB2"/>
    <w:rsid w:val="0069102E"/>
    <w:rsid w:val="00691C1B"/>
    <w:rsid w:val="0069285D"/>
    <w:rsid w:val="006934F4"/>
    <w:rsid w:val="00694C39"/>
    <w:rsid w:val="00695407"/>
    <w:rsid w:val="006959F3"/>
    <w:rsid w:val="00697ADC"/>
    <w:rsid w:val="00697BEF"/>
    <w:rsid w:val="006A051B"/>
    <w:rsid w:val="006A1147"/>
    <w:rsid w:val="006A1171"/>
    <w:rsid w:val="006A1A37"/>
    <w:rsid w:val="006A2C04"/>
    <w:rsid w:val="006A3F11"/>
    <w:rsid w:val="006A44FD"/>
    <w:rsid w:val="006A6811"/>
    <w:rsid w:val="006A684F"/>
    <w:rsid w:val="006A6C0A"/>
    <w:rsid w:val="006A7267"/>
    <w:rsid w:val="006A7841"/>
    <w:rsid w:val="006B03AF"/>
    <w:rsid w:val="006B0B30"/>
    <w:rsid w:val="006B23B7"/>
    <w:rsid w:val="006B2890"/>
    <w:rsid w:val="006B3D49"/>
    <w:rsid w:val="006B4C1A"/>
    <w:rsid w:val="006B51DA"/>
    <w:rsid w:val="006B5736"/>
    <w:rsid w:val="006B77EF"/>
    <w:rsid w:val="006B79F0"/>
    <w:rsid w:val="006B7A3F"/>
    <w:rsid w:val="006B7DF9"/>
    <w:rsid w:val="006C001C"/>
    <w:rsid w:val="006C0A9D"/>
    <w:rsid w:val="006C14D1"/>
    <w:rsid w:val="006C28BC"/>
    <w:rsid w:val="006C2951"/>
    <w:rsid w:val="006C59CD"/>
    <w:rsid w:val="006C5AD0"/>
    <w:rsid w:val="006C5C56"/>
    <w:rsid w:val="006C5F08"/>
    <w:rsid w:val="006C65CD"/>
    <w:rsid w:val="006C7CA1"/>
    <w:rsid w:val="006D06D8"/>
    <w:rsid w:val="006D118A"/>
    <w:rsid w:val="006D1D93"/>
    <w:rsid w:val="006D1EC5"/>
    <w:rsid w:val="006D26B7"/>
    <w:rsid w:val="006D30B9"/>
    <w:rsid w:val="006D391F"/>
    <w:rsid w:val="006D41B7"/>
    <w:rsid w:val="006D53E7"/>
    <w:rsid w:val="006D6342"/>
    <w:rsid w:val="006D68AD"/>
    <w:rsid w:val="006E01FE"/>
    <w:rsid w:val="006E1EA0"/>
    <w:rsid w:val="006E37DC"/>
    <w:rsid w:val="006E44FE"/>
    <w:rsid w:val="006E480E"/>
    <w:rsid w:val="006E5102"/>
    <w:rsid w:val="006E6105"/>
    <w:rsid w:val="006E662D"/>
    <w:rsid w:val="006E7BF1"/>
    <w:rsid w:val="006F0843"/>
    <w:rsid w:val="006F3008"/>
    <w:rsid w:val="006F47C9"/>
    <w:rsid w:val="006F613B"/>
    <w:rsid w:val="006F6B40"/>
    <w:rsid w:val="006F7128"/>
    <w:rsid w:val="006F7757"/>
    <w:rsid w:val="00701A50"/>
    <w:rsid w:val="00702E22"/>
    <w:rsid w:val="00703A2D"/>
    <w:rsid w:val="007044A7"/>
    <w:rsid w:val="00704A70"/>
    <w:rsid w:val="00704A8D"/>
    <w:rsid w:val="00704DF9"/>
    <w:rsid w:val="0070500F"/>
    <w:rsid w:val="00705020"/>
    <w:rsid w:val="00705F34"/>
    <w:rsid w:val="0070623B"/>
    <w:rsid w:val="007062E8"/>
    <w:rsid w:val="00706E47"/>
    <w:rsid w:val="0070779E"/>
    <w:rsid w:val="0071045D"/>
    <w:rsid w:val="00710870"/>
    <w:rsid w:val="00710F16"/>
    <w:rsid w:val="00712077"/>
    <w:rsid w:val="00712E27"/>
    <w:rsid w:val="00712EA9"/>
    <w:rsid w:val="007135D2"/>
    <w:rsid w:val="0071414D"/>
    <w:rsid w:val="00714D8F"/>
    <w:rsid w:val="00715391"/>
    <w:rsid w:val="00715A62"/>
    <w:rsid w:val="00716223"/>
    <w:rsid w:val="007163C7"/>
    <w:rsid w:val="00720B3F"/>
    <w:rsid w:val="00720DE1"/>
    <w:rsid w:val="00720DF7"/>
    <w:rsid w:val="00721F6A"/>
    <w:rsid w:val="0072255A"/>
    <w:rsid w:val="0072269A"/>
    <w:rsid w:val="00724AFA"/>
    <w:rsid w:val="00724C3E"/>
    <w:rsid w:val="00725CE2"/>
    <w:rsid w:val="00725F81"/>
    <w:rsid w:val="00726417"/>
    <w:rsid w:val="00726938"/>
    <w:rsid w:val="00727E23"/>
    <w:rsid w:val="007306F5"/>
    <w:rsid w:val="0073093C"/>
    <w:rsid w:val="00730CE2"/>
    <w:rsid w:val="00731690"/>
    <w:rsid w:val="00731777"/>
    <w:rsid w:val="0073245E"/>
    <w:rsid w:val="007326AB"/>
    <w:rsid w:val="0073278D"/>
    <w:rsid w:val="00732B0A"/>
    <w:rsid w:val="00732F12"/>
    <w:rsid w:val="00734077"/>
    <w:rsid w:val="007354B6"/>
    <w:rsid w:val="007357F7"/>
    <w:rsid w:val="00735E88"/>
    <w:rsid w:val="00736E75"/>
    <w:rsid w:val="007403E4"/>
    <w:rsid w:val="007408A3"/>
    <w:rsid w:val="007408E7"/>
    <w:rsid w:val="00740C2F"/>
    <w:rsid w:val="00742125"/>
    <w:rsid w:val="007421BC"/>
    <w:rsid w:val="00742EF7"/>
    <w:rsid w:val="00743C1E"/>
    <w:rsid w:val="00744013"/>
    <w:rsid w:val="007472F5"/>
    <w:rsid w:val="007505C9"/>
    <w:rsid w:val="00750C8F"/>
    <w:rsid w:val="00752434"/>
    <w:rsid w:val="00752D81"/>
    <w:rsid w:val="00754357"/>
    <w:rsid w:val="007554DB"/>
    <w:rsid w:val="00756E93"/>
    <w:rsid w:val="0076030E"/>
    <w:rsid w:val="0076134D"/>
    <w:rsid w:val="00761860"/>
    <w:rsid w:val="00761BAA"/>
    <w:rsid w:val="00763B7C"/>
    <w:rsid w:val="007640E3"/>
    <w:rsid w:val="00764260"/>
    <w:rsid w:val="00764AAD"/>
    <w:rsid w:val="00765763"/>
    <w:rsid w:val="00765E92"/>
    <w:rsid w:val="007665A6"/>
    <w:rsid w:val="007675ED"/>
    <w:rsid w:val="00770AF5"/>
    <w:rsid w:val="0077104A"/>
    <w:rsid w:val="00772498"/>
    <w:rsid w:val="00772923"/>
    <w:rsid w:val="00772980"/>
    <w:rsid w:val="00772D16"/>
    <w:rsid w:val="0077491A"/>
    <w:rsid w:val="00775C51"/>
    <w:rsid w:val="0077624B"/>
    <w:rsid w:val="0077662B"/>
    <w:rsid w:val="007774BB"/>
    <w:rsid w:val="00777836"/>
    <w:rsid w:val="007807FE"/>
    <w:rsid w:val="00781B46"/>
    <w:rsid w:val="0078293B"/>
    <w:rsid w:val="0078391C"/>
    <w:rsid w:val="0078446A"/>
    <w:rsid w:val="007906E0"/>
    <w:rsid w:val="007908B4"/>
    <w:rsid w:val="00791DCA"/>
    <w:rsid w:val="00792A0F"/>
    <w:rsid w:val="007930E8"/>
    <w:rsid w:val="00793181"/>
    <w:rsid w:val="007934AB"/>
    <w:rsid w:val="00793E85"/>
    <w:rsid w:val="00794DE8"/>
    <w:rsid w:val="00794F45"/>
    <w:rsid w:val="007954BD"/>
    <w:rsid w:val="007968AA"/>
    <w:rsid w:val="00796B69"/>
    <w:rsid w:val="00797181"/>
    <w:rsid w:val="00797208"/>
    <w:rsid w:val="00797439"/>
    <w:rsid w:val="007A25DF"/>
    <w:rsid w:val="007A3156"/>
    <w:rsid w:val="007A3193"/>
    <w:rsid w:val="007A3254"/>
    <w:rsid w:val="007A411D"/>
    <w:rsid w:val="007A4398"/>
    <w:rsid w:val="007A505C"/>
    <w:rsid w:val="007A5753"/>
    <w:rsid w:val="007A6C54"/>
    <w:rsid w:val="007A6C91"/>
    <w:rsid w:val="007A7763"/>
    <w:rsid w:val="007A7CBB"/>
    <w:rsid w:val="007A7DC1"/>
    <w:rsid w:val="007B0A03"/>
    <w:rsid w:val="007B1781"/>
    <w:rsid w:val="007B1D5D"/>
    <w:rsid w:val="007B2BB5"/>
    <w:rsid w:val="007B2F6B"/>
    <w:rsid w:val="007B38DC"/>
    <w:rsid w:val="007B3B7A"/>
    <w:rsid w:val="007B573A"/>
    <w:rsid w:val="007B5C72"/>
    <w:rsid w:val="007B69C1"/>
    <w:rsid w:val="007B7D08"/>
    <w:rsid w:val="007B7DB7"/>
    <w:rsid w:val="007C1063"/>
    <w:rsid w:val="007C10A9"/>
    <w:rsid w:val="007C1F0D"/>
    <w:rsid w:val="007C2D8E"/>
    <w:rsid w:val="007C3AFC"/>
    <w:rsid w:val="007C3C66"/>
    <w:rsid w:val="007C702D"/>
    <w:rsid w:val="007C7043"/>
    <w:rsid w:val="007C74D7"/>
    <w:rsid w:val="007C7BD7"/>
    <w:rsid w:val="007D2373"/>
    <w:rsid w:val="007D2B53"/>
    <w:rsid w:val="007D2FDA"/>
    <w:rsid w:val="007D3489"/>
    <w:rsid w:val="007D4243"/>
    <w:rsid w:val="007D5382"/>
    <w:rsid w:val="007D5447"/>
    <w:rsid w:val="007D5E04"/>
    <w:rsid w:val="007D6F65"/>
    <w:rsid w:val="007D7167"/>
    <w:rsid w:val="007D7B44"/>
    <w:rsid w:val="007D7D74"/>
    <w:rsid w:val="007D7EA3"/>
    <w:rsid w:val="007E07C3"/>
    <w:rsid w:val="007E0A83"/>
    <w:rsid w:val="007E25FF"/>
    <w:rsid w:val="007E2FAC"/>
    <w:rsid w:val="007E401D"/>
    <w:rsid w:val="007E4312"/>
    <w:rsid w:val="007E443B"/>
    <w:rsid w:val="007E467E"/>
    <w:rsid w:val="007E49B2"/>
    <w:rsid w:val="007E4B23"/>
    <w:rsid w:val="007E4CFD"/>
    <w:rsid w:val="007E4D56"/>
    <w:rsid w:val="007E4EE6"/>
    <w:rsid w:val="007E4F64"/>
    <w:rsid w:val="007E52A6"/>
    <w:rsid w:val="007E6160"/>
    <w:rsid w:val="007E67CE"/>
    <w:rsid w:val="007E68D4"/>
    <w:rsid w:val="007E7949"/>
    <w:rsid w:val="007E7E65"/>
    <w:rsid w:val="007F002A"/>
    <w:rsid w:val="007F3C1C"/>
    <w:rsid w:val="007F3F6D"/>
    <w:rsid w:val="007F4440"/>
    <w:rsid w:val="007F4895"/>
    <w:rsid w:val="007F4D77"/>
    <w:rsid w:val="007F4FEE"/>
    <w:rsid w:val="007F5006"/>
    <w:rsid w:val="007F6183"/>
    <w:rsid w:val="007F70A3"/>
    <w:rsid w:val="007F7B75"/>
    <w:rsid w:val="00800FA1"/>
    <w:rsid w:val="008016E7"/>
    <w:rsid w:val="008022E6"/>
    <w:rsid w:val="008023CD"/>
    <w:rsid w:val="008036EB"/>
    <w:rsid w:val="0080502D"/>
    <w:rsid w:val="00805825"/>
    <w:rsid w:val="008064E6"/>
    <w:rsid w:val="00806C8E"/>
    <w:rsid w:val="00806F79"/>
    <w:rsid w:val="00807603"/>
    <w:rsid w:val="00807F97"/>
    <w:rsid w:val="00810FF6"/>
    <w:rsid w:val="0081116E"/>
    <w:rsid w:val="00812784"/>
    <w:rsid w:val="00812893"/>
    <w:rsid w:val="008141CE"/>
    <w:rsid w:val="00814A61"/>
    <w:rsid w:val="008152E7"/>
    <w:rsid w:val="0081557E"/>
    <w:rsid w:val="008170DD"/>
    <w:rsid w:val="008172F1"/>
    <w:rsid w:val="00817AE6"/>
    <w:rsid w:val="00817D93"/>
    <w:rsid w:val="00820047"/>
    <w:rsid w:val="00820075"/>
    <w:rsid w:val="00821C8B"/>
    <w:rsid w:val="00821EB1"/>
    <w:rsid w:val="00821F60"/>
    <w:rsid w:val="00822331"/>
    <w:rsid w:val="00823538"/>
    <w:rsid w:val="008241B3"/>
    <w:rsid w:val="00825958"/>
    <w:rsid w:val="00825D99"/>
    <w:rsid w:val="008261FD"/>
    <w:rsid w:val="00827398"/>
    <w:rsid w:val="008303B1"/>
    <w:rsid w:val="00830E9D"/>
    <w:rsid w:val="00831A46"/>
    <w:rsid w:val="008321BE"/>
    <w:rsid w:val="008336E4"/>
    <w:rsid w:val="00833C46"/>
    <w:rsid w:val="00835E12"/>
    <w:rsid w:val="00836522"/>
    <w:rsid w:val="008372D8"/>
    <w:rsid w:val="00837786"/>
    <w:rsid w:val="00837E70"/>
    <w:rsid w:val="00840351"/>
    <w:rsid w:val="00841697"/>
    <w:rsid w:val="0084173A"/>
    <w:rsid w:val="00842CC6"/>
    <w:rsid w:val="00843163"/>
    <w:rsid w:val="008432F4"/>
    <w:rsid w:val="008439A3"/>
    <w:rsid w:val="00843AA0"/>
    <w:rsid w:val="00844265"/>
    <w:rsid w:val="00846BDC"/>
    <w:rsid w:val="00846D29"/>
    <w:rsid w:val="008473E7"/>
    <w:rsid w:val="00850E6D"/>
    <w:rsid w:val="00851D58"/>
    <w:rsid w:val="008527D2"/>
    <w:rsid w:val="00852BD6"/>
    <w:rsid w:val="008534A7"/>
    <w:rsid w:val="008538EE"/>
    <w:rsid w:val="00853A00"/>
    <w:rsid w:val="00854498"/>
    <w:rsid w:val="00854CA8"/>
    <w:rsid w:val="00855023"/>
    <w:rsid w:val="00860136"/>
    <w:rsid w:val="00860CFE"/>
    <w:rsid w:val="0086246D"/>
    <w:rsid w:val="008657D3"/>
    <w:rsid w:val="008662BD"/>
    <w:rsid w:val="00866855"/>
    <w:rsid w:val="00867EEF"/>
    <w:rsid w:val="008707E1"/>
    <w:rsid w:val="00870886"/>
    <w:rsid w:val="008709D3"/>
    <w:rsid w:val="008713B9"/>
    <w:rsid w:val="00871D48"/>
    <w:rsid w:val="00871DF5"/>
    <w:rsid w:val="0087249C"/>
    <w:rsid w:val="0087294C"/>
    <w:rsid w:val="00873520"/>
    <w:rsid w:val="00874652"/>
    <w:rsid w:val="00876A98"/>
    <w:rsid w:val="008800A9"/>
    <w:rsid w:val="0088023C"/>
    <w:rsid w:val="00880EFA"/>
    <w:rsid w:val="00882F78"/>
    <w:rsid w:val="00883EDD"/>
    <w:rsid w:val="00884F90"/>
    <w:rsid w:val="0088534A"/>
    <w:rsid w:val="00885832"/>
    <w:rsid w:val="00886007"/>
    <w:rsid w:val="00886806"/>
    <w:rsid w:val="008869F0"/>
    <w:rsid w:val="0088742E"/>
    <w:rsid w:val="008878B6"/>
    <w:rsid w:val="008900F9"/>
    <w:rsid w:val="00890B8D"/>
    <w:rsid w:val="0089247E"/>
    <w:rsid w:val="0089308C"/>
    <w:rsid w:val="008930C3"/>
    <w:rsid w:val="0089310E"/>
    <w:rsid w:val="00895105"/>
    <w:rsid w:val="00895753"/>
    <w:rsid w:val="00895F6C"/>
    <w:rsid w:val="00897787"/>
    <w:rsid w:val="008A0575"/>
    <w:rsid w:val="008A0CA8"/>
    <w:rsid w:val="008A0E80"/>
    <w:rsid w:val="008A23DC"/>
    <w:rsid w:val="008A29BB"/>
    <w:rsid w:val="008A3684"/>
    <w:rsid w:val="008A3EED"/>
    <w:rsid w:val="008A4546"/>
    <w:rsid w:val="008A4B79"/>
    <w:rsid w:val="008A4CFB"/>
    <w:rsid w:val="008A4EA4"/>
    <w:rsid w:val="008A50F0"/>
    <w:rsid w:val="008B09B5"/>
    <w:rsid w:val="008B0B83"/>
    <w:rsid w:val="008B17A9"/>
    <w:rsid w:val="008B22F3"/>
    <w:rsid w:val="008B3136"/>
    <w:rsid w:val="008B3808"/>
    <w:rsid w:val="008B415C"/>
    <w:rsid w:val="008B5242"/>
    <w:rsid w:val="008B599D"/>
    <w:rsid w:val="008B64FD"/>
    <w:rsid w:val="008B6A96"/>
    <w:rsid w:val="008C02D7"/>
    <w:rsid w:val="008C25B9"/>
    <w:rsid w:val="008C2BA5"/>
    <w:rsid w:val="008C4F8E"/>
    <w:rsid w:val="008C5B6F"/>
    <w:rsid w:val="008C6FB8"/>
    <w:rsid w:val="008C7936"/>
    <w:rsid w:val="008D0619"/>
    <w:rsid w:val="008D081D"/>
    <w:rsid w:val="008D0DCC"/>
    <w:rsid w:val="008D1CAB"/>
    <w:rsid w:val="008D1DE8"/>
    <w:rsid w:val="008D1F0F"/>
    <w:rsid w:val="008D2D58"/>
    <w:rsid w:val="008D309D"/>
    <w:rsid w:val="008D3D94"/>
    <w:rsid w:val="008D3E15"/>
    <w:rsid w:val="008D4AEA"/>
    <w:rsid w:val="008D51CC"/>
    <w:rsid w:val="008D570A"/>
    <w:rsid w:val="008D690C"/>
    <w:rsid w:val="008D7686"/>
    <w:rsid w:val="008E0796"/>
    <w:rsid w:val="008E1D3D"/>
    <w:rsid w:val="008E2FFD"/>
    <w:rsid w:val="008E3AC7"/>
    <w:rsid w:val="008E4F41"/>
    <w:rsid w:val="008E751C"/>
    <w:rsid w:val="008E7723"/>
    <w:rsid w:val="008E7825"/>
    <w:rsid w:val="008E7991"/>
    <w:rsid w:val="008E7CB2"/>
    <w:rsid w:val="008EDB8B"/>
    <w:rsid w:val="008F0531"/>
    <w:rsid w:val="008F0771"/>
    <w:rsid w:val="008F146D"/>
    <w:rsid w:val="008F28FE"/>
    <w:rsid w:val="008F293B"/>
    <w:rsid w:val="008F3A1D"/>
    <w:rsid w:val="008F4769"/>
    <w:rsid w:val="008F4A76"/>
    <w:rsid w:val="008F4FF7"/>
    <w:rsid w:val="008F57A7"/>
    <w:rsid w:val="008F60DD"/>
    <w:rsid w:val="008F6E23"/>
    <w:rsid w:val="008F6ECC"/>
    <w:rsid w:val="008F736E"/>
    <w:rsid w:val="008F76F1"/>
    <w:rsid w:val="008F7A1A"/>
    <w:rsid w:val="008F7E59"/>
    <w:rsid w:val="00900220"/>
    <w:rsid w:val="00900F0C"/>
    <w:rsid w:val="00901E6C"/>
    <w:rsid w:val="009027DB"/>
    <w:rsid w:val="00903D00"/>
    <w:rsid w:val="00904043"/>
    <w:rsid w:val="00905512"/>
    <w:rsid w:val="00906AB6"/>
    <w:rsid w:val="009104D1"/>
    <w:rsid w:val="0091055E"/>
    <w:rsid w:val="00910585"/>
    <w:rsid w:val="00910654"/>
    <w:rsid w:val="00910B81"/>
    <w:rsid w:val="00910D10"/>
    <w:rsid w:val="009135B8"/>
    <w:rsid w:val="009141FA"/>
    <w:rsid w:val="00914C86"/>
    <w:rsid w:val="00915282"/>
    <w:rsid w:val="00915928"/>
    <w:rsid w:val="00915BD9"/>
    <w:rsid w:val="00917534"/>
    <w:rsid w:val="00917D37"/>
    <w:rsid w:val="009206F7"/>
    <w:rsid w:val="00920DE3"/>
    <w:rsid w:val="00920E7D"/>
    <w:rsid w:val="00923A89"/>
    <w:rsid w:val="009241F8"/>
    <w:rsid w:val="0092481C"/>
    <w:rsid w:val="0092580C"/>
    <w:rsid w:val="00926C3B"/>
    <w:rsid w:val="00926C3D"/>
    <w:rsid w:val="0092758A"/>
    <w:rsid w:val="00927693"/>
    <w:rsid w:val="009277C2"/>
    <w:rsid w:val="009278DF"/>
    <w:rsid w:val="00927F94"/>
    <w:rsid w:val="009301B3"/>
    <w:rsid w:val="00930FD6"/>
    <w:rsid w:val="009310B6"/>
    <w:rsid w:val="00931A28"/>
    <w:rsid w:val="00932208"/>
    <w:rsid w:val="00933213"/>
    <w:rsid w:val="00933A6D"/>
    <w:rsid w:val="00934107"/>
    <w:rsid w:val="00934765"/>
    <w:rsid w:val="00934AA4"/>
    <w:rsid w:val="00934E14"/>
    <w:rsid w:val="0093526B"/>
    <w:rsid w:val="009368D8"/>
    <w:rsid w:val="00937465"/>
    <w:rsid w:val="00937C3B"/>
    <w:rsid w:val="0094035E"/>
    <w:rsid w:val="00940BA6"/>
    <w:rsid w:val="00940C49"/>
    <w:rsid w:val="00941926"/>
    <w:rsid w:val="009429FA"/>
    <w:rsid w:val="009432AB"/>
    <w:rsid w:val="0094357E"/>
    <w:rsid w:val="00944364"/>
    <w:rsid w:val="00946C60"/>
    <w:rsid w:val="00947533"/>
    <w:rsid w:val="00950226"/>
    <w:rsid w:val="009504F6"/>
    <w:rsid w:val="0095098C"/>
    <w:rsid w:val="00951504"/>
    <w:rsid w:val="00952768"/>
    <w:rsid w:val="00952C85"/>
    <w:rsid w:val="00952D3C"/>
    <w:rsid w:val="00954759"/>
    <w:rsid w:val="00955385"/>
    <w:rsid w:val="009557FA"/>
    <w:rsid w:val="00955C55"/>
    <w:rsid w:val="00955F77"/>
    <w:rsid w:val="00957500"/>
    <w:rsid w:val="0096040D"/>
    <w:rsid w:val="009616FD"/>
    <w:rsid w:val="00962669"/>
    <w:rsid w:val="009645F5"/>
    <w:rsid w:val="00964EE4"/>
    <w:rsid w:val="00965144"/>
    <w:rsid w:val="00965E11"/>
    <w:rsid w:val="00965F5C"/>
    <w:rsid w:val="00965FBE"/>
    <w:rsid w:val="00965FF0"/>
    <w:rsid w:val="00966AA2"/>
    <w:rsid w:val="009677AD"/>
    <w:rsid w:val="00967FD1"/>
    <w:rsid w:val="009706E2"/>
    <w:rsid w:val="00970760"/>
    <w:rsid w:val="00970F05"/>
    <w:rsid w:val="00971A9A"/>
    <w:rsid w:val="00974833"/>
    <w:rsid w:val="009777E3"/>
    <w:rsid w:val="00980330"/>
    <w:rsid w:val="0098092D"/>
    <w:rsid w:val="00984081"/>
    <w:rsid w:val="00984D24"/>
    <w:rsid w:val="00986D2E"/>
    <w:rsid w:val="00987513"/>
    <w:rsid w:val="0098774B"/>
    <w:rsid w:val="00987E5E"/>
    <w:rsid w:val="0099025B"/>
    <w:rsid w:val="00991CCA"/>
    <w:rsid w:val="0099222E"/>
    <w:rsid w:val="009927AA"/>
    <w:rsid w:val="009947D3"/>
    <w:rsid w:val="00994CB8"/>
    <w:rsid w:val="00995431"/>
    <w:rsid w:val="00995DE1"/>
    <w:rsid w:val="0099666E"/>
    <w:rsid w:val="00997B78"/>
    <w:rsid w:val="00997CDA"/>
    <w:rsid w:val="009A0502"/>
    <w:rsid w:val="009A0C07"/>
    <w:rsid w:val="009A1901"/>
    <w:rsid w:val="009A2FBC"/>
    <w:rsid w:val="009A3F36"/>
    <w:rsid w:val="009A478C"/>
    <w:rsid w:val="009A585F"/>
    <w:rsid w:val="009A586B"/>
    <w:rsid w:val="009A5E87"/>
    <w:rsid w:val="009A65B7"/>
    <w:rsid w:val="009A6FC0"/>
    <w:rsid w:val="009A7544"/>
    <w:rsid w:val="009B08CA"/>
    <w:rsid w:val="009B129A"/>
    <w:rsid w:val="009B3AB6"/>
    <w:rsid w:val="009B4FF9"/>
    <w:rsid w:val="009B57C7"/>
    <w:rsid w:val="009B5FB6"/>
    <w:rsid w:val="009B6B61"/>
    <w:rsid w:val="009B7A12"/>
    <w:rsid w:val="009C1C30"/>
    <w:rsid w:val="009C388B"/>
    <w:rsid w:val="009C4F39"/>
    <w:rsid w:val="009C52AD"/>
    <w:rsid w:val="009C5BB8"/>
    <w:rsid w:val="009C5EF7"/>
    <w:rsid w:val="009C60B6"/>
    <w:rsid w:val="009C640F"/>
    <w:rsid w:val="009C665A"/>
    <w:rsid w:val="009D01CD"/>
    <w:rsid w:val="009D1066"/>
    <w:rsid w:val="009D2161"/>
    <w:rsid w:val="009D305A"/>
    <w:rsid w:val="009D3B19"/>
    <w:rsid w:val="009D4CDD"/>
    <w:rsid w:val="009D4EA7"/>
    <w:rsid w:val="009E138C"/>
    <w:rsid w:val="009E27DC"/>
    <w:rsid w:val="009E339E"/>
    <w:rsid w:val="009E344B"/>
    <w:rsid w:val="009E4409"/>
    <w:rsid w:val="009E5406"/>
    <w:rsid w:val="009E6791"/>
    <w:rsid w:val="009E68A4"/>
    <w:rsid w:val="009E7AE4"/>
    <w:rsid w:val="009E7ED4"/>
    <w:rsid w:val="009F030A"/>
    <w:rsid w:val="009F1A72"/>
    <w:rsid w:val="009F1D13"/>
    <w:rsid w:val="009F2D7D"/>
    <w:rsid w:val="009F2DE0"/>
    <w:rsid w:val="009F5BDC"/>
    <w:rsid w:val="009F5F08"/>
    <w:rsid w:val="009F6230"/>
    <w:rsid w:val="009F7B52"/>
    <w:rsid w:val="009F7C8E"/>
    <w:rsid w:val="00A002D2"/>
    <w:rsid w:val="00A00BAA"/>
    <w:rsid w:val="00A00D69"/>
    <w:rsid w:val="00A0139F"/>
    <w:rsid w:val="00A02D54"/>
    <w:rsid w:val="00A038D3"/>
    <w:rsid w:val="00A039A5"/>
    <w:rsid w:val="00A03C7E"/>
    <w:rsid w:val="00A04188"/>
    <w:rsid w:val="00A059BB"/>
    <w:rsid w:val="00A05ED2"/>
    <w:rsid w:val="00A05F0C"/>
    <w:rsid w:val="00A07285"/>
    <w:rsid w:val="00A077FE"/>
    <w:rsid w:val="00A10344"/>
    <w:rsid w:val="00A1070B"/>
    <w:rsid w:val="00A10E74"/>
    <w:rsid w:val="00A111F3"/>
    <w:rsid w:val="00A12246"/>
    <w:rsid w:val="00A12602"/>
    <w:rsid w:val="00A13E35"/>
    <w:rsid w:val="00A13E49"/>
    <w:rsid w:val="00A145F7"/>
    <w:rsid w:val="00A15E5D"/>
    <w:rsid w:val="00A15E9E"/>
    <w:rsid w:val="00A1619D"/>
    <w:rsid w:val="00A163BA"/>
    <w:rsid w:val="00A170D9"/>
    <w:rsid w:val="00A2044C"/>
    <w:rsid w:val="00A21F72"/>
    <w:rsid w:val="00A23373"/>
    <w:rsid w:val="00A272D2"/>
    <w:rsid w:val="00A27CA2"/>
    <w:rsid w:val="00A307A2"/>
    <w:rsid w:val="00A31130"/>
    <w:rsid w:val="00A316A2"/>
    <w:rsid w:val="00A320E6"/>
    <w:rsid w:val="00A33D36"/>
    <w:rsid w:val="00A34216"/>
    <w:rsid w:val="00A34D8F"/>
    <w:rsid w:val="00A34ED3"/>
    <w:rsid w:val="00A350A5"/>
    <w:rsid w:val="00A3575C"/>
    <w:rsid w:val="00A36B5B"/>
    <w:rsid w:val="00A37244"/>
    <w:rsid w:val="00A42156"/>
    <w:rsid w:val="00A42F55"/>
    <w:rsid w:val="00A43772"/>
    <w:rsid w:val="00A43D43"/>
    <w:rsid w:val="00A45665"/>
    <w:rsid w:val="00A458B0"/>
    <w:rsid w:val="00A4611C"/>
    <w:rsid w:val="00A467E5"/>
    <w:rsid w:val="00A468AF"/>
    <w:rsid w:val="00A500DF"/>
    <w:rsid w:val="00A5054C"/>
    <w:rsid w:val="00A51D9B"/>
    <w:rsid w:val="00A52C95"/>
    <w:rsid w:val="00A53202"/>
    <w:rsid w:val="00A53A4D"/>
    <w:rsid w:val="00A53C8A"/>
    <w:rsid w:val="00A54323"/>
    <w:rsid w:val="00A54754"/>
    <w:rsid w:val="00A57096"/>
    <w:rsid w:val="00A60B03"/>
    <w:rsid w:val="00A60BAB"/>
    <w:rsid w:val="00A6139D"/>
    <w:rsid w:val="00A61B5D"/>
    <w:rsid w:val="00A61D5D"/>
    <w:rsid w:val="00A61ED1"/>
    <w:rsid w:val="00A621A7"/>
    <w:rsid w:val="00A6240A"/>
    <w:rsid w:val="00A62D82"/>
    <w:rsid w:val="00A638DA"/>
    <w:rsid w:val="00A63F15"/>
    <w:rsid w:val="00A64331"/>
    <w:rsid w:val="00A64559"/>
    <w:rsid w:val="00A65848"/>
    <w:rsid w:val="00A71AAD"/>
    <w:rsid w:val="00A73971"/>
    <w:rsid w:val="00A76A01"/>
    <w:rsid w:val="00A76F98"/>
    <w:rsid w:val="00A7716D"/>
    <w:rsid w:val="00A77D33"/>
    <w:rsid w:val="00A803BF"/>
    <w:rsid w:val="00A816CD"/>
    <w:rsid w:val="00A8186C"/>
    <w:rsid w:val="00A81EC0"/>
    <w:rsid w:val="00A8255A"/>
    <w:rsid w:val="00A82C80"/>
    <w:rsid w:val="00A86E93"/>
    <w:rsid w:val="00A87830"/>
    <w:rsid w:val="00A879D8"/>
    <w:rsid w:val="00A90172"/>
    <w:rsid w:val="00A9021C"/>
    <w:rsid w:val="00A90646"/>
    <w:rsid w:val="00A9213A"/>
    <w:rsid w:val="00A92460"/>
    <w:rsid w:val="00A92EB0"/>
    <w:rsid w:val="00A94116"/>
    <w:rsid w:val="00A96500"/>
    <w:rsid w:val="00A9718C"/>
    <w:rsid w:val="00AA0095"/>
    <w:rsid w:val="00AA0D74"/>
    <w:rsid w:val="00AA221C"/>
    <w:rsid w:val="00AA37F0"/>
    <w:rsid w:val="00AA3F19"/>
    <w:rsid w:val="00AA416B"/>
    <w:rsid w:val="00AA43ED"/>
    <w:rsid w:val="00AA4B20"/>
    <w:rsid w:val="00AA4F42"/>
    <w:rsid w:val="00AA5A1D"/>
    <w:rsid w:val="00AA5BEE"/>
    <w:rsid w:val="00AA5EB0"/>
    <w:rsid w:val="00AA7571"/>
    <w:rsid w:val="00AB01E1"/>
    <w:rsid w:val="00AB21C7"/>
    <w:rsid w:val="00AB28E6"/>
    <w:rsid w:val="00AB2DB9"/>
    <w:rsid w:val="00AB3594"/>
    <w:rsid w:val="00AB4592"/>
    <w:rsid w:val="00AB5187"/>
    <w:rsid w:val="00AB585E"/>
    <w:rsid w:val="00AB6115"/>
    <w:rsid w:val="00AB707D"/>
    <w:rsid w:val="00AB70D4"/>
    <w:rsid w:val="00AB70F2"/>
    <w:rsid w:val="00AC29A5"/>
    <w:rsid w:val="00AC2DA1"/>
    <w:rsid w:val="00AC306A"/>
    <w:rsid w:val="00AC31DE"/>
    <w:rsid w:val="00AC3438"/>
    <w:rsid w:val="00AC34FE"/>
    <w:rsid w:val="00AC3CDE"/>
    <w:rsid w:val="00AC40C8"/>
    <w:rsid w:val="00AC44D3"/>
    <w:rsid w:val="00AC4DBF"/>
    <w:rsid w:val="00AC524F"/>
    <w:rsid w:val="00AC57A0"/>
    <w:rsid w:val="00AC624E"/>
    <w:rsid w:val="00AC668F"/>
    <w:rsid w:val="00AC6990"/>
    <w:rsid w:val="00AC6F66"/>
    <w:rsid w:val="00AC7F18"/>
    <w:rsid w:val="00AD0376"/>
    <w:rsid w:val="00AD0E8A"/>
    <w:rsid w:val="00AD0ED6"/>
    <w:rsid w:val="00AD1EDB"/>
    <w:rsid w:val="00AD29EF"/>
    <w:rsid w:val="00AD2B2D"/>
    <w:rsid w:val="00AD49FD"/>
    <w:rsid w:val="00AD4EF0"/>
    <w:rsid w:val="00AD5974"/>
    <w:rsid w:val="00AD6F53"/>
    <w:rsid w:val="00AD740B"/>
    <w:rsid w:val="00AD7AF6"/>
    <w:rsid w:val="00AD7AF9"/>
    <w:rsid w:val="00AE0AB0"/>
    <w:rsid w:val="00AE1798"/>
    <w:rsid w:val="00AE22BB"/>
    <w:rsid w:val="00AE3FC0"/>
    <w:rsid w:val="00AE40BC"/>
    <w:rsid w:val="00AE42B6"/>
    <w:rsid w:val="00AE590C"/>
    <w:rsid w:val="00AE5920"/>
    <w:rsid w:val="00AE66F9"/>
    <w:rsid w:val="00AE6A0A"/>
    <w:rsid w:val="00AE742A"/>
    <w:rsid w:val="00AF033A"/>
    <w:rsid w:val="00AF1673"/>
    <w:rsid w:val="00AF1F1F"/>
    <w:rsid w:val="00AF29D0"/>
    <w:rsid w:val="00AF3CFC"/>
    <w:rsid w:val="00AF501F"/>
    <w:rsid w:val="00AF5271"/>
    <w:rsid w:val="00AF5715"/>
    <w:rsid w:val="00AF7C54"/>
    <w:rsid w:val="00AF7CA0"/>
    <w:rsid w:val="00B004FC"/>
    <w:rsid w:val="00B00527"/>
    <w:rsid w:val="00B007EB"/>
    <w:rsid w:val="00B0099A"/>
    <w:rsid w:val="00B05B80"/>
    <w:rsid w:val="00B05FBD"/>
    <w:rsid w:val="00B0649F"/>
    <w:rsid w:val="00B079C7"/>
    <w:rsid w:val="00B126AF"/>
    <w:rsid w:val="00B13BEB"/>
    <w:rsid w:val="00B14473"/>
    <w:rsid w:val="00B14B35"/>
    <w:rsid w:val="00B2084D"/>
    <w:rsid w:val="00B2184A"/>
    <w:rsid w:val="00B218DE"/>
    <w:rsid w:val="00B21E7F"/>
    <w:rsid w:val="00B21FE0"/>
    <w:rsid w:val="00B22262"/>
    <w:rsid w:val="00B22908"/>
    <w:rsid w:val="00B23088"/>
    <w:rsid w:val="00B2361D"/>
    <w:rsid w:val="00B236FB"/>
    <w:rsid w:val="00B24984"/>
    <w:rsid w:val="00B25962"/>
    <w:rsid w:val="00B25C58"/>
    <w:rsid w:val="00B25F9A"/>
    <w:rsid w:val="00B26174"/>
    <w:rsid w:val="00B26C14"/>
    <w:rsid w:val="00B26E6A"/>
    <w:rsid w:val="00B30C82"/>
    <w:rsid w:val="00B30FFB"/>
    <w:rsid w:val="00B31896"/>
    <w:rsid w:val="00B3266F"/>
    <w:rsid w:val="00B33313"/>
    <w:rsid w:val="00B3492F"/>
    <w:rsid w:val="00B34D34"/>
    <w:rsid w:val="00B34DFA"/>
    <w:rsid w:val="00B362FA"/>
    <w:rsid w:val="00B36418"/>
    <w:rsid w:val="00B366F3"/>
    <w:rsid w:val="00B37440"/>
    <w:rsid w:val="00B401A7"/>
    <w:rsid w:val="00B40DCC"/>
    <w:rsid w:val="00B414A8"/>
    <w:rsid w:val="00B41A8F"/>
    <w:rsid w:val="00B41C99"/>
    <w:rsid w:val="00B43245"/>
    <w:rsid w:val="00B437F9"/>
    <w:rsid w:val="00B438ED"/>
    <w:rsid w:val="00B43EBE"/>
    <w:rsid w:val="00B4400D"/>
    <w:rsid w:val="00B4453E"/>
    <w:rsid w:val="00B448E7"/>
    <w:rsid w:val="00B44F01"/>
    <w:rsid w:val="00B45163"/>
    <w:rsid w:val="00B46299"/>
    <w:rsid w:val="00B501C5"/>
    <w:rsid w:val="00B5114E"/>
    <w:rsid w:val="00B51FFF"/>
    <w:rsid w:val="00B54209"/>
    <w:rsid w:val="00B5452B"/>
    <w:rsid w:val="00B55D2B"/>
    <w:rsid w:val="00B55E22"/>
    <w:rsid w:val="00B567AD"/>
    <w:rsid w:val="00B56B4B"/>
    <w:rsid w:val="00B5725A"/>
    <w:rsid w:val="00B62272"/>
    <w:rsid w:val="00B62E79"/>
    <w:rsid w:val="00B639BC"/>
    <w:rsid w:val="00B645EB"/>
    <w:rsid w:val="00B657F9"/>
    <w:rsid w:val="00B66196"/>
    <w:rsid w:val="00B663FE"/>
    <w:rsid w:val="00B66E19"/>
    <w:rsid w:val="00B67E35"/>
    <w:rsid w:val="00B71777"/>
    <w:rsid w:val="00B719C0"/>
    <w:rsid w:val="00B725D7"/>
    <w:rsid w:val="00B727AE"/>
    <w:rsid w:val="00B752F7"/>
    <w:rsid w:val="00B75C4E"/>
    <w:rsid w:val="00B802B1"/>
    <w:rsid w:val="00B80A16"/>
    <w:rsid w:val="00B8235A"/>
    <w:rsid w:val="00B82983"/>
    <w:rsid w:val="00B82E1D"/>
    <w:rsid w:val="00B8315E"/>
    <w:rsid w:val="00B831CA"/>
    <w:rsid w:val="00B8656B"/>
    <w:rsid w:val="00B8686B"/>
    <w:rsid w:val="00B86B12"/>
    <w:rsid w:val="00B8721B"/>
    <w:rsid w:val="00B90BEE"/>
    <w:rsid w:val="00B90F51"/>
    <w:rsid w:val="00B90FA0"/>
    <w:rsid w:val="00B91ED0"/>
    <w:rsid w:val="00B94014"/>
    <w:rsid w:val="00B943D1"/>
    <w:rsid w:val="00B9491B"/>
    <w:rsid w:val="00B9492C"/>
    <w:rsid w:val="00B95068"/>
    <w:rsid w:val="00B96228"/>
    <w:rsid w:val="00BA06A6"/>
    <w:rsid w:val="00BA0ECC"/>
    <w:rsid w:val="00BA287A"/>
    <w:rsid w:val="00BA352A"/>
    <w:rsid w:val="00BA3825"/>
    <w:rsid w:val="00BA47FA"/>
    <w:rsid w:val="00BA576B"/>
    <w:rsid w:val="00BA5FE3"/>
    <w:rsid w:val="00BA6325"/>
    <w:rsid w:val="00BA67C5"/>
    <w:rsid w:val="00BA6A51"/>
    <w:rsid w:val="00BB050E"/>
    <w:rsid w:val="00BB05A6"/>
    <w:rsid w:val="00BB0EEF"/>
    <w:rsid w:val="00BB100D"/>
    <w:rsid w:val="00BB1742"/>
    <w:rsid w:val="00BB1D69"/>
    <w:rsid w:val="00BB2483"/>
    <w:rsid w:val="00BB2A2C"/>
    <w:rsid w:val="00BB40F8"/>
    <w:rsid w:val="00BB4A9E"/>
    <w:rsid w:val="00BB51BA"/>
    <w:rsid w:val="00BB6137"/>
    <w:rsid w:val="00BB68EB"/>
    <w:rsid w:val="00BB70FA"/>
    <w:rsid w:val="00BB711B"/>
    <w:rsid w:val="00BC0B4B"/>
    <w:rsid w:val="00BC1676"/>
    <w:rsid w:val="00BC1BCC"/>
    <w:rsid w:val="00BC39A4"/>
    <w:rsid w:val="00BC47AE"/>
    <w:rsid w:val="00BC47B1"/>
    <w:rsid w:val="00BC4993"/>
    <w:rsid w:val="00BC5721"/>
    <w:rsid w:val="00BC5E33"/>
    <w:rsid w:val="00BC6159"/>
    <w:rsid w:val="00BC6BD5"/>
    <w:rsid w:val="00BC7E6E"/>
    <w:rsid w:val="00BD01F3"/>
    <w:rsid w:val="00BD0C91"/>
    <w:rsid w:val="00BD18FA"/>
    <w:rsid w:val="00BD2FD6"/>
    <w:rsid w:val="00BD3405"/>
    <w:rsid w:val="00BD4096"/>
    <w:rsid w:val="00BD459C"/>
    <w:rsid w:val="00BD4806"/>
    <w:rsid w:val="00BD4B62"/>
    <w:rsid w:val="00BD537E"/>
    <w:rsid w:val="00BD5FFF"/>
    <w:rsid w:val="00BD7981"/>
    <w:rsid w:val="00BE012C"/>
    <w:rsid w:val="00BE0A81"/>
    <w:rsid w:val="00BE114F"/>
    <w:rsid w:val="00BE1C9B"/>
    <w:rsid w:val="00BE1FEB"/>
    <w:rsid w:val="00BE39AA"/>
    <w:rsid w:val="00BE3D58"/>
    <w:rsid w:val="00BE41BA"/>
    <w:rsid w:val="00BE4C50"/>
    <w:rsid w:val="00BE4EF4"/>
    <w:rsid w:val="00BE663C"/>
    <w:rsid w:val="00BE7FA8"/>
    <w:rsid w:val="00BF0D0F"/>
    <w:rsid w:val="00BF12A8"/>
    <w:rsid w:val="00BF2389"/>
    <w:rsid w:val="00BF271A"/>
    <w:rsid w:val="00BF28EF"/>
    <w:rsid w:val="00BF2D40"/>
    <w:rsid w:val="00BF3E29"/>
    <w:rsid w:val="00BF43A4"/>
    <w:rsid w:val="00BF4E0D"/>
    <w:rsid w:val="00BF5506"/>
    <w:rsid w:val="00BF7DC5"/>
    <w:rsid w:val="00C00833"/>
    <w:rsid w:val="00C00EB4"/>
    <w:rsid w:val="00C01A5B"/>
    <w:rsid w:val="00C02B09"/>
    <w:rsid w:val="00C0349A"/>
    <w:rsid w:val="00C04139"/>
    <w:rsid w:val="00C04BB7"/>
    <w:rsid w:val="00C04CA8"/>
    <w:rsid w:val="00C04E05"/>
    <w:rsid w:val="00C064CC"/>
    <w:rsid w:val="00C0674B"/>
    <w:rsid w:val="00C103B1"/>
    <w:rsid w:val="00C105E9"/>
    <w:rsid w:val="00C10C39"/>
    <w:rsid w:val="00C12053"/>
    <w:rsid w:val="00C1225A"/>
    <w:rsid w:val="00C123B8"/>
    <w:rsid w:val="00C128F7"/>
    <w:rsid w:val="00C131B7"/>
    <w:rsid w:val="00C14DF7"/>
    <w:rsid w:val="00C15238"/>
    <w:rsid w:val="00C15327"/>
    <w:rsid w:val="00C15FEA"/>
    <w:rsid w:val="00C165D1"/>
    <w:rsid w:val="00C16A36"/>
    <w:rsid w:val="00C16B71"/>
    <w:rsid w:val="00C16F0C"/>
    <w:rsid w:val="00C17CC6"/>
    <w:rsid w:val="00C2006D"/>
    <w:rsid w:val="00C20189"/>
    <w:rsid w:val="00C20A79"/>
    <w:rsid w:val="00C20B0E"/>
    <w:rsid w:val="00C22250"/>
    <w:rsid w:val="00C2291A"/>
    <w:rsid w:val="00C22B3A"/>
    <w:rsid w:val="00C22E6F"/>
    <w:rsid w:val="00C23530"/>
    <w:rsid w:val="00C2366A"/>
    <w:rsid w:val="00C23759"/>
    <w:rsid w:val="00C23DC2"/>
    <w:rsid w:val="00C263CF"/>
    <w:rsid w:val="00C26AD4"/>
    <w:rsid w:val="00C26BE4"/>
    <w:rsid w:val="00C27CD7"/>
    <w:rsid w:val="00C27DD3"/>
    <w:rsid w:val="00C31B6B"/>
    <w:rsid w:val="00C337FA"/>
    <w:rsid w:val="00C33BB5"/>
    <w:rsid w:val="00C3555E"/>
    <w:rsid w:val="00C35C88"/>
    <w:rsid w:val="00C36455"/>
    <w:rsid w:val="00C369D4"/>
    <w:rsid w:val="00C36F61"/>
    <w:rsid w:val="00C3732E"/>
    <w:rsid w:val="00C3752B"/>
    <w:rsid w:val="00C379FF"/>
    <w:rsid w:val="00C37E62"/>
    <w:rsid w:val="00C404E2"/>
    <w:rsid w:val="00C415D6"/>
    <w:rsid w:val="00C4165D"/>
    <w:rsid w:val="00C42659"/>
    <w:rsid w:val="00C42949"/>
    <w:rsid w:val="00C4417D"/>
    <w:rsid w:val="00C4479F"/>
    <w:rsid w:val="00C447B5"/>
    <w:rsid w:val="00C44F44"/>
    <w:rsid w:val="00C463BD"/>
    <w:rsid w:val="00C476F8"/>
    <w:rsid w:val="00C47A12"/>
    <w:rsid w:val="00C47D88"/>
    <w:rsid w:val="00C47E57"/>
    <w:rsid w:val="00C5012E"/>
    <w:rsid w:val="00C502A3"/>
    <w:rsid w:val="00C521AE"/>
    <w:rsid w:val="00C52379"/>
    <w:rsid w:val="00C5238A"/>
    <w:rsid w:val="00C53EDA"/>
    <w:rsid w:val="00C54492"/>
    <w:rsid w:val="00C54657"/>
    <w:rsid w:val="00C54AC9"/>
    <w:rsid w:val="00C54FA6"/>
    <w:rsid w:val="00C55A08"/>
    <w:rsid w:val="00C57F17"/>
    <w:rsid w:val="00C60294"/>
    <w:rsid w:val="00C60DAA"/>
    <w:rsid w:val="00C6100D"/>
    <w:rsid w:val="00C61143"/>
    <w:rsid w:val="00C61C6D"/>
    <w:rsid w:val="00C62220"/>
    <w:rsid w:val="00C627AE"/>
    <w:rsid w:val="00C63850"/>
    <w:rsid w:val="00C63F8A"/>
    <w:rsid w:val="00C64877"/>
    <w:rsid w:val="00C650C5"/>
    <w:rsid w:val="00C653D9"/>
    <w:rsid w:val="00C6543E"/>
    <w:rsid w:val="00C65F91"/>
    <w:rsid w:val="00C66900"/>
    <w:rsid w:val="00C66D5E"/>
    <w:rsid w:val="00C678B2"/>
    <w:rsid w:val="00C700C3"/>
    <w:rsid w:val="00C70AFC"/>
    <w:rsid w:val="00C70BBC"/>
    <w:rsid w:val="00C70E51"/>
    <w:rsid w:val="00C72132"/>
    <w:rsid w:val="00C7229F"/>
    <w:rsid w:val="00C72FE5"/>
    <w:rsid w:val="00C73256"/>
    <w:rsid w:val="00C75823"/>
    <w:rsid w:val="00C75A0A"/>
    <w:rsid w:val="00C769B4"/>
    <w:rsid w:val="00C76D16"/>
    <w:rsid w:val="00C7F52B"/>
    <w:rsid w:val="00C805FC"/>
    <w:rsid w:val="00C80949"/>
    <w:rsid w:val="00C80CFD"/>
    <w:rsid w:val="00C82125"/>
    <w:rsid w:val="00C833D9"/>
    <w:rsid w:val="00C83810"/>
    <w:rsid w:val="00C84830"/>
    <w:rsid w:val="00C84FF9"/>
    <w:rsid w:val="00C85A4E"/>
    <w:rsid w:val="00C861FD"/>
    <w:rsid w:val="00C86926"/>
    <w:rsid w:val="00C86E84"/>
    <w:rsid w:val="00C86EB5"/>
    <w:rsid w:val="00C87AC4"/>
    <w:rsid w:val="00C87DC7"/>
    <w:rsid w:val="00C90170"/>
    <w:rsid w:val="00C91068"/>
    <w:rsid w:val="00C91A82"/>
    <w:rsid w:val="00C91B1C"/>
    <w:rsid w:val="00C91DC3"/>
    <w:rsid w:val="00C92408"/>
    <w:rsid w:val="00C92D4F"/>
    <w:rsid w:val="00C92E1D"/>
    <w:rsid w:val="00C94E49"/>
    <w:rsid w:val="00C956C5"/>
    <w:rsid w:val="00C957D3"/>
    <w:rsid w:val="00C9591F"/>
    <w:rsid w:val="00C95D9E"/>
    <w:rsid w:val="00C966EF"/>
    <w:rsid w:val="00CA04A4"/>
    <w:rsid w:val="00CA0761"/>
    <w:rsid w:val="00CA091C"/>
    <w:rsid w:val="00CA1834"/>
    <w:rsid w:val="00CA227D"/>
    <w:rsid w:val="00CA38F0"/>
    <w:rsid w:val="00CA4CAF"/>
    <w:rsid w:val="00CA506A"/>
    <w:rsid w:val="00CA51CF"/>
    <w:rsid w:val="00CA64D8"/>
    <w:rsid w:val="00CA6CD8"/>
    <w:rsid w:val="00CB0815"/>
    <w:rsid w:val="00CB12CC"/>
    <w:rsid w:val="00CB1C61"/>
    <w:rsid w:val="00CB1C64"/>
    <w:rsid w:val="00CB2DF2"/>
    <w:rsid w:val="00CB3076"/>
    <w:rsid w:val="00CB6F4D"/>
    <w:rsid w:val="00CB7407"/>
    <w:rsid w:val="00CC074C"/>
    <w:rsid w:val="00CC07F7"/>
    <w:rsid w:val="00CC0B65"/>
    <w:rsid w:val="00CC1016"/>
    <w:rsid w:val="00CC349A"/>
    <w:rsid w:val="00CC4DF7"/>
    <w:rsid w:val="00CC6610"/>
    <w:rsid w:val="00CC6C4B"/>
    <w:rsid w:val="00CC7E58"/>
    <w:rsid w:val="00CD018E"/>
    <w:rsid w:val="00CD06B5"/>
    <w:rsid w:val="00CD186F"/>
    <w:rsid w:val="00CD19E5"/>
    <w:rsid w:val="00CD4D40"/>
    <w:rsid w:val="00CD526C"/>
    <w:rsid w:val="00CD612D"/>
    <w:rsid w:val="00CD6407"/>
    <w:rsid w:val="00CD70FF"/>
    <w:rsid w:val="00CE08D5"/>
    <w:rsid w:val="00CE0CCE"/>
    <w:rsid w:val="00CE2844"/>
    <w:rsid w:val="00CE2C5E"/>
    <w:rsid w:val="00CE2F6B"/>
    <w:rsid w:val="00CE33AF"/>
    <w:rsid w:val="00CE369B"/>
    <w:rsid w:val="00CE5B6E"/>
    <w:rsid w:val="00CE5BCC"/>
    <w:rsid w:val="00CE60BA"/>
    <w:rsid w:val="00CE6B8A"/>
    <w:rsid w:val="00CF12C3"/>
    <w:rsid w:val="00CF2795"/>
    <w:rsid w:val="00CF3A8D"/>
    <w:rsid w:val="00CF5E1F"/>
    <w:rsid w:val="00CF61E1"/>
    <w:rsid w:val="00CF642C"/>
    <w:rsid w:val="00CF6C99"/>
    <w:rsid w:val="00D00566"/>
    <w:rsid w:val="00D02E6D"/>
    <w:rsid w:val="00D03FF6"/>
    <w:rsid w:val="00D0421C"/>
    <w:rsid w:val="00D04E3B"/>
    <w:rsid w:val="00D05789"/>
    <w:rsid w:val="00D06039"/>
    <w:rsid w:val="00D060ED"/>
    <w:rsid w:val="00D06D22"/>
    <w:rsid w:val="00D06ED0"/>
    <w:rsid w:val="00D109B4"/>
    <w:rsid w:val="00D152E1"/>
    <w:rsid w:val="00D15AB2"/>
    <w:rsid w:val="00D16102"/>
    <w:rsid w:val="00D1695C"/>
    <w:rsid w:val="00D169B4"/>
    <w:rsid w:val="00D16CB7"/>
    <w:rsid w:val="00D17319"/>
    <w:rsid w:val="00D17620"/>
    <w:rsid w:val="00D1784B"/>
    <w:rsid w:val="00D17BD3"/>
    <w:rsid w:val="00D200AD"/>
    <w:rsid w:val="00D202F6"/>
    <w:rsid w:val="00D20E12"/>
    <w:rsid w:val="00D213F7"/>
    <w:rsid w:val="00D222EC"/>
    <w:rsid w:val="00D23FC0"/>
    <w:rsid w:val="00D2404E"/>
    <w:rsid w:val="00D24191"/>
    <w:rsid w:val="00D2420B"/>
    <w:rsid w:val="00D24817"/>
    <w:rsid w:val="00D24EDE"/>
    <w:rsid w:val="00D256EB"/>
    <w:rsid w:val="00D25A18"/>
    <w:rsid w:val="00D25C88"/>
    <w:rsid w:val="00D25F36"/>
    <w:rsid w:val="00D26C47"/>
    <w:rsid w:val="00D26EA2"/>
    <w:rsid w:val="00D31721"/>
    <w:rsid w:val="00D33398"/>
    <w:rsid w:val="00D3351E"/>
    <w:rsid w:val="00D33D11"/>
    <w:rsid w:val="00D33F0E"/>
    <w:rsid w:val="00D342E0"/>
    <w:rsid w:val="00D349AF"/>
    <w:rsid w:val="00D35A11"/>
    <w:rsid w:val="00D35A54"/>
    <w:rsid w:val="00D36631"/>
    <w:rsid w:val="00D36A52"/>
    <w:rsid w:val="00D36C0D"/>
    <w:rsid w:val="00D40E42"/>
    <w:rsid w:val="00D4184B"/>
    <w:rsid w:val="00D4190E"/>
    <w:rsid w:val="00D42460"/>
    <w:rsid w:val="00D426AA"/>
    <w:rsid w:val="00D458FB"/>
    <w:rsid w:val="00D45C7F"/>
    <w:rsid w:val="00D460EF"/>
    <w:rsid w:val="00D462B9"/>
    <w:rsid w:val="00D46F1E"/>
    <w:rsid w:val="00D5000A"/>
    <w:rsid w:val="00D50043"/>
    <w:rsid w:val="00D5166C"/>
    <w:rsid w:val="00D51CB2"/>
    <w:rsid w:val="00D529A9"/>
    <w:rsid w:val="00D56604"/>
    <w:rsid w:val="00D5763C"/>
    <w:rsid w:val="00D57D8D"/>
    <w:rsid w:val="00D57F28"/>
    <w:rsid w:val="00D6065D"/>
    <w:rsid w:val="00D6076F"/>
    <w:rsid w:val="00D60A7E"/>
    <w:rsid w:val="00D62001"/>
    <w:rsid w:val="00D63706"/>
    <w:rsid w:val="00D63E7D"/>
    <w:rsid w:val="00D64FCD"/>
    <w:rsid w:val="00D669C9"/>
    <w:rsid w:val="00D67A8F"/>
    <w:rsid w:val="00D70562"/>
    <w:rsid w:val="00D70E5F"/>
    <w:rsid w:val="00D711F5"/>
    <w:rsid w:val="00D7287B"/>
    <w:rsid w:val="00D72D24"/>
    <w:rsid w:val="00D73A76"/>
    <w:rsid w:val="00D74070"/>
    <w:rsid w:val="00D74B72"/>
    <w:rsid w:val="00D76096"/>
    <w:rsid w:val="00D76BAC"/>
    <w:rsid w:val="00D77312"/>
    <w:rsid w:val="00D77869"/>
    <w:rsid w:val="00D77C16"/>
    <w:rsid w:val="00D84241"/>
    <w:rsid w:val="00D84A0E"/>
    <w:rsid w:val="00D84F9F"/>
    <w:rsid w:val="00D85FEE"/>
    <w:rsid w:val="00D864A7"/>
    <w:rsid w:val="00D8714E"/>
    <w:rsid w:val="00D8740F"/>
    <w:rsid w:val="00D87429"/>
    <w:rsid w:val="00D87439"/>
    <w:rsid w:val="00D90146"/>
    <w:rsid w:val="00D90A23"/>
    <w:rsid w:val="00D90A50"/>
    <w:rsid w:val="00D90D4E"/>
    <w:rsid w:val="00D91AF2"/>
    <w:rsid w:val="00D91C18"/>
    <w:rsid w:val="00D9228A"/>
    <w:rsid w:val="00D93564"/>
    <w:rsid w:val="00D9489F"/>
    <w:rsid w:val="00D9623A"/>
    <w:rsid w:val="00D9639B"/>
    <w:rsid w:val="00D96589"/>
    <w:rsid w:val="00D9693F"/>
    <w:rsid w:val="00D96EAC"/>
    <w:rsid w:val="00D97D63"/>
    <w:rsid w:val="00DA060E"/>
    <w:rsid w:val="00DA0E88"/>
    <w:rsid w:val="00DA0EB7"/>
    <w:rsid w:val="00DA338A"/>
    <w:rsid w:val="00DA35F6"/>
    <w:rsid w:val="00DA4029"/>
    <w:rsid w:val="00DA4302"/>
    <w:rsid w:val="00DA479B"/>
    <w:rsid w:val="00DA50EC"/>
    <w:rsid w:val="00DA51BF"/>
    <w:rsid w:val="00DA5567"/>
    <w:rsid w:val="00DA74F8"/>
    <w:rsid w:val="00DB0E4C"/>
    <w:rsid w:val="00DB0FA8"/>
    <w:rsid w:val="00DB2F7C"/>
    <w:rsid w:val="00DB398F"/>
    <w:rsid w:val="00DB3F42"/>
    <w:rsid w:val="00DB428E"/>
    <w:rsid w:val="00DB43F3"/>
    <w:rsid w:val="00DB4E6E"/>
    <w:rsid w:val="00DB5416"/>
    <w:rsid w:val="00DB5617"/>
    <w:rsid w:val="00DB69A1"/>
    <w:rsid w:val="00DC07C9"/>
    <w:rsid w:val="00DC0D05"/>
    <w:rsid w:val="00DC13B5"/>
    <w:rsid w:val="00DC1573"/>
    <w:rsid w:val="00DC1729"/>
    <w:rsid w:val="00DC18F4"/>
    <w:rsid w:val="00DC2255"/>
    <w:rsid w:val="00DC2B89"/>
    <w:rsid w:val="00DC397E"/>
    <w:rsid w:val="00DC431C"/>
    <w:rsid w:val="00DC4AF5"/>
    <w:rsid w:val="00DC5B2A"/>
    <w:rsid w:val="00DD0E87"/>
    <w:rsid w:val="00DD25F4"/>
    <w:rsid w:val="00DD2C79"/>
    <w:rsid w:val="00DD3A9D"/>
    <w:rsid w:val="00DD41EA"/>
    <w:rsid w:val="00DD46BB"/>
    <w:rsid w:val="00DD4A85"/>
    <w:rsid w:val="00DD53E5"/>
    <w:rsid w:val="00DD5C9F"/>
    <w:rsid w:val="00DD5F8A"/>
    <w:rsid w:val="00DD7420"/>
    <w:rsid w:val="00DD770A"/>
    <w:rsid w:val="00DE124D"/>
    <w:rsid w:val="00DE127D"/>
    <w:rsid w:val="00DE3448"/>
    <w:rsid w:val="00DE4AB4"/>
    <w:rsid w:val="00DE5161"/>
    <w:rsid w:val="00DE590F"/>
    <w:rsid w:val="00DE5BE1"/>
    <w:rsid w:val="00DE5D8C"/>
    <w:rsid w:val="00DE621C"/>
    <w:rsid w:val="00DE6E56"/>
    <w:rsid w:val="00DE6FB0"/>
    <w:rsid w:val="00DE76E9"/>
    <w:rsid w:val="00DE780C"/>
    <w:rsid w:val="00DF0473"/>
    <w:rsid w:val="00DF1E8F"/>
    <w:rsid w:val="00DF2020"/>
    <w:rsid w:val="00DF2DC8"/>
    <w:rsid w:val="00DF38C5"/>
    <w:rsid w:val="00DF3926"/>
    <w:rsid w:val="00DF50EB"/>
    <w:rsid w:val="00DF5F3F"/>
    <w:rsid w:val="00DF647F"/>
    <w:rsid w:val="00DF689F"/>
    <w:rsid w:val="00DF71EA"/>
    <w:rsid w:val="00DF7866"/>
    <w:rsid w:val="00E000CA"/>
    <w:rsid w:val="00E011EC"/>
    <w:rsid w:val="00E0269B"/>
    <w:rsid w:val="00E0284C"/>
    <w:rsid w:val="00E02AE1"/>
    <w:rsid w:val="00E02B8F"/>
    <w:rsid w:val="00E02ED7"/>
    <w:rsid w:val="00E03B88"/>
    <w:rsid w:val="00E03CD3"/>
    <w:rsid w:val="00E03ECC"/>
    <w:rsid w:val="00E05903"/>
    <w:rsid w:val="00E0655C"/>
    <w:rsid w:val="00E0718B"/>
    <w:rsid w:val="00E1004D"/>
    <w:rsid w:val="00E12B03"/>
    <w:rsid w:val="00E13896"/>
    <w:rsid w:val="00E15D7F"/>
    <w:rsid w:val="00E163BF"/>
    <w:rsid w:val="00E16CEF"/>
    <w:rsid w:val="00E2036D"/>
    <w:rsid w:val="00E20497"/>
    <w:rsid w:val="00E22292"/>
    <w:rsid w:val="00E22B80"/>
    <w:rsid w:val="00E24142"/>
    <w:rsid w:val="00E24F83"/>
    <w:rsid w:val="00E251DE"/>
    <w:rsid w:val="00E31E49"/>
    <w:rsid w:val="00E34628"/>
    <w:rsid w:val="00E34B17"/>
    <w:rsid w:val="00E354B8"/>
    <w:rsid w:val="00E36ED3"/>
    <w:rsid w:val="00E37758"/>
    <w:rsid w:val="00E3797C"/>
    <w:rsid w:val="00E4399D"/>
    <w:rsid w:val="00E45373"/>
    <w:rsid w:val="00E45D2D"/>
    <w:rsid w:val="00E45D3B"/>
    <w:rsid w:val="00E46433"/>
    <w:rsid w:val="00E47712"/>
    <w:rsid w:val="00E47976"/>
    <w:rsid w:val="00E47F5D"/>
    <w:rsid w:val="00E50570"/>
    <w:rsid w:val="00E50618"/>
    <w:rsid w:val="00E509A6"/>
    <w:rsid w:val="00E510A7"/>
    <w:rsid w:val="00E51202"/>
    <w:rsid w:val="00E51540"/>
    <w:rsid w:val="00E518BD"/>
    <w:rsid w:val="00E52CEF"/>
    <w:rsid w:val="00E52E18"/>
    <w:rsid w:val="00E538B3"/>
    <w:rsid w:val="00E553DE"/>
    <w:rsid w:val="00E55B0D"/>
    <w:rsid w:val="00E55DA5"/>
    <w:rsid w:val="00E56FDB"/>
    <w:rsid w:val="00E57EEE"/>
    <w:rsid w:val="00E600E3"/>
    <w:rsid w:val="00E61359"/>
    <w:rsid w:val="00E63463"/>
    <w:rsid w:val="00E63885"/>
    <w:rsid w:val="00E64174"/>
    <w:rsid w:val="00E6427F"/>
    <w:rsid w:val="00E64449"/>
    <w:rsid w:val="00E65C26"/>
    <w:rsid w:val="00E7027B"/>
    <w:rsid w:val="00E73665"/>
    <w:rsid w:val="00E742DB"/>
    <w:rsid w:val="00E77B4F"/>
    <w:rsid w:val="00E8048B"/>
    <w:rsid w:val="00E80775"/>
    <w:rsid w:val="00E82593"/>
    <w:rsid w:val="00E82FA6"/>
    <w:rsid w:val="00E83994"/>
    <w:rsid w:val="00E83E6A"/>
    <w:rsid w:val="00E8418D"/>
    <w:rsid w:val="00E84226"/>
    <w:rsid w:val="00E84ED3"/>
    <w:rsid w:val="00E85817"/>
    <w:rsid w:val="00E859AA"/>
    <w:rsid w:val="00E86943"/>
    <w:rsid w:val="00E871E8"/>
    <w:rsid w:val="00E87CF4"/>
    <w:rsid w:val="00E90510"/>
    <w:rsid w:val="00E9211C"/>
    <w:rsid w:val="00E932E1"/>
    <w:rsid w:val="00E94401"/>
    <w:rsid w:val="00E957F9"/>
    <w:rsid w:val="00E95928"/>
    <w:rsid w:val="00E97663"/>
    <w:rsid w:val="00E97A7E"/>
    <w:rsid w:val="00E97D3B"/>
    <w:rsid w:val="00E97E0C"/>
    <w:rsid w:val="00E97E9D"/>
    <w:rsid w:val="00EA0D01"/>
    <w:rsid w:val="00EA163D"/>
    <w:rsid w:val="00EA1801"/>
    <w:rsid w:val="00EA218E"/>
    <w:rsid w:val="00EA32DD"/>
    <w:rsid w:val="00EA4116"/>
    <w:rsid w:val="00EA52D9"/>
    <w:rsid w:val="00EA60BF"/>
    <w:rsid w:val="00EA6574"/>
    <w:rsid w:val="00EA668A"/>
    <w:rsid w:val="00EA7213"/>
    <w:rsid w:val="00EA7407"/>
    <w:rsid w:val="00EA7DDC"/>
    <w:rsid w:val="00EB0296"/>
    <w:rsid w:val="00EB2E0B"/>
    <w:rsid w:val="00EB3327"/>
    <w:rsid w:val="00EB37AA"/>
    <w:rsid w:val="00EB489F"/>
    <w:rsid w:val="00EB5E70"/>
    <w:rsid w:val="00EB7AA9"/>
    <w:rsid w:val="00EB7C36"/>
    <w:rsid w:val="00EC0804"/>
    <w:rsid w:val="00EC1631"/>
    <w:rsid w:val="00EC1D22"/>
    <w:rsid w:val="00EC28F5"/>
    <w:rsid w:val="00EC2A7B"/>
    <w:rsid w:val="00EC3316"/>
    <w:rsid w:val="00EC4BC8"/>
    <w:rsid w:val="00EC5C65"/>
    <w:rsid w:val="00EC668B"/>
    <w:rsid w:val="00EC7DF7"/>
    <w:rsid w:val="00EC7F20"/>
    <w:rsid w:val="00ED076B"/>
    <w:rsid w:val="00ED0797"/>
    <w:rsid w:val="00ED3967"/>
    <w:rsid w:val="00ED3F28"/>
    <w:rsid w:val="00ED422B"/>
    <w:rsid w:val="00ED5565"/>
    <w:rsid w:val="00ED5588"/>
    <w:rsid w:val="00ED6A60"/>
    <w:rsid w:val="00ED6BB4"/>
    <w:rsid w:val="00EE0C8C"/>
    <w:rsid w:val="00EE1000"/>
    <w:rsid w:val="00EE1261"/>
    <w:rsid w:val="00EE1C87"/>
    <w:rsid w:val="00EE2623"/>
    <w:rsid w:val="00EE439D"/>
    <w:rsid w:val="00EE4D9C"/>
    <w:rsid w:val="00EE57D7"/>
    <w:rsid w:val="00EE5AF1"/>
    <w:rsid w:val="00EE5B38"/>
    <w:rsid w:val="00EE5EEE"/>
    <w:rsid w:val="00EE613A"/>
    <w:rsid w:val="00EE6378"/>
    <w:rsid w:val="00EE67CA"/>
    <w:rsid w:val="00EE6DF2"/>
    <w:rsid w:val="00EE76D2"/>
    <w:rsid w:val="00EE7A28"/>
    <w:rsid w:val="00EE7F67"/>
    <w:rsid w:val="00EF04C1"/>
    <w:rsid w:val="00EF0ACF"/>
    <w:rsid w:val="00EF0EE4"/>
    <w:rsid w:val="00EF229F"/>
    <w:rsid w:val="00EF2D55"/>
    <w:rsid w:val="00EF41B3"/>
    <w:rsid w:val="00EF5AAF"/>
    <w:rsid w:val="00EF61E6"/>
    <w:rsid w:val="00EF7528"/>
    <w:rsid w:val="00EF7682"/>
    <w:rsid w:val="00F012DD"/>
    <w:rsid w:val="00F01FC3"/>
    <w:rsid w:val="00F03DE5"/>
    <w:rsid w:val="00F07215"/>
    <w:rsid w:val="00F105C0"/>
    <w:rsid w:val="00F117BD"/>
    <w:rsid w:val="00F11F2D"/>
    <w:rsid w:val="00F1313C"/>
    <w:rsid w:val="00F138A8"/>
    <w:rsid w:val="00F13972"/>
    <w:rsid w:val="00F15770"/>
    <w:rsid w:val="00F166CF"/>
    <w:rsid w:val="00F1683C"/>
    <w:rsid w:val="00F16E5E"/>
    <w:rsid w:val="00F1727F"/>
    <w:rsid w:val="00F1753C"/>
    <w:rsid w:val="00F17B18"/>
    <w:rsid w:val="00F17FF7"/>
    <w:rsid w:val="00F22911"/>
    <w:rsid w:val="00F22AF9"/>
    <w:rsid w:val="00F22C8D"/>
    <w:rsid w:val="00F23C8C"/>
    <w:rsid w:val="00F25123"/>
    <w:rsid w:val="00F26783"/>
    <w:rsid w:val="00F27941"/>
    <w:rsid w:val="00F30DFC"/>
    <w:rsid w:val="00F32315"/>
    <w:rsid w:val="00F325C7"/>
    <w:rsid w:val="00F32F84"/>
    <w:rsid w:val="00F3334A"/>
    <w:rsid w:val="00F335B2"/>
    <w:rsid w:val="00F33672"/>
    <w:rsid w:val="00F3392D"/>
    <w:rsid w:val="00F33F3B"/>
    <w:rsid w:val="00F34DE5"/>
    <w:rsid w:val="00F350D5"/>
    <w:rsid w:val="00F359F9"/>
    <w:rsid w:val="00F36726"/>
    <w:rsid w:val="00F36C14"/>
    <w:rsid w:val="00F371FF"/>
    <w:rsid w:val="00F37901"/>
    <w:rsid w:val="00F4063A"/>
    <w:rsid w:val="00F42840"/>
    <w:rsid w:val="00F4431A"/>
    <w:rsid w:val="00F44B58"/>
    <w:rsid w:val="00F451D2"/>
    <w:rsid w:val="00F45A89"/>
    <w:rsid w:val="00F46807"/>
    <w:rsid w:val="00F500B8"/>
    <w:rsid w:val="00F505CD"/>
    <w:rsid w:val="00F5087B"/>
    <w:rsid w:val="00F50E53"/>
    <w:rsid w:val="00F516E1"/>
    <w:rsid w:val="00F51902"/>
    <w:rsid w:val="00F52D72"/>
    <w:rsid w:val="00F532DF"/>
    <w:rsid w:val="00F537DF"/>
    <w:rsid w:val="00F5411A"/>
    <w:rsid w:val="00F558CE"/>
    <w:rsid w:val="00F57D1B"/>
    <w:rsid w:val="00F62948"/>
    <w:rsid w:val="00F64D16"/>
    <w:rsid w:val="00F6509C"/>
    <w:rsid w:val="00F66181"/>
    <w:rsid w:val="00F66F1C"/>
    <w:rsid w:val="00F701E4"/>
    <w:rsid w:val="00F71DD3"/>
    <w:rsid w:val="00F734A7"/>
    <w:rsid w:val="00F748A3"/>
    <w:rsid w:val="00F75EB6"/>
    <w:rsid w:val="00F81078"/>
    <w:rsid w:val="00F816C4"/>
    <w:rsid w:val="00F82EA5"/>
    <w:rsid w:val="00F8416F"/>
    <w:rsid w:val="00F8496F"/>
    <w:rsid w:val="00F85B59"/>
    <w:rsid w:val="00F860D5"/>
    <w:rsid w:val="00F86995"/>
    <w:rsid w:val="00F86E76"/>
    <w:rsid w:val="00F87CBA"/>
    <w:rsid w:val="00F9001E"/>
    <w:rsid w:val="00F90320"/>
    <w:rsid w:val="00F912DF"/>
    <w:rsid w:val="00F91710"/>
    <w:rsid w:val="00F91748"/>
    <w:rsid w:val="00F92ABB"/>
    <w:rsid w:val="00F931BE"/>
    <w:rsid w:val="00F939F2"/>
    <w:rsid w:val="00F93C6D"/>
    <w:rsid w:val="00F941A4"/>
    <w:rsid w:val="00F954B2"/>
    <w:rsid w:val="00F96E68"/>
    <w:rsid w:val="00F975EE"/>
    <w:rsid w:val="00F9767D"/>
    <w:rsid w:val="00F978E5"/>
    <w:rsid w:val="00FA01A2"/>
    <w:rsid w:val="00FA0628"/>
    <w:rsid w:val="00FA1119"/>
    <w:rsid w:val="00FA2274"/>
    <w:rsid w:val="00FA2F6A"/>
    <w:rsid w:val="00FA3E10"/>
    <w:rsid w:val="00FA4979"/>
    <w:rsid w:val="00FA5517"/>
    <w:rsid w:val="00FA58EB"/>
    <w:rsid w:val="00FA6194"/>
    <w:rsid w:val="00FA6523"/>
    <w:rsid w:val="00FA75A0"/>
    <w:rsid w:val="00FA786C"/>
    <w:rsid w:val="00FA7FCE"/>
    <w:rsid w:val="00FB0323"/>
    <w:rsid w:val="00FB0570"/>
    <w:rsid w:val="00FB39CB"/>
    <w:rsid w:val="00FB4DAD"/>
    <w:rsid w:val="00FB5004"/>
    <w:rsid w:val="00FB5727"/>
    <w:rsid w:val="00FB62CC"/>
    <w:rsid w:val="00FB62F2"/>
    <w:rsid w:val="00FB6FAD"/>
    <w:rsid w:val="00FB7948"/>
    <w:rsid w:val="00FB7CA2"/>
    <w:rsid w:val="00FC2FE1"/>
    <w:rsid w:val="00FC3F39"/>
    <w:rsid w:val="00FC41F3"/>
    <w:rsid w:val="00FC4203"/>
    <w:rsid w:val="00FC513F"/>
    <w:rsid w:val="00FC533E"/>
    <w:rsid w:val="00FC76C1"/>
    <w:rsid w:val="00FC7A0C"/>
    <w:rsid w:val="00FD16FD"/>
    <w:rsid w:val="00FD1979"/>
    <w:rsid w:val="00FD1B6D"/>
    <w:rsid w:val="00FD3980"/>
    <w:rsid w:val="00FD46E1"/>
    <w:rsid w:val="00FD483A"/>
    <w:rsid w:val="00FD4A2D"/>
    <w:rsid w:val="00FD61A1"/>
    <w:rsid w:val="00FD6BBF"/>
    <w:rsid w:val="00FE4848"/>
    <w:rsid w:val="00FE4B60"/>
    <w:rsid w:val="00FE5FF6"/>
    <w:rsid w:val="00FE72FA"/>
    <w:rsid w:val="00FE77EC"/>
    <w:rsid w:val="00FE7CC1"/>
    <w:rsid w:val="00FF06D5"/>
    <w:rsid w:val="00FF078C"/>
    <w:rsid w:val="014D24CE"/>
    <w:rsid w:val="0161F32D"/>
    <w:rsid w:val="01AF32BD"/>
    <w:rsid w:val="01C45105"/>
    <w:rsid w:val="01CC647A"/>
    <w:rsid w:val="02222177"/>
    <w:rsid w:val="02B64BD5"/>
    <w:rsid w:val="02BED754"/>
    <w:rsid w:val="030C3F86"/>
    <w:rsid w:val="0362E8C1"/>
    <w:rsid w:val="042ADDEC"/>
    <w:rsid w:val="049C9C1D"/>
    <w:rsid w:val="049CCBF1"/>
    <w:rsid w:val="04B82263"/>
    <w:rsid w:val="04C5C186"/>
    <w:rsid w:val="04EA06DB"/>
    <w:rsid w:val="05AC97EF"/>
    <w:rsid w:val="05B02132"/>
    <w:rsid w:val="063FAEFD"/>
    <w:rsid w:val="068EE7DA"/>
    <w:rsid w:val="06A11345"/>
    <w:rsid w:val="06C1D067"/>
    <w:rsid w:val="0762FB06"/>
    <w:rsid w:val="07D8C010"/>
    <w:rsid w:val="0860BEE7"/>
    <w:rsid w:val="095AD458"/>
    <w:rsid w:val="09650082"/>
    <w:rsid w:val="09BBB41C"/>
    <w:rsid w:val="09BCA63F"/>
    <w:rsid w:val="09D7AD7C"/>
    <w:rsid w:val="0A424E66"/>
    <w:rsid w:val="0A5ED9B2"/>
    <w:rsid w:val="0A7D6200"/>
    <w:rsid w:val="0B43D5FD"/>
    <w:rsid w:val="0B59C912"/>
    <w:rsid w:val="0B733F15"/>
    <w:rsid w:val="0BD5E94D"/>
    <w:rsid w:val="0C2D8D23"/>
    <w:rsid w:val="0CC5C655"/>
    <w:rsid w:val="0CF239E9"/>
    <w:rsid w:val="0D4827B1"/>
    <w:rsid w:val="0D5597EE"/>
    <w:rsid w:val="0D6539B8"/>
    <w:rsid w:val="0E7EFDEB"/>
    <w:rsid w:val="0EA67DF4"/>
    <w:rsid w:val="0EB4FE84"/>
    <w:rsid w:val="0EC08E41"/>
    <w:rsid w:val="0FEBAF21"/>
    <w:rsid w:val="0FECF510"/>
    <w:rsid w:val="101F84A4"/>
    <w:rsid w:val="107BD09B"/>
    <w:rsid w:val="109FDCAB"/>
    <w:rsid w:val="10E27C31"/>
    <w:rsid w:val="10FF3CFC"/>
    <w:rsid w:val="1112A52F"/>
    <w:rsid w:val="1137E335"/>
    <w:rsid w:val="1143C5C6"/>
    <w:rsid w:val="1166A547"/>
    <w:rsid w:val="11911EBE"/>
    <w:rsid w:val="11B5CB96"/>
    <w:rsid w:val="12265043"/>
    <w:rsid w:val="1287E8A6"/>
    <w:rsid w:val="12B19027"/>
    <w:rsid w:val="12EF2EFF"/>
    <w:rsid w:val="1316DF3A"/>
    <w:rsid w:val="13620A96"/>
    <w:rsid w:val="138121C3"/>
    <w:rsid w:val="13E8F794"/>
    <w:rsid w:val="142F1F1D"/>
    <w:rsid w:val="1499F93C"/>
    <w:rsid w:val="14BA4DD1"/>
    <w:rsid w:val="14FEE8D9"/>
    <w:rsid w:val="152905A0"/>
    <w:rsid w:val="155AB079"/>
    <w:rsid w:val="15688FAD"/>
    <w:rsid w:val="156EA3B2"/>
    <w:rsid w:val="15932503"/>
    <w:rsid w:val="15B7109F"/>
    <w:rsid w:val="15DEF6E0"/>
    <w:rsid w:val="15E64E93"/>
    <w:rsid w:val="16A4E45E"/>
    <w:rsid w:val="16BBC880"/>
    <w:rsid w:val="1721F574"/>
    <w:rsid w:val="1740EA0D"/>
    <w:rsid w:val="17577608"/>
    <w:rsid w:val="1770722E"/>
    <w:rsid w:val="178F34B3"/>
    <w:rsid w:val="17D35CA8"/>
    <w:rsid w:val="1821C51C"/>
    <w:rsid w:val="183BD0E8"/>
    <w:rsid w:val="18672130"/>
    <w:rsid w:val="1884A20E"/>
    <w:rsid w:val="18BED21F"/>
    <w:rsid w:val="19A9B397"/>
    <w:rsid w:val="1A58AA8D"/>
    <w:rsid w:val="1ABCB2B0"/>
    <w:rsid w:val="1B2A9713"/>
    <w:rsid w:val="1B366933"/>
    <w:rsid w:val="1B554FC9"/>
    <w:rsid w:val="1BEAABCB"/>
    <w:rsid w:val="1BFD8E99"/>
    <w:rsid w:val="1C162703"/>
    <w:rsid w:val="1C27EB40"/>
    <w:rsid w:val="1C927411"/>
    <w:rsid w:val="1CB5F31D"/>
    <w:rsid w:val="1D004D7B"/>
    <w:rsid w:val="1D29A140"/>
    <w:rsid w:val="1D7AE14D"/>
    <w:rsid w:val="1D7E86B9"/>
    <w:rsid w:val="1DD71DFD"/>
    <w:rsid w:val="1DF75837"/>
    <w:rsid w:val="1DF8E5EC"/>
    <w:rsid w:val="1E2FF8E8"/>
    <w:rsid w:val="1E6D412F"/>
    <w:rsid w:val="1E8956CA"/>
    <w:rsid w:val="1F43F50F"/>
    <w:rsid w:val="1F564B86"/>
    <w:rsid w:val="1F8CA5A0"/>
    <w:rsid w:val="1FB74DDB"/>
    <w:rsid w:val="1FFE0B86"/>
    <w:rsid w:val="2005086A"/>
    <w:rsid w:val="201D2C1E"/>
    <w:rsid w:val="20268CD2"/>
    <w:rsid w:val="20522709"/>
    <w:rsid w:val="208ED84A"/>
    <w:rsid w:val="2092C8F6"/>
    <w:rsid w:val="209C856F"/>
    <w:rsid w:val="21324260"/>
    <w:rsid w:val="2153894A"/>
    <w:rsid w:val="215979D8"/>
    <w:rsid w:val="2167A50E"/>
    <w:rsid w:val="219BEBC0"/>
    <w:rsid w:val="21FEAD70"/>
    <w:rsid w:val="223F42A8"/>
    <w:rsid w:val="22763336"/>
    <w:rsid w:val="22790BF2"/>
    <w:rsid w:val="228726CA"/>
    <w:rsid w:val="22D7A336"/>
    <w:rsid w:val="22E32AE5"/>
    <w:rsid w:val="22FA0FF1"/>
    <w:rsid w:val="22FB73AA"/>
    <w:rsid w:val="2382941F"/>
    <w:rsid w:val="23D8F2A6"/>
    <w:rsid w:val="24433588"/>
    <w:rsid w:val="24CE9427"/>
    <w:rsid w:val="25228E37"/>
    <w:rsid w:val="25C25947"/>
    <w:rsid w:val="2628C61A"/>
    <w:rsid w:val="26685A79"/>
    <w:rsid w:val="269B5DC6"/>
    <w:rsid w:val="26BBF687"/>
    <w:rsid w:val="26F4AAA3"/>
    <w:rsid w:val="2712D2AC"/>
    <w:rsid w:val="27E3DB09"/>
    <w:rsid w:val="2827C4D9"/>
    <w:rsid w:val="28587B92"/>
    <w:rsid w:val="2872E618"/>
    <w:rsid w:val="2876FD83"/>
    <w:rsid w:val="28B6EB64"/>
    <w:rsid w:val="28BE1B4F"/>
    <w:rsid w:val="28DAE52A"/>
    <w:rsid w:val="28E8C8AD"/>
    <w:rsid w:val="28F67B41"/>
    <w:rsid w:val="294F12B7"/>
    <w:rsid w:val="295B671E"/>
    <w:rsid w:val="29A7D849"/>
    <w:rsid w:val="29E21FA3"/>
    <w:rsid w:val="29F1257D"/>
    <w:rsid w:val="29F94832"/>
    <w:rsid w:val="29FB247B"/>
    <w:rsid w:val="2A6073CF"/>
    <w:rsid w:val="2A99B2EA"/>
    <w:rsid w:val="2AC209A1"/>
    <w:rsid w:val="2B1F9CBE"/>
    <w:rsid w:val="2B2B1F39"/>
    <w:rsid w:val="2B2E7E88"/>
    <w:rsid w:val="2B4BBA0B"/>
    <w:rsid w:val="2C5D3088"/>
    <w:rsid w:val="2C6D55E4"/>
    <w:rsid w:val="2C94AE86"/>
    <w:rsid w:val="2CBDF0E9"/>
    <w:rsid w:val="2D0433A1"/>
    <w:rsid w:val="2D15F52B"/>
    <w:rsid w:val="2DABD58E"/>
    <w:rsid w:val="2DCEDF4C"/>
    <w:rsid w:val="2DF8F065"/>
    <w:rsid w:val="2E6B5E6F"/>
    <w:rsid w:val="2E8B9286"/>
    <w:rsid w:val="2EB38C34"/>
    <w:rsid w:val="2EC87AC4"/>
    <w:rsid w:val="2F24DA60"/>
    <w:rsid w:val="2F9EEAB4"/>
    <w:rsid w:val="2FB6749D"/>
    <w:rsid w:val="2FE15176"/>
    <w:rsid w:val="3009A399"/>
    <w:rsid w:val="302B9FB1"/>
    <w:rsid w:val="305F49A9"/>
    <w:rsid w:val="3095B5F6"/>
    <w:rsid w:val="31095A4B"/>
    <w:rsid w:val="310E3771"/>
    <w:rsid w:val="3114730D"/>
    <w:rsid w:val="313370A8"/>
    <w:rsid w:val="3196C871"/>
    <w:rsid w:val="31C5ED2E"/>
    <w:rsid w:val="31DC5868"/>
    <w:rsid w:val="31ECEFA0"/>
    <w:rsid w:val="31FE32A5"/>
    <w:rsid w:val="32391370"/>
    <w:rsid w:val="32EE047A"/>
    <w:rsid w:val="33140A10"/>
    <w:rsid w:val="3388AEA4"/>
    <w:rsid w:val="338DB03F"/>
    <w:rsid w:val="33D8E295"/>
    <w:rsid w:val="341F53B5"/>
    <w:rsid w:val="3451EA7B"/>
    <w:rsid w:val="34A307F7"/>
    <w:rsid w:val="34AAD2AC"/>
    <w:rsid w:val="34B54420"/>
    <w:rsid w:val="350FAC7F"/>
    <w:rsid w:val="35604049"/>
    <w:rsid w:val="35638474"/>
    <w:rsid w:val="358393E8"/>
    <w:rsid w:val="3588FD5E"/>
    <w:rsid w:val="359CEC13"/>
    <w:rsid w:val="35BC77AB"/>
    <w:rsid w:val="35DC5FF0"/>
    <w:rsid w:val="360FA784"/>
    <w:rsid w:val="3621BAE4"/>
    <w:rsid w:val="3633EA69"/>
    <w:rsid w:val="3638759C"/>
    <w:rsid w:val="365787E2"/>
    <w:rsid w:val="365C07D6"/>
    <w:rsid w:val="3664F56E"/>
    <w:rsid w:val="36C07F26"/>
    <w:rsid w:val="36C9E1C6"/>
    <w:rsid w:val="3746F820"/>
    <w:rsid w:val="375D8280"/>
    <w:rsid w:val="37EA025D"/>
    <w:rsid w:val="37EE3D4F"/>
    <w:rsid w:val="38EA1667"/>
    <w:rsid w:val="391A75A6"/>
    <w:rsid w:val="39F16730"/>
    <w:rsid w:val="3A2944A0"/>
    <w:rsid w:val="3A4147BC"/>
    <w:rsid w:val="3AE74844"/>
    <w:rsid w:val="3C0C3EA3"/>
    <w:rsid w:val="3CA1F0CF"/>
    <w:rsid w:val="3D0985F6"/>
    <w:rsid w:val="3D32CB75"/>
    <w:rsid w:val="3D83FDD7"/>
    <w:rsid w:val="3DB8265A"/>
    <w:rsid w:val="3DC3D700"/>
    <w:rsid w:val="3DDFA464"/>
    <w:rsid w:val="3DE912F9"/>
    <w:rsid w:val="3DFAEFAE"/>
    <w:rsid w:val="3E81F648"/>
    <w:rsid w:val="3E9A872D"/>
    <w:rsid w:val="3EC0432B"/>
    <w:rsid w:val="3ED8F344"/>
    <w:rsid w:val="3F2A9C8E"/>
    <w:rsid w:val="3F529867"/>
    <w:rsid w:val="3F8DAEC2"/>
    <w:rsid w:val="403F3FB3"/>
    <w:rsid w:val="405004B9"/>
    <w:rsid w:val="4145290E"/>
    <w:rsid w:val="4164A9BC"/>
    <w:rsid w:val="41EAEDD8"/>
    <w:rsid w:val="422FDC19"/>
    <w:rsid w:val="4236A242"/>
    <w:rsid w:val="4292E9A1"/>
    <w:rsid w:val="4295DCF5"/>
    <w:rsid w:val="42CF890F"/>
    <w:rsid w:val="42D4AA8B"/>
    <w:rsid w:val="42E23494"/>
    <w:rsid w:val="42F283F3"/>
    <w:rsid w:val="4347E60D"/>
    <w:rsid w:val="4386EFEA"/>
    <w:rsid w:val="4395A72F"/>
    <w:rsid w:val="43BCB102"/>
    <w:rsid w:val="44DCB249"/>
    <w:rsid w:val="44E24925"/>
    <w:rsid w:val="45326C7E"/>
    <w:rsid w:val="4586767E"/>
    <w:rsid w:val="458C0F95"/>
    <w:rsid w:val="45A6895D"/>
    <w:rsid w:val="45BC873B"/>
    <w:rsid w:val="45F27410"/>
    <w:rsid w:val="467888AB"/>
    <w:rsid w:val="46C0B0FD"/>
    <w:rsid w:val="47124AE9"/>
    <w:rsid w:val="47469F7C"/>
    <w:rsid w:val="4750ED2F"/>
    <w:rsid w:val="479785C7"/>
    <w:rsid w:val="47AE4357"/>
    <w:rsid w:val="47B6854D"/>
    <w:rsid w:val="47E3CF10"/>
    <w:rsid w:val="47FC0DDD"/>
    <w:rsid w:val="482F4B45"/>
    <w:rsid w:val="487236E8"/>
    <w:rsid w:val="4879CC79"/>
    <w:rsid w:val="4906FFF4"/>
    <w:rsid w:val="492E0FA0"/>
    <w:rsid w:val="495D7614"/>
    <w:rsid w:val="497C7468"/>
    <w:rsid w:val="4A624E26"/>
    <w:rsid w:val="4AD72AB1"/>
    <w:rsid w:val="4AE41B4A"/>
    <w:rsid w:val="4AED30B9"/>
    <w:rsid w:val="4AF0413D"/>
    <w:rsid w:val="4B3A4B1D"/>
    <w:rsid w:val="4B919264"/>
    <w:rsid w:val="4B92B62F"/>
    <w:rsid w:val="4B94DB12"/>
    <w:rsid w:val="4BEB9690"/>
    <w:rsid w:val="4C6BC382"/>
    <w:rsid w:val="4CAA9F20"/>
    <w:rsid w:val="4CBD3124"/>
    <w:rsid w:val="4CCE4521"/>
    <w:rsid w:val="4CECF8D1"/>
    <w:rsid w:val="4CF9EE9C"/>
    <w:rsid w:val="4D513DE9"/>
    <w:rsid w:val="4DD5CB3A"/>
    <w:rsid w:val="4DE52B49"/>
    <w:rsid w:val="4E3496CB"/>
    <w:rsid w:val="4E676F32"/>
    <w:rsid w:val="4E6C9584"/>
    <w:rsid w:val="4E956631"/>
    <w:rsid w:val="4EAFA612"/>
    <w:rsid w:val="4EF0098F"/>
    <w:rsid w:val="4F8EEF93"/>
    <w:rsid w:val="4FA3EEE6"/>
    <w:rsid w:val="50109E68"/>
    <w:rsid w:val="5036232E"/>
    <w:rsid w:val="507552FD"/>
    <w:rsid w:val="51014570"/>
    <w:rsid w:val="512FE71D"/>
    <w:rsid w:val="5158FB14"/>
    <w:rsid w:val="51AF9A63"/>
    <w:rsid w:val="5217F6A6"/>
    <w:rsid w:val="5246F06F"/>
    <w:rsid w:val="5258151B"/>
    <w:rsid w:val="525AC052"/>
    <w:rsid w:val="529CEA0E"/>
    <w:rsid w:val="52C177C3"/>
    <w:rsid w:val="52E8EDD1"/>
    <w:rsid w:val="535C82C0"/>
    <w:rsid w:val="53971D3A"/>
    <w:rsid w:val="53A7EFC4"/>
    <w:rsid w:val="540D9A26"/>
    <w:rsid w:val="54174735"/>
    <w:rsid w:val="551E1B9F"/>
    <w:rsid w:val="552C9F0E"/>
    <w:rsid w:val="55494F0C"/>
    <w:rsid w:val="555439EE"/>
    <w:rsid w:val="55B89466"/>
    <w:rsid w:val="562AF830"/>
    <w:rsid w:val="56594D12"/>
    <w:rsid w:val="56C1F75A"/>
    <w:rsid w:val="571CC67B"/>
    <w:rsid w:val="57285AE3"/>
    <w:rsid w:val="57ACC3E2"/>
    <w:rsid w:val="57B70A6B"/>
    <w:rsid w:val="57BCFC00"/>
    <w:rsid w:val="57F04AE7"/>
    <w:rsid w:val="580F8639"/>
    <w:rsid w:val="581E0455"/>
    <w:rsid w:val="58275644"/>
    <w:rsid w:val="58423167"/>
    <w:rsid w:val="595705F9"/>
    <w:rsid w:val="59581A63"/>
    <w:rsid w:val="596E67EE"/>
    <w:rsid w:val="598718F2"/>
    <w:rsid w:val="59B90AA6"/>
    <w:rsid w:val="5A0A8B46"/>
    <w:rsid w:val="5A465026"/>
    <w:rsid w:val="5A7CAB9E"/>
    <w:rsid w:val="5AC286A4"/>
    <w:rsid w:val="5AC9F9BA"/>
    <w:rsid w:val="5B594C99"/>
    <w:rsid w:val="5B7DF0B1"/>
    <w:rsid w:val="5B9AF4FD"/>
    <w:rsid w:val="5BC86633"/>
    <w:rsid w:val="5BCF6790"/>
    <w:rsid w:val="5BFC7AF5"/>
    <w:rsid w:val="5C52E5E2"/>
    <w:rsid w:val="5C583953"/>
    <w:rsid w:val="5C830304"/>
    <w:rsid w:val="5D323C3F"/>
    <w:rsid w:val="5D34632C"/>
    <w:rsid w:val="5D3BFBCF"/>
    <w:rsid w:val="5DCC4628"/>
    <w:rsid w:val="5E750759"/>
    <w:rsid w:val="5E9E06FE"/>
    <w:rsid w:val="5EA2DCA8"/>
    <w:rsid w:val="5EDBCB6D"/>
    <w:rsid w:val="5EF5C91B"/>
    <w:rsid w:val="5EFEB2E1"/>
    <w:rsid w:val="5F049C2D"/>
    <w:rsid w:val="5F12DC81"/>
    <w:rsid w:val="5F249CA0"/>
    <w:rsid w:val="5F3CBAE1"/>
    <w:rsid w:val="5F580B4D"/>
    <w:rsid w:val="5F7C7D27"/>
    <w:rsid w:val="5F8D8E6C"/>
    <w:rsid w:val="5FDA7C23"/>
    <w:rsid w:val="5FEF3C59"/>
    <w:rsid w:val="607691C4"/>
    <w:rsid w:val="60D53800"/>
    <w:rsid w:val="60FC8C4E"/>
    <w:rsid w:val="6118A768"/>
    <w:rsid w:val="611DFAD9"/>
    <w:rsid w:val="61575A5C"/>
    <w:rsid w:val="61907B44"/>
    <w:rsid w:val="61F8604E"/>
    <w:rsid w:val="6293E89B"/>
    <w:rsid w:val="629D4D79"/>
    <w:rsid w:val="62A4B844"/>
    <w:rsid w:val="62BC479F"/>
    <w:rsid w:val="62BEB2B3"/>
    <w:rsid w:val="6302A1BE"/>
    <w:rsid w:val="6307695C"/>
    <w:rsid w:val="63591233"/>
    <w:rsid w:val="6395DC78"/>
    <w:rsid w:val="640E670E"/>
    <w:rsid w:val="6423675F"/>
    <w:rsid w:val="64EE2A62"/>
    <w:rsid w:val="654DFE13"/>
    <w:rsid w:val="657BE24B"/>
    <w:rsid w:val="65E66D07"/>
    <w:rsid w:val="65FCB332"/>
    <w:rsid w:val="662EEB56"/>
    <w:rsid w:val="6649A23F"/>
    <w:rsid w:val="6689DF6F"/>
    <w:rsid w:val="669B22E1"/>
    <w:rsid w:val="66EDD14D"/>
    <w:rsid w:val="67036BBD"/>
    <w:rsid w:val="6706C43E"/>
    <w:rsid w:val="671B68A5"/>
    <w:rsid w:val="67349411"/>
    <w:rsid w:val="6762D0CB"/>
    <w:rsid w:val="6772A71F"/>
    <w:rsid w:val="6783C384"/>
    <w:rsid w:val="6790DE83"/>
    <w:rsid w:val="67C5740A"/>
    <w:rsid w:val="67E572A0"/>
    <w:rsid w:val="67F0760C"/>
    <w:rsid w:val="68CFC536"/>
    <w:rsid w:val="690F46B3"/>
    <w:rsid w:val="695FC5F8"/>
    <w:rsid w:val="69A9CFD8"/>
    <w:rsid w:val="6A1B8F78"/>
    <w:rsid w:val="6A247628"/>
    <w:rsid w:val="6A5CA122"/>
    <w:rsid w:val="6A86AB4C"/>
    <w:rsid w:val="6AA2F8E9"/>
    <w:rsid w:val="6AA78F18"/>
    <w:rsid w:val="6AD45787"/>
    <w:rsid w:val="6AD80747"/>
    <w:rsid w:val="6B7F90A5"/>
    <w:rsid w:val="6BC7A039"/>
    <w:rsid w:val="6C166827"/>
    <w:rsid w:val="6C3DBD99"/>
    <w:rsid w:val="6C6A358F"/>
    <w:rsid w:val="6CB6BEE1"/>
    <w:rsid w:val="6CC17000"/>
    <w:rsid w:val="6D18EA4E"/>
    <w:rsid w:val="6D388BD9"/>
    <w:rsid w:val="6E04A472"/>
    <w:rsid w:val="6E3C6F8A"/>
    <w:rsid w:val="6E923548"/>
    <w:rsid w:val="6EDB3CBD"/>
    <w:rsid w:val="6EDE58F7"/>
    <w:rsid w:val="6F003F85"/>
    <w:rsid w:val="6F0F6FFA"/>
    <w:rsid w:val="6F1114B4"/>
    <w:rsid w:val="6F6E6455"/>
    <w:rsid w:val="6FC15BF4"/>
    <w:rsid w:val="70095F07"/>
    <w:rsid w:val="7019E18A"/>
    <w:rsid w:val="704B4266"/>
    <w:rsid w:val="7063644B"/>
    <w:rsid w:val="70989572"/>
    <w:rsid w:val="70C36A7D"/>
    <w:rsid w:val="70CD45BE"/>
    <w:rsid w:val="70DB001A"/>
    <w:rsid w:val="711E44AD"/>
    <w:rsid w:val="7130CB2E"/>
    <w:rsid w:val="715D2C55"/>
    <w:rsid w:val="723E87E6"/>
    <w:rsid w:val="72E1A486"/>
    <w:rsid w:val="73026653"/>
    <w:rsid w:val="7318D3B3"/>
    <w:rsid w:val="735DA775"/>
    <w:rsid w:val="742E0EBE"/>
    <w:rsid w:val="7492C548"/>
    <w:rsid w:val="7495763D"/>
    <w:rsid w:val="74ADE80A"/>
    <w:rsid w:val="74C7F8F0"/>
    <w:rsid w:val="7500DC62"/>
    <w:rsid w:val="753A4412"/>
    <w:rsid w:val="75449F0B"/>
    <w:rsid w:val="75B709A3"/>
    <w:rsid w:val="7674563B"/>
    <w:rsid w:val="76B252ED"/>
    <w:rsid w:val="76B668E7"/>
    <w:rsid w:val="76B797B4"/>
    <w:rsid w:val="76CB356F"/>
    <w:rsid w:val="7750CFA4"/>
    <w:rsid w:val="77F439BA"/>
    <w:rsid w:val="780AC799"/>
    <w:rsid w:val="7828E254"/>
    <w:rsid w:val="782B8780"/>
    <w:rsid w:val="78419D53"/>
    <w:rsid w:val="785DE87E"/>
    <w:rsid w:val="78CF8048"/>
    <w:rsid w:val="79022B77"/>
    <w:rsid w:val="7902EA78"/>
    <w:rsid w:val="79487A6F"/>
    <w:rsid w:val="79EBFE5A"/>
    <w:rsid w:val="7A97438A"/>
    <w:rsid w:val="7AB454BA"/>
    <w:rsid w:val="7AB95FA9"/>
    <w:rsid w:val="7B22442F"/>
    <w:rsid w:val="7B2DD42F"/>
    <w:rsid w:val="7B3EA1D7"/>
    <w:rsid w:val="7B65F331"/>
    <w:rsid w:val="7B76C133"/>
    <w:rsid w:val="7B85C662"/>
    <w:rsid w:val="7B948D21"/>
    <w:rsid w:val="7BD38043"/>
    <w:rsid w:val="7BE0D54A"/>
    <w:rsid w:val="7C190771"/>
    <w:rsid w:val="7C48F862"/>
    <w:rsid w:val="7D56EB61"/>
    <w:rsid w:val="7D5C402D"/>
    <w:rsid w:val="7D7727F9"/>
    <w:rsid w:val="7D7CDABE"/>
    <w:rsid w:val="7D81C34A"/>
    <w:rsid w:val="7DA597EB"/>
    <w:rsid w:val="7DBFB3C7"/>
    <w:rsid w:val="7DEBBBA6"/>
    <w:rsid w:val="7E983535"/>
    <w:rsid w:val="7ED1C890"/>
    <w:rsid w:val="7EFE9DBE"/>
    <w:rsid w:val="7F456430"/>
    <w:rsid w:val="7FADF70C"/>
    <w:rsid w:val="7FBA7008"/>
    <w:rsid w:val="7FF99650"/>
  </w:rsids>
  <m:mathPr>
    <m:mathFont m:val="Cambria Math"/>
    <m:brkBin m:val="before"/>
    <m:brkBinSub m:val="--"/>
    <m:smallFrac m:val="0"/>
    <m:dispDef/>
    <m:lMargin m:val="0"/>
    <m:rMargin m:val="0"/>
    <m:defJc m:val="centerGroup"/>
    <m:wrapIndent m:val="1440"/>
    <m:intLim m:val="subSup"/>
    <m:naryLim m:val="undOvr"/>
  </m:mathPr>
  <w:themeFontLang w:val="es-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606922"/>
  <w15:docId w15:val="{45759F9D-F2AB-4D9B-9C00-15A02F41F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0"/>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Web"/>
    <w:next w:val="Normal"/>
    <w:link w:val="Heading1Char"/>
    <w:qFormat/>
    <w:rsid w:val="0086358A"/>
    <w:pPr>
      <w:numPr>
        <w:numId w:val="3"/>
      </w:numPr>
      <w:spacing w:before="120" w:beforeAutospacing="0" w:after="240" w:afterAutospacing="0"/>
      <w:jc w:val="both"/>
      <w:outlineLvl w:val="0"/>
    </w:pPr>
    <w:rPr>
      <w:rFonts w:ascii="Cambria" w:hAnsi="Cambria"/>
      <w:b/>
      <w:bCs/>
      <w:sz w:val="22"/>
      <w:szCs w:val="20"/>
      <w:lang w:eastAsia="es-ES_tradnl"/>
    </w:rPr>
  </w:style>
  <w:style w:type="paragraph" w:styleId="Heading2">
    <w:name w:val="heading 2"/>
    <w:basedOn w:val="ListParagraph"/>
    <w:next w:val="Normal"/>
    <w:link w:val="Heading2Char"/>
    <w:unhideWhenUsed/>
    <w:qFormat/>
    <w:rsid w:val="0086358A"/>
    <w:pPr>
      <w:numPr>
        <w:numId w:val="6"/>
      </w:numPr>
      <w:spacing w:after="240"/>
      <w:ind w:left="1440" w:hanging="720"/>
      <w:contextualSpacing w:val="0"/>
      <w:outlineLvl w:val="1"/>
    </w:pPr>
    <w:rPr>
      <w:rFonts w:ascii="Cambria" w:hAnsi="Cambria"/>
      <w:b/>
      <w:szCs w:val="20"/>
    </w:rPr>
  </w:style>
  <w:style w:type="paragraph" w:styleId="Heading3">
    <w:name w:val="heading 3"/>
    <w:basedOn w:val="ListParagraph"/>
    <w:next w:val="Normal"/>
    <w:link w:val="Heading3Char"/>
    <w:unhideWhenUsed/>
    <w:qFormat/>
    <w:rsid w:val="0086358A"/>
    <w:pPr>
      <w:numPr>
        <w:numId w:val="5"/>
      </w:numPr>
      <w:shd w:val="clear" w:color="auto" w:fill="FFFFFF"/>
      <w:spacing w:before="360" w:after="240"/>
      <w:contextualSpacing w:val="0"/>
      <w:outlineLvl w:val="2"/>
    </w:pPr>
    <w:rPr>
      <w:rFonts w:ascii="Cambria" w:eastAsia="Yu Gothic Light" w:hAnsi="Cambria"/>
      <w:b/>
      <w:sz w:val="24"/>
      <w:lang w:val="es-MX"/>
    </w:rPr>
  </w:style>
  <w:style w:type="paragraph" w:styleId="Heading4">
    <w:name w:val="heading 4"/>
    <w:basedOn w:val="Normal"/>
    <w:next w:val="Normal"/>
    <w:link w:val="Heading4Char"/>
    <w:unhideWhenUsed/>
    <w:qFormat/>
    <w:rsid w:val="0086358A"/>
    <w:pPr>
      <w:keepNext/>
      <w:keepLines/>
      <w:spacing w:before="40" w:after="0" w:line="240" w:lineRule="auto"/>
      <w:jc w:val="both"/>
      <w:outlineLvl w:val="3"/>
    </w:pPr>
    <w:rPr>
      <w:rFonts w:ascii="Calibri Light" w:eastAsia="Yu Gothic Light" w:hAnsi="Calibri Light"/>
      <w:i/>
      <w:iCs/>
      <w:color w:val="2E74B5"/>
    </w:rPr>
  </w:style>
  <w:style w:type="paragraph" w:styleId="Heading5">
    <w:name w:val="heading 5"/>
    <w:basedOn w:val="Heading4"/>
    <w:link w:val="Heading5Char"/>
    <w:uiPriority w:val="9"/>
    <w:qFormat/>
    <w:rsid w:val="009C095D"/>
    <w:pPr>
      <w:keepNext w:val="0"/>
      <w:keepLines w:val="0"/>
      <w:spacing w:before="0" w:after="240"/>
      <w:ind w:left="1094" w:hanging="547"/>
      <w:outlineLvl w:val="4"/>
    </w:pPr>
    <w:rPr>
      <w:rFonts w:ascii="Cambria" w:eastAsia="MS Mincho" w:hAnsi="Cambria"/>
      <w:b/>
      <w:i w:val="0"/>
      <w:iCs w:val="0"/>
      <w:color w:val="auto"/>
      <w:szCs w:val="20"/>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A343FF"/>
    <w:pPr>
      <w:tabs>
        <w:tab w:val="center" w:pos="4680"/>
        <w:tab w:val="right" w:pos="9360"/>
      </w:tabs>
      <w:spacing w:after="0" w:line="240" w:lineRule="auto"/>
    </w:pPr>
  </w:style>
  <w:style w:type="character" w:customStyle="1" w:styleId="HeaderChar">
    <w:name w:val="Header Char"/>
    <w:link w:val="Header"/>
    <w:uiPriority w:val="99"/>
    <w:rsid w:val="00A343FF"/>
    <w:rPr>
      <w:sz w:val="22"/>
      <w:szCs w:val="22"/>
    </w:rPr>
  </w:style>
  <w:style w:type="paragraph" w:styleId="Footer">
    <w:name w:val="footer"/>
    <w:basedOn w:val="Normal"/>
    <w:link w:val="FooterChar"/>
    <w:uiPriority w:val="99"/>
    <w:unhideWhenUsed/>
    <w:rsid w:val="00A343FF"/>
    <w:pPr>
      <w:tabs>
        <w:tab w:val="center" w:pos="4680"/>
        <w:tab w:val="right" w:pos="9360"/>
      </w:tabs>
      <w:spacing w:after="0" w:line="240" w:lineRule="auto"/>
    </w:pPr>
  </w:style>
  <w:style w:type="character" w:customStyle="1" w:styleId="FooterChar">
    <w:name w:val="Footer Char"/>
    <w:link w:val="Footer"/>
    <w:uiPriority w:val="99"/>
    <w:rsid w:val="00A343FF"/>
    <w:rPr>
      <w:sz w:val="22"/>
      <w:szCs w:val="22"/>
    </w:rPr>
  </w:style>
  <w:style w:type="paragraph" w:styleId="BalloonText">
    <w:name w:val="Balloon Text"/>
    <w:basedOn w:val="Normal"/>
    <w:link w:val="BalloonTextChar"/>
    <w:uiPriority w:val="99"/>
    <w:semiHidden/>
    <w:unhideWhenUsed/>
    <w:rsid w:val="00A343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343FF"/>
    <w:rPr>
      <w:rFonts w:ascii="Tahoma" w:hAnsi="Tahoma" w:cs="Tahoma"/>
      <w:sz w:val="16"/>
      <w:szCs w:val="16"/>
    </w:rPr>
  </w:style>
  <w:style w:type="paragraph" w:styleId="NoSpacing">
    <w:name w:val="No Spacing"/>
    <w:aliases w:val="Informes"/>
    <w:link w:val="NoSpacingChar"/>
    <w:uiPriority w:val="1"/>
    <w:qFormat/>
    <w:rsid w:val="00F52F31"/>
    <w:rPr>
      <w:rFonts w:eastAsia="MS Mincho" w:cs="Arial"/>
      <w:lang w:val="en-US" w:eastAsia="ja-JP"/>
    </w:rPr>
  </w:style>
  <w:style w:type="character" w:customStyle="1" w:styleId="NoSpacingChar">
    <w:name w:val="No Spacing Char"/>
    <w:aliases w:val="Informes Char"/>
    <w:link w:val="NoSpacing"/>
    <w:uiPriority w:val="1"/>
    <w:qFormat/>
    <w:rsid w:val="00F52F31"/>
    <w:rPr>
      <w:rFonts w:eastAsia="MS Mincho" w:cs="Arial"/>
      <w:sz w:val="22"/>
      <w:szCs w:val="22"/>
      <w:lang w:eastAsia="ja-JP"/>
    </w:rPr>
  </w:style>
  <w:style w:type="paragraph" w:styleId="NormalWeb">
    <w:name w:val="Normal (Web)"/>
    <w:basedOn w:val="Normal"/>
    <w:uiPriority w:val="99"/>
    <w:unhideWhenUsed/>
    <w:rsid w:val="0001720F"/>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link w:val="Heading1"/>
    <w:rsid w:val="0086358A"/>
    <w:rPr>
      <w:rFonts w:ascii="Cambria" w:eastAsia="Times New Roman" w:hAnsi="Cambria"/>
      <w:b/>
      <w:bCs/>
      <w:sz w:val="22"/>
      <w:lang w:val="es-ES" w:eastAsia="es-ES_tradnl"/>
    </w:rPr>
  </w:style>
  <w:style w:type="character" w:customStyle="1" w:styleId="Heading2Char">
    <w:name w:val="Heading 2 Char"/>
    <w:link w:val="Heading2"/>
    <w:rsid w:val="0086358A"/>
    <w:rPr>
      <w:rFonts w:ascii="Cambria" w:hAnsi="Cambria"/>
      <w:b/>
      <w:sz w:val="22"/>
      <w:lang w:val="es-ES"/>
    </w:rPr>
  </w:style>
  <w:style w:type="character" w:customStyle="1" w:styleId="Heading3Char">
    <w:name w:val="Heading 3 Char"/>
    <w:link w:val="Heading3"/>
    <w:rsid w:val="0086358A"/>
    <w:rPr>
      <w:rFonts w:ascii="Cambria" w:eastAsia="Yu Gothic Light" w:hAnsi="Cambria"/>
      <w:b/>
      <w:sz w:val="24"/>
      <w:szCs w:val="22"/>
      <w:shd w:val="clear" w:color="auto" w:fill="FFFFFF"/>
      <w:lang w:val="es-MX"/>
    </w:rPr>
  </w:style>
  <w:style w:type="character" w:customStyle="1" w:styleId="Heading4Char">
    <w:name w:val="Heading 4 Char"/>
    <w:link w:val="Heading4"/>
    <w:rsid w:val="0086358A"/>
    <w:rPr>
      <w:rFonts w:ascii="Calibri Light" w:eastAsia="Yu Gothic Light" w:hAnsi="Calibri Light"/>
      <w:i/>
      <w:iCs/>
      <w:color w:val="2E74B5"/>
      <w:sz w:val="22"/>
      <w:szCs w:val="22"/>
      <w:lang w:val="es-ES_tradnl"/>
    </w:rPr>
  </w:style>
  <w:style w:type="character" w:styleId="Hyperlink">
    <w:name w:val="Hyperlink"/>
    <w:aliases w:val="http://www.fantaproject.org/sites/default/files/resources/Guatemala-municipal-brief-English-June30.pdf"/>
    <w:uiPriority w:val="99"/>
    <w:unhideWhenUsed/>
    <w:rsid w:val="0086358A"/>
    <w:rPr>
      <w:color w:val="0000FF"/>
      <w:u w:val="single"/>
    </w:rPr>
  </w:style>
  <w:style w:type="paragraph" w:styleId="FootnoteText">
    <w:name w:val="footnote text"/>
    <w:aliases w:val="FA Fu,Footnote Text Char Char Char Char Char,Footnote Text Char Char Char Char,Footnote reference,Footnote Text Char Char Char,Texto nota pie [MM],FA Fußnotentext,FA Fuﬂnotentext,ft,texto de nota al pie,Car1,Ca,fn,C,Texto nota pie C,5_G"/>
    <w:basedOn w:val="Normal"/>
    <w:link w:val="FootnoteTextChar"/>
    <w:autoRedefine/>
    <w:uiPriority w:val="99"/>
    <w:unhideWhenUsed/>
    <w:qFormat/>
    <w:rsid w:val="009B7A12"/>
    <w:pPr>
      <w:adjustRightInd w:val="0"/>
      <w:snapToGrid w:val="0"/>
      <w:spacing w:after="0" w:line="240" w:lineRule="auto"/>
      <w:jc w:val="both"/>
    </w:pPr>
    <w:rPr>
      <w:rFonts w:ascii="Cambria" w:hAnsi="Cambria"/>
      <w:sz w:val="18"/>
      <w:szCs w:val="18"/>
    </w:rPr>
  </w:style>
  <w:style w:type="character" w:customStyle="1" w:styleId="FootnoteTextChar">
    <w:name w:val="Footnote Text Char"/>
    <w:aliases w:val="FA Fu Char,Footnote Text Char Char Char Char Char Char,Footnote Text Char Char Char Char Char1,Footnote reference Char,Footnote Text Char Char Char Char1,Texto nota pie [MM] Char,FA Fußnotentext Char,FA Fuﬂnotentext Char,ft Char"/>
    <w:link w:val="FootnoteText"/>
    <w:uiPriority w:val="99"/>
    <w:qFormat/>
    <w:rsid w:val="00496D90"/>
    <w:rPr>
      <w:rFonts w:ascii="Cambria" w:hAnsi="Cambria"/>
      <w:sz w:val="18"/>
      <w:szCs w:val="18"/>
    </w:rPr>
  </w:style>
  <w:style w:type="character" w:styleId="FootnoteReference">
    <w:name w:val="footnote reference"/>
    <w:aliases w:val="4_G,Texto de nota al pie,Appel note de bas de page,Footnote number,Footnotes refss,referencia nota al pie,BVI fnr,f,Ref,de nota al pie,normal,16 Point,Superscript 6 Point,Texto nota al pie,Footnote Reference Char3,Ref. de nota al,Re"/>
    <w:link w:val="Refdenotaalpie"/>
    <w:uiPriority w:val="99"/>
    <w:unhideWhenUsed/>
    <w:qFormat/>
    <w:rsid w:val="0086358A"/>
    <w:rPr>
      <w:vertAlign w:val="superscript"/>
    </w:rPr>
  </w:style>
  <w:style w:type="paragraph" w:customStyle="1" w:styleId="Refdenotaalpie">
    <w:name w:val="Ref. de nota al pie."/>
    <w:aliases w:val="Footnote symbol,Footnote,Ref. de nota al pi,f1,referencia nota al pi..."/>
    <w:basedOn w:val="Normal"/>
    <w:link w:val="FootnoteReference"/>
    <w:uiPriority w:val="99"/>
    <w:rsid w:val="0086358A"/>
    <w:pPr>
      <w:spacing w:before="200" w:after="160" w:line="240" w:lineRule="exact"/>
    </w:pPr>
    <w:rPr>
      <w:sz w:val="20"/>
      <w:szCs w:val="20"/>
      <w:vertAlign w:val="superscript"/>
    </w:rPr>
  </w:style>
  <w:style w:type="character" w:styleId="FollowedHyperlink">
    <w:name w:val="FollowedHyperlink"/>
    <w:uiPriority w:val="99"/>
    <w:semiHidden/>
    <w:unhideWhenUsed/>
    <w:rsid w:val="0086358A"/>
    <w:rPr>
      <w:color w:val="954F72"/>
      <w:u w:val="single"/>
    </w:rPr>
  </w:style>
  <w:style w:type="character" w:styleId="CommentReference">
    <w:name w:val="annotation reference"/>
    <w:uiPriority w:val="99"/>
    <w:semiHidden/>
    <w:unhideWhenUsed/>
    <w:rsid w:val="0086358A"/>
    <w:rPr>
      <w:sz w:val="16"/>
      <w:szCs w:val="16"/>
    </w:rPr>
  </w:style>
  <w:style w:type="paragraph" w:styleId="CommentText">
    <w:name w:val="annotation text"/>
    <w:basedOn w:val="Normal"/>
    <w:link w:val="CommentTextChar"/>
    <w:uiPriority w:val="99"/>
    <w:unhideWhenUsed/>
    <w:rsid w:val="0086358A"/>
    <w:pPr>
      <w:spacing w:after="160" w:line="240" w:lineRule="auto"/>
    </w:pPr>
    <w:rPr>
      <w:sz w:val="20"/>
      <w:szCs w:val="20"/>
    </w:rPr>
  </w:style>
  <w:style w:type="character" w:customStyle="1" w:styleId="CommentTextChar">
    <w:name w:val="Comment Text Char"/>
    <w:basedOn w:val="DefaultParagraphFont"/>
    <w:link w:val="CommentText"/>
    <w:uiPriority w:val="99"/>
    <w:rsid w:val="0086358A"/>
  </w:style>
  <w:style w:type="character" w:customStyle="1" w:styleId="ColorfulList-Accent1Char">
    <w:name w:val="Colorful List - Accent 1 Char"/>
    <w:aliases w:val="List Char,Segundo nivel de viñetas Char,List Paragraph1 Char,titulo 3 Char,Bullets Char,Llista Nivell1 Char,Párrafo de lista1 Char,Ha Char,Párrafo de lista2 Char,Lista vistosa - Énfasis 11 Char,Dot pt Char,No Spacing1 Char"/>
    <w:link w:val="ColorfulList-Accent1"/>
    <w:uiPriority w:val="34"/>
    <w:qFormat/>
    <w:locked/>
    <w:rsid w:val="0086358A"/>
    <w:rPr>
      <w:rFonts w:ascii="Cambria" w:eastAsia="Cambria" w:hAnsi="Cambria" w:cs="Cambria"/>
      <w:color w:val="000000"/>
      <w:sz w:val="24"/>
      <w:szCs w:val="24"/>
      <w:u w:color="000000"/>
      <w:bdr w:val="nil"/>
      <w:lang w:eastAsia="es-ES"/>
    </w:rPr>
  </w:style>
  <w:style w:type="table" w:styleId="ColorfulList-Accent1">
    <w:name w:val="Colorful List Accent 1"/>
    <w:basedOn w:val="TableNormal"/>
    <w:link w:val="ColorfulList-Accent1Char"/>
    <w:uiPriority w:val="34"/>
    <w:unhideWhenUsed/>
    <w:rsid w:val="0086358A"/>
    <w:rPr>
      <w:rFonts w:ascii="Cambria" w:eastAsia="Cambria" w:hAnsi="Cambria" w:cs="Cambria"/>
      <w:color w:val="000000"/>
      <w:sz w:val="24"/>
      <w:szCs w:val="24"/>
      <w:u w:color="000000"/>
      <w:bdr w:val="nil"/>
      <w:lang w:eastAsia="es-ES"/>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paragraph" w:styleId="CommentSubject">
    <w:name w:val="annotation subject"/>
    <w:basedOn w:val="CommentText"/>
    <w:next w:val="CommentText"/>
    <w:link w:val="CommentSubjectChar"/>
    <w:uiPriority w:val="99"/>
    <w:semiHidden/>
    <w:unhideWhenUsed/>
    <w:rsid w:val="0086358A"/>
    <w:pPr>
      <w:spacing w:after="0"/>
      <w:jc w:val="both"/>
    </w:pPr>
    <w:rPr>
      <w:b/>
      <w:bCs/>
    </w:rPr>
  </w:style>
  <w:style w:type="character" w:customStyle="1" w:styleId="CommentSubjectChar">
    <w:name w:val="Comment Subject Char"/>
    <w:link w:val="CommentSubject"/>
    <w:uiPriority w:val="99"/>
    <w:semiHidden/>
    <w:rsid w:val="0086358A"/>
    <w:rPr>
      <w:b/>
      <w:bCs/>
      <w:lang w:val="es-ES_tradnl"/>
    </w:rPr>
  </w:style>
  <w:style w:type="paragraph" w:styleId="Revision">
    <w:name w:val="Revision"/>
    <w:hidden/>
    <w:uiPriority w:val="99"/>
    <w:semiHidden/>
    <w:rsid w:val="0086358A"/>
  </w:style>
  <w:style w:type="paragraph" w:styleId="ListParagraph">
    <w:name w:val="List Paragraph"/>
    <w:aliases w:val="Parragrap,Superíndice,Dot pt,No Spacing1,List Paragraph Char Char Char,Indicator Text,List Paragraph1,Numbered Para 1,4 Párrafo de lista,Figuras,DH1,4 Párrafo de l,Colorful List - Accent 11,Bullet 1,F5 List Paragraph,Bullet Points,Ha"/>
    <w:basedOn w:val="Normal"/>
    <w:link w:val="ListParagraphChar"/>
    <w:uiPriority w:val="34"/>
    <w:qFormat/>
    <w:rsid w:val="0086358A"/>
    <w:pPr>
      <w:spacing w:after="0" w:line="240" w:lineRule="auto"/>
      <w:ind w:left="720"/>
      <w:contextualSpacing/>
      <w:jc w:val="both"/>
    </w:pPr>
  </w:style>
  <w:style w:type="character" w:customStyle="1" w:styleId="Ninguno">
    <w:name w:val="Ninguno"/>
    <w:rsid w:val="0086358A"/>
    <w:rPr>
      <w:lang w:val="es-ES_tradnl"/>
    </w:rPr>
  </w:style>
  <w:style w:type="character" w:customStyle="1" w:styleId="ListParagraphChar">
    <w:name w:val="List Paragraph Char"/>
    <w:aliases w:val="Parragrap Char,Superíndice Char,Dot pt Char1,No Spacing1 Char1,List Paragraph Char Char Char Char,Indicator Text Char,List Paragraph1 Char1,Numbered Para 1 Char,4 Párrafo de lista Char,Figuras Char,DH1 Char,4 Párrafo de l Char"/>
    <w:link w:val="ListParagraph"/>
    <w:uiPriority w:val="34"/>
    <w:qFormat/>
    <w:locked/>
    <w:rsid w:val="0086358A"/>
    <w:rPr>
      <w:sz w:val="22"/>
      <w:szCs w:val="22"/>
      <w:lang w:val="es-ES_tradnl"/>
    </w:rPr>
  </w:style>
  <w:style w:type="paragraph" w:styleId="TOC3">
    <w:name w:val="toc 3"/>
    <w:basedOn w:val="Normal"/>
    <w:next w:val="Normal"/>
    <w:autoRedefine/>
    <w:uiPriority w:val="39"/>
    <w:unhideWhenUsed/>
    <w:rsid w:val="0086358A"/>
    <w:pPr>
      <w:spacing w:after="100" w:line="240" w:lineRule="auto"/>
      <w:ind w:left="440"/>
      <w:jc w:val="both"/>
    </w:pPr>
    <w:rPr>
      <w:rFonts w:eastAsia="MS Mincho"/>
    </w:rPr>
  </w:style>
  <w:style w:type="character" w:styleId="Strong">
    <w:name w:val="Strong"/>
    <w:uiPriority w:val="22"/>
    <w:qFormat/>
    <w:rsid w:val="0086358A"/>
    <w:rPr>
      <w:b/>
      <w:bCs/>
    </w:rPr>
  </w:style>
  <w:style w:type="numbering" w:styleId="111111">
    <w:name w:val="Outline List 2"/>
    <w:basedOn w:val="NoList"/>
    <w:uiPriority w:val="99"/>
    <w:semiHidden/>
    <w:unhideWhenUsed/>
    <w:rsid w:val="0086358A"/>
  </w:style>
  <w:style w:type="character" w:styleId="Emphasis">
    <w:name w:val="Emphasis"/>
    <w:uiPriority w:val="20"/>
    <w:qFormat/>
    <w:rsid w:val="0086358A"/>
    <w:rPr>
      <w:i/>
      <w:iCs/>
    </w:rPr>
  </w:style>
  <w:style w:type="character" w:customStyle="1" w:styleId="apple-converted-space">
    <w:name w:val="apple-converted-space"/>
    <w:rsid w:val="0086358A"/>
  </w:style>
  <w:style w:type="character" w:customStyle="1" w:styleId="Cuadrculamediana2Car">
    <w:name w:val="Cuadrícula mediana 2 Car"/>
    <w:aliases w:val="Informes Car"/>
    <w:link w:val="MediumGrid2"/>
    <w:uiPriority w:val="1"/>
    <w:rsid w:val="0086358A"/>
    <w:rPr>
      <w:rFonts w:ascii="Cambria" w:hAnsi="Cambria"/>
      <w:sz w:val="16"/>
      <w:lang w:bidi="ar-SA"/>
    </w:rPr>
  </w:style>
  <w:style w:type="table" w:styleId="MediumGrid2">
    <w:name w:val="Medium Grid 2"/>
    <w:basedOn w:val="TableNormal"/>
    <w:link w:val="Cuadrculamediana2Car"/>
    <w:uiPriority w:val="1"/>
    <w:rsid w:val="0086358A"/>
    <w:rPr>
      <w:rFonts w:ascii="Cambria" w:hAnsi="Cambria"/>
      <w:sz w:val="16"/>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SingleTxtG">
    <w:name w:val="_ Single Txt_G"/>
    <w:basedOn w:val="Normal"/>
    <w:link w:val="SingleTxtGChar"/>
    <w:rsid w:val="0086358A"/>
    <w:pPr>
      <w:suppressAutoHyphens/>
      <w:spacing w:after="120" w:line="240" w:lineRule="atLeast"/>
      <w:ind w:left="1134" w:right="1134"/>
      <w:jc w:val="both"/>
    </w:pPr>
    <w:rPr>
      <w:rFonts w:ascii="Times New Roman" w:eastAsia="Times New Roman" w:hAnsi="Times New Roman"/>
      <w:sz w:val="20"/>
      <w:szCs w:val="20"/>
    </w:rPr>
  </w:style>
  <w:style w:type="character" w:customStyle="1" w:styleId="SingleTxtGChar">
    <w:name w:val="_ Single Txt_G Char"/>
    <w:link w:val="SingleTxtG"/>
    <w:rsid w:val="0086358A"/>
    <w:rPr>
      <w:rFonts w:ascii="Times New Roman" w:eastAsia="Times New Roman" w:hAnsi="Times New Roman"/>
      <w:lang w:val="es-ES"/>
    </w:rPr>
  </w:style>
  <w:style w:type="character" w:customStyle="1" w:styleId="Sombreadomediano1-nfasis1Car">
    <w:name w:val="Sombreado mediano 1 - Énfasis 1 Car"/>
    <w:link w:val="MediumShading1-Accent1"/>
    <w:rsid w:val="0086358A"/>
    <w:rPr>
      <w:rFonts w:eastAsia="MS Mincho"/>
      <w:sz w:val="22"/>
      <w:szCs w:val="22"/>
      <w:lang w:val="es-AR" w:eastAsia="en-US"/>
    </w:rPr>
  </w:style>
  <w:style w:type="character" w:customStyle="1" w:styleId="Nenhum">
    <w:name w:val="Nenhum"/>
    <w:rsid w:val="0086358A"/>
  </w:style>
  <w:style w:type="table" w:styleId="MediumShading1-Accent1">
    <w:name w:val="Medium Shading 1 Accent 1"/>
    <w:basedOn w:val="TableNormal"/>
    <w:link w:val="Sombreadomediano1-nfasis1Car"/>
    <w:rsid w:val="0086358A"/>
    <w:rPr>
      <w:rFonts w:eastAsia="MS Mincho"/>
      <w:lang w:val="es-AR"/>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customStyle="1" w:styleId="Corpo">
    <w:name w:val="Corpo"/>
    <w:rsid w:val="0086358A"/>
    <w:pPr>
      <w:pBdr>
        <w:top w:val="nil"/>
        <w:left w:val="nil"/>
        <w:bottom w:val="nil"/>
        <w:right w:val="nil"/>
        <w:between w:val="nil"/>
        <w:bar w:val="nil"/>
      </w:pBdr>
    </w:pPr>
    <w:rPr>
      <w:color w:val="000000"/>
      <w:u w:color="000000"/>
      <w:bdr w:val="nil"/>
      <w:lang w:eastAsia="es-ES"/>
    </w:rPr>
  </w:style>
  <w:style w:type="character" w:customStyle="1" w:styleId="Hyperlink1">
    <w:name w:val="Hyperlink.1"/>
    <w:rsid w:val="0086358A"/>
    <w:rPr>
      <w:rFonts w:ascii="Cambria" w:eastAsia="Cambria" w:hAnsi="Cambria" w:cs="Cambria"/>
      <w:color w:val="0000FF"/>
      <w:sz w:val="18"/>
      <w:szCs w:val="18"/>
      <w:u w:val="single" w:color="0000FF"/>
      <w:lang w:val="es-ES_tradnl"/>
    </w:rPr>
  </w:style>
  <w:style w:type="paragraph" w:customStyle="1" w:styleId="Char2">
    <w:name w:val="Char2"/>
    <w:basedOn w:val="Normal"/>
    <w:uiPriority w:val="99"/>
    <w:rsid w:val="0086358A"/>
    <w:pPr>
      <w:spacing w:after="160" w:line="240" w:lineRule="exact"/>
    </w:pPr>
    <w:rPr>
      <w:sz w:val="20"/>
      <w:szCs w:val="20"/>
      <w:vertAlign w:val="superscript"/>
    </w:rPr>
  </w:style>
  <w:style w:type="character" w:customStyle="1" w:styleId="Fuentedeprrafopredeter1">
    <w:name w:val="Fuente de párrafo predeter.1"/>
    <w:qFormat/>
    <w:rsid w:val="0086358A"/>
  </w:style>
  <w:style w:type="paragraph" w:customStyle="1" w:styleId="Standard">
    <w:name w:val="Standard"/>
    <w:qFormat/>
    <w:rsid w:val="0086358A"/>
    <w:pPr>
      <w:suppressAutoHyphens/>
      <w:textAlignment w:val="baseline"/>
    </w:pPr>
    <w:rPr>
      <w:rFonts w:ascii="Liberation Serif" w:eastAsia="Tahoma" w:hAnsi="Liberation Serif" w:cs="Lohit Devanagari"/>
      <w:color w:val="00000A"/>
      <w:sz w:val="24"/>
      <w:szCs w:val="24"/>
      <w:lang w:val="es-NI" w:eastAsia="zh-CN" w:bidi="hi-IN"/>
    </w:rPr>
  </w:style>
  <w:style w:type="paragraph" w:styleId="DocumentMap">
    <w:name w:val="Document Map"/>
    <w:basedOn w:val="Normal"/>
    <w:link w:val="DocumentMapChar"/>
    <w:uiPriority w:val="99"/>
    <w:semiHidden/>
    <w:unhideWhenUsed/>
    <w:rsid w:val="0086358A"/>
    <w:pPr>
      <w:spacing w:after="0" w:line="240" w:lineRule="auto"/>
      <w:jc w:val="both"/>
    </w:pPr>
    <w:rPr>
      <w:rFonts w:ascii="Lucida Grande" w:hAnsi="Lucida Grande"/>
      <w:sz w:val="24"/>
      <w:szCs w:val="24"/>
    </w:rPr>
  </w:style>
  <w:style w:type="character" w:customStyle="1" w:styleId="DocumentMapChar">
    <w:name w:val="Document Map Char"/>
    <w:link w:val="DocumentMap"/>
    <w:uiPriority w:val="99"/>
    <w:semiHidden/>
    <w:rsid w:val="0086358A"/>
    <w:rPr>
      <w:rFonts w:ascii="Lucida Grande" w:hAnsi="Lucida Grande"/>
      <w:sz w:val="24"/>
      <w:szCs w:val="24"/>
      <w:lang w:val="es-ES_tradnl"/>
    </w:rPr>
  </w:style>
  <w:style w:type="character" w:customStyle="1" w:styleId="Mencinsinresolver1">
    <w:name w:val="Mención sin resolver1"/>
    <w:uiPriority w:val="99"/>
    <w:semiHidden/>
    <w:unhideWhenUsed/>
    <w:rsid w:val="0086358A"/>
    <w:rPr>
      <w:color w:val="605E5C"/>
      <w:shd w:val="clear" w:color="auto" w:fill="E1DFDD"/>
    </w:rPr>
  </w:style>
  <w:style w:type="character" w:customStyle="1" w:styleId="Heading5Char">
    <w:name w:val="Heading 5 Char"/>
    <w:link w:val="Heading5"/>
    <w:uiPriority w:val="9"/>
    <w:rsid w:val="009C095D"/>
    <w:rPr>
      <w:rFonts w:ascii="Cambria" w:eastAsia="MS Mincho" w:hAnsi="Cambria"/>
      <w:b/>
      <w:sz w:val="22"/>
      <w:lang w:val="es-ES_tradnl"/>
    </w:rPr>
  </w:style>
  <w:style w:type="paragraph" w:customStyle="1" w:styleId="MediumGrid2-Accent11">
    <w:name w:val="Medium Grid 2 - Accent 11"/>
    <w:link w:val="MediumGrid2-Accent1Char"/>
    <w:uiPriority w:val="1"/>
    <w:qFormat/>
    <w:rsid w:val="009C095D"/>
    <w:rPr>
      <w:rFonts w:eastAsia="MS Mincho" w:cs="Arial"/>
      <w:lang w:val="en-US" w:eastAsia="ja-JP"/>
    </w:rPr>
  </w:style>
  <w:style w:type="character" w:customStyle="1" w:styleId="MediumGrid2-Accent1Char">
    <w:name w:val="Medium Grid 2 - Accent 1 Char"/>
    <w:link w:val="MediumGrid2-Accent11"/>
    <w:uiPriority w:val="1"/>
    <w:rsid w:val="009C095D"/>
    <w:rPr>
      <w:rFonts w:eastAsia="MS Mincho" w:cs="Arial"/>
      <w:sz w:val="22"/>
      <w:szCs w:val="22"/>
      <w:lang w:eastAsia="ja-JP"/>
    </w:rPr>
  </w:style>
  <w:style w:type="paragraph" w:customStyle="1" w:styleId="Default">
    <w:name w:val="Default"/>
    <w:rsid w:val="009C095D"/>
    <w:pPr>
      <w:autoSpaceDE w:val="0"/>
      <w:autoSpaceDN w:val="0"/>
      <w:adjustRightInd w:val="0"/>
    </w:pPr>
    <w:rPr>
      <w:rFonts w:ascii="Times New Roman" w:eastAsia="Arial Unicode MS" w:hAnsi="Times New Roman"/>
      <w:color w:val="000000"/>
      <w:sz w:val="24"/>
      <w:szCs w:val="24"/>
      <w:bdr w:val="nil"/>
      <w:lang w:val="en-US" w:eastAsia="es-ES"/>
    </w:rPr>
  </w:style>
  <w:style w:type="paragraph" w:styleId="PlainText">
    <w:name w:val="Plain Text"/>
    <w:basedOn w:val="Normal"/>
    <w:link w:val="PlainTextChar"/>
    <w:semiHidden/>
    <w:unhideWhenUsed/>
    <w:rsid w:val="009C095D"/>
    <w:pPr>
      <w:spacing w:after="0" w:line="240" w:lineRule="auto"/>
    </w:pPr>
    <w:rPr>
      <w:rFonts w:ascii="Courier New" w:eastAsia="Times New Roman" w:hAnsi="Courier New" w:cs="Courier New"/>
      <w:sz w:val="20"/>
      <w:szCs w:val="20"/>
    </w:rPr>
  </w:style>
  <w:style w:type="character" w:customStyle="1" w:styleId="PlainTextChar">
    <w:name w:val="Plain Text Char"/>
    <w:link w:val="PlainText"/>
    <w:semiHidden/>
    <w:rsid w:val="009C095D"/>
    <w:rPr>
      <w:rFonts w:ascii="Courier New" w:eastAsia="Times New Roman" w:hAnsi="Courier New" w:cs="Courier New"/>
    </w:rPr>
  </w:style>
  <w:style w:type="paragraph" w:customStyle="1" w:styleId="Numberedparagraphs">
    <w:name w:val="Numbered paragraphs"/>
    <w:basedOn w:val="Normal"/>
    <w:qFormat/>
    <w:rsid w:val="009C095D"/>
    <w:pPr>
      <w:numPr>
        <w:numId w:val="10"/>
      </w:numPr>
      <w:spacing w:after="240" w:line="240" w:lineRule="auto"/>
      <w:jc w:val="both"/>
    </w:pPr>
    <w:rPr>
      <w:rFonts w:ascii="Cambria" w:eastAsia="MS Mincho" w:hAnsi="Cambria"/>
      <w:sz w:val="20"/>
      <w:szCs w:val="20"/>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9C095D"/>
    <w:pPr>
      <w:spacing w:before="200" w:after="160" w:line="240" w:lineRule="exact"/>
    </w:pPr>
    <w:rPr>
      <w:rFonts w:eastAsia="MS Mincho"/>
      <w:sz w:val="20"/>
      <w:szCs w:val="20"/>
      <w:vertAlign w:val="superscript"/>
    </w:rPr>
  </w:style>
  <w:style w:type="paragraph" w:customStyle="1" w:styleId="western">
    <w:name w:val="western"/>
    <w:basedOn w:val="Normal"/>
    <w:rsid w:val="009C095D"/>
    <w:pPr>
      <w:spacing w:after="150" w:line="240" w:lineRule="auto"/>
      <w:jc w:val="both"/>
    </w:pPr>
    <w:rPr>
      <w:rFonts w:ascii="Times New Roman" w:eastAsia="Times New Roman" w:hAnsi="Times New Roman"/>
      <w:sz w:val="24"/>
      <w:szCs w:val="24"/>
    </w:rPr>
  </w:style>
  <w:style w:type="paragraph" w:customStyle="1" w:styleId="MediumShading1-Accent11">
    <w:name w:val="Medium Shading 1 - Accent 11"/>
    <w:uiPriority w:val="1"/>
    <w:qFormat/>
    <w:rsid w:val="009C095D"/>
    <w:rPr>
      <w:lang w:val="en-US"/>
    </w:rPr>
  </w:style>
  <w:style w:type="paragraph" w:customStyle="1" w:styleId="1">
    <w:name w:val="1"/>
    <w:basedOn w:val="Normal"/>
    <w:uiPriority w:val="99"/>
    <w:rsid w:val="009C095D"/>
    <w:pPr>
      <w:spacing w:after="160" w:line="240" w:lineRule="exact"/>
    </w:pPr>
    <w:rPr>
      <w:rFonts w:ascii="Cambria" w:eastAsia="MS Mincho" w:hAnsi="Cambria"/>
      <w:sz w:val="24"/>
      <w:szCs w:val="24"/>
      <w:vertAlign w:val="superscript"/>
      <w:lang w:eastAsia="es-ES"/>
    </w:rPr>
  </w:style>
  <w:style w:type="paragraph" w:customStyle="1" w:styleId="ColorfulList-Accent12">
    <w:name w:val="Colorful List - Accent 12"/>
    <w:basedOn w:val="Normal"/>
    <w:qFormat/>
    <w:rsid w:val="009C095D"/>
    <w:pPr>
      <w:ind w:left="720"/>
    </w:pPr>
    <w:rPr>
      <w:rFonts w:eastAsia="MS Mincho"/>
    </w:rPr>
  </w:style>
  <w:style w:type="paragraph" w:customStyle="1" w:styleId="p2">
    <w:name w:val="p2"/>
    <w:basedOn w:val="Normal"/>
    <w:rsid w:val="009C095D"/>
    <w:pPr>
      <w:spacing w:after="0" w:line="240" w:lineRule="auto"/>
    </w:pPr>
    <w:rPr>
      <w:rFonts w:ascii="Times New Roman" w:eastAsia="MS Mincho" w:hAnsi="Times New Roman"/>
      <w:sz w:val="17"/>
      <w:szCs w:val="17"/>
      <w:lang w:eastAsia="es-ES_tradnl"/>
    </w:rPr>
  </w:style>
  <w:style w:type="character" w:customStyle="1" w:styleId="negritas">
    <w:name w:val="negritas"/>
    <w:rsid w:val="009C095D"/>
  </w:style>
  <w:style w:type="paragraph" w:customStyle="1" w:styleId="alignjustify1">
    <w:name w:val="alignjustify1"/>
    <w:basedOn w:val="Normal"/>
    <w:rsid w:val="009C095D"/>
    <w:pPr>
      <w:spacing w:before="100" w:beforeAutospacing="1" w:after="240" w:line="240" w:lineRule="auto"/>
      <w:jc w:val="both"/>
    </w:pPr>
    <w:rPr>
      <w:rFonts w:ascii="Times New Roman" w:eastAsia="Times New Roman" w:hAnsi="Times New Roman"/>
      <w:sz w:val="24"/>
      <w:szCs w:val="24"/>
    </w:rPr>
  </w:style>
  <w:style w:type="paragraph" w:customStyle="1" w:styleId="CorpoA">
    <w:name w:val="Corpo A"/>
    <w:rsid w:val="009C095D"/>
    <w:pPr>
      <w:pBdr>
        <w:top w:val="nil"/>
        <w:left w:val="nil"/>
        <w:bottom w:val="nil"/>
        <w:right w:val="nil"/>
        <w:between w:val="nil"/>
        <w:bar w:val="nil"/>
      </w:pBdr>
      <w:spacing w:after="160" w:line="259" w:lineRule="auto"/>
    </w:pPr>
    <w:rPr>
      <w:color w:val="000000"/>
      <w:u w:color="000000"/>
      <w:bdr w:val="nil"/>
    </w:rPr>
  </w:style>
  <w:style w:type="character" w:customStyle="1" w:styleId="Hyperlink0">
    <w:name w:val="Hyperlink.0"/>
    <w:rsid w:val="009C095D"/>
    <w:rPr>
      <w:color w:val="000000"/>
      <w:u w:val="single" w:color="000000"/>
      <w:lang w:val="es-ES_tradnl"/>
    </w:rPr>
  </w:style>
  <w:style w:type="character" w:customStyle="1" w:styleId="Hyperlink2">
    <w:name w:val="Hyperlink.2"/>
    <w:rsid w:val="009C095D"/>
    <w:rPr>
      <w:color w:val="0000FF"/>
      <w:sz w:val="18"/>
      <w:szCs w:val="18"/>
      <w:u w:val="single" w:color="0000FF"/>
      <w:lang w:val="es-ES_tradnl"/>
    </w:rPr>
  </w:style>
  <w:style w:type="character" w:customStyle="1" w:styleId="Hyperlink3">
    <w:name w:val="Hyperlink.3"/>
    <w:rsid w:val="009C095D"/>
    <w:rPr>
      <w:color w:val="0000FF"/>
      <w:sz w:val="18"/>
      <w:szCs w:val="18"/>
      <w:u w:val="single" w:color="0000FF"/>
    </w:rPr>
  </w:style>
  <w:style w:type="character" w:customStyle="1" w:styleId="Hyperlink4">
    <w:name w:val="Hyperlink.4"/>
    <w:rsid w:val="009C095D"/>
    <w:rPr>
      <w:color w:val="000000"/>
      <w:sz w:val="18"/>
      <w:szCs w:val="18"/>
      <w:u w:val="single" w:color="000000"/>
    </w:rPr>
  </w:style>
  <w:style w:type="paragraph" w:customStyle="1" w:styleId="m-8320586899623630245numberedparagraphs">
    <w:name w:val="m_-8320586899623630245numberedparagraphs"/>
    <w:basedOn w:val="Normal"/>
    <w:rsid w:val="009C095D"/>
    <w:pPr>
      <w:spacing w:before="100" w:beforeAutospacing="1" w:after="100" w:afterAutospacing="1" w:line="240" w:lineRule="auto"/>
    </w:pPr>
    <w:rPr>
      <w:rFonts w:ascii="Times New Roman" w:hAnsi="Times New Roman"/>
      <w:sz w:val="24"/>
      <w:szCs w:val="24"/>
    </w:rPr>
  </w:style>
  <w:style w:type="paragraph" w:customStyle="1" w:styleId="Appelnotedebasde">
    <w:name w:val="Appel note de bas de..."/>
    <w:basedOn w:val="Normal"/>
    <w:uiPriority w:val="99"/>
    <w:rsid w:val="009C095D"/>
    <w:pPr>
      <w:spacing w:after="160" w:line="240" w:lineRule="exact"/>
    </w:pPr>
    <w:rPr>
      <w:rFonts w:eastAsia="MS Mincho"/>
      <w:sz w:val="24"/>
      <w:szCs w:val="24"/>
      <w:vertAlign w:val="superscript"/>
      <w:lang w:val="es-SV" w:eastAsia="es-ES_tradnl"/>
    </w:rPr>
  </w:style>
  <w:style w:type="character" w:customStyle="1" w:styleId="m002d8320586899623630245numberedparagraphschar">
    <w:name w:val="m___002d8320586899623630245numberedparagraphs__char"/>
    <w:rsid w:val="009C095D"/>
  </w:style>
  <w:style w:type="table" w:styleId="TableGrid">
    <w:name w:val="Table Grid"/>
    <w:basedOn w:val="TableNormal"/>
    <w:uiPriority w:val="59"/>
    <w:rsid w:val="00BA5B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724AB3"/>
  </w:style>
  <w:style w:type="paragraph" w:styleId="TOC2">
    <w:name w:val="toc 2"/>
    <w:basedOn w:val="Normal"/>
    <w:next w:val="Normal"/>
    <w:autoRedefine/>
    <w:uiPriority w:val="39"/>
    <w:unhideWhenUsed/>
    <w:rsid w:val="00724AB3"/>
    <w:pPr>
      <w:ind w:left="220"/>
    </w:pPr>
  </w:style>
  <w:style w:type="paragraph" w:styleId="TOC4">
    <w:name w:val="toc 4"/>
    <w:basedOn w:val="Normal"/>
    <w:next w:val="Normal"/>
    <w:autoRedefine/>
    <w:uiPriority w:val="39"/>
    <w:unhideWhenUsed/>
    <w:rsid w:val="00724AB3"/>
    <w:pPr>
      <w:ind w:left="660"/>
    </w:pPr>
  </w:style>
  <w:style w:type="paragraph" w:styleId="TOC5">
    <w:name w:val="toc 5"/>
    <w:basedOn w:val="Normal"/>
    <w:next w:val="Normal"/>
    <w:autoRedefine/>
    <w:uiPriority w:val="39"/>
    <w:unhideWhenUsed/>
    <w:rsid w:val="00724AB3"/>
    <w:pPr>
      <w:ind w:left="880"/>
    </w:pPr>
  </w:style>
  <w:style w:type="paragraph" w:styleId="TOC6">
    <w:name w:val="toc 6"/>
    <w:basedOn w:val="Normal"/>
    <w:next w:val="Normal"/>
    <w:autoRedefine/>
    <w:uiPriority w:val="39"/>
    <w:unhideWhenUsed/>
    <w:rsid w:val="00724AB3"/>
    <w:pPr>
      <w:ind w:left="1100"/>
    </w:pPr>
  </w:style>
  <w:style w:type="paragraph" w:styleId="TOC7">
    <w:name w:val="toc 7"/>
    <w:basedOn w:val="Normal"/>
    <w:next w:val="Normal"/>
    <w:autoRedefine/>
    <w:uiPriority w:val="39"/>
    <w:unhideWhenUsed/>
    <w:rsid w:val="00724AB3"/>
    <w:pPr>
      <w:ind w:left="1320"/>
    </w:pPr>
  </w:style>
  <w:style w:type="paragraph" w:styleId="TOC8">
    <w:name w:val="toc 8"/>
    <w:basedOn w:val="Normal"/>
    <w:next w:val="Normal"/>
    <w:autoRedefine/>
    <w:uiPriority w:val="39"/>
    <w:unhideWhenUsed/>
    <w:rsid w:val="00724AB3"/>
    <w:pPr>
      <w:ind w:left="1540"/>
    </w:pPr>
  </w:style>
  <w:style w:type="paragraph" w:styleId="TOC9">
    <w:name w:val="toc 9"/>
    <w:basedOn w:val="Normal"/>
    <w:next w:val="Normal"/>
    <w:autoRedefine/>
    <w:uiPriority w:val="39"/>
    <w:unhideWhenUsed/>
    <w:rsid w:val="00724AB3"/>
    <w:pPr>
      <w:ind w:left="1760"/>
    </w:pPr>
  </w:style>
  <w:style w:type="paragraph" w:customStyle="1" w:styleId="CuerpoB">
    <w:name w:val="Cuerpo B"/>
    <w:rsid w:val="00C878BC"/>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lang w:eastAsia="es-MX"/>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qFormat/>
    <w:rsid w:val="00F47763"/>
    <w:pPr>
      <w:pBdr>
        <w:top w:val="nil"/>
        <w:left w:val="nil"/>
        <w:bottom w:val="nil"/>
        <w:right w:val="nil"/>
        <w:between w:val="nil"/>
        <w:bar w:val="nil"/>
      </w:pBdr>
      <w:spacing w:after="160" w:line="240" w:lineRule="auto"/>
    </w:pPr>
    <w:rPr>
      <w:rFonts w:asciiTheme="minorHAnsi" w:hAnsiTheme="minorHAnsi" w:cstheme="minorBidi"/>
      <w:sz w:val="18"/>
      <w:szCs w:val="24"/>
      <w:vertAlign w:val="superscript"/>
      <w:lang w:val="en-US"/>
    </w:rPr>
  </w:style>
  <w:style w:type="paragraph" w:styleId="EndnoteText">
    <w:name w:val="endnote text"/>
    <w:basedOn w:val="Normal"/>
    <w:link w:val="EndnoteTextChar"/>
    <w:uiPriority w:val="99"/>
    <w:semiHidden/>
    <w:unhideWhenUsed/>
    <w:rsid w:val="00F7549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75495"/>
  </w:style>
  <w:style w:type="character" w:styleId="EndnoteReference">
    <w:name w:val="endnote reference"/>
    <w:basedOn w:val="DefaultParagraphFont"/>
    <w:uiPriority w:val="99"/>
    <w:semiHidden/>
    <w:unhideWhenUsed/>
    <w:rsid w:val="00F75495"/>
    <w:rPr>
      <w:vertAlign w:val="superscript"/>
    </w:rPr>
  </w:style>
  <w:style w:type="character" w:customStyle="1" w:styleId="Mencinsinresolver2">
    <w:name w:val="Mención sin resolver2"/>
    <w:basedOn w:val="DefaultParagraphFont"/>
    <w:uiPriority w:val="99"/>
    <w:semiHidden/>
    <w:unhideWhenUsed/>
    <w:rsid w:val="00913DE4"/>
    <w:rPr>
      <w:color w:val="605E5C"/>
      <w:shd w:val="clear" w:color="auto" w:fill="E1DFDD"/>
    </w:rPr>
  </w:style>
  <w:style w:type="character" w:customStyle="1" w:styleId="Mencinsinresolver20">
    <w:name w:val="Mención sin resolver20"/>
    <w:basedOn w:val="DefaultParagraphFont"/>
    <w:uiPriority w:val="99"/>
    <w:semiHidden/>
    <w:unhideWhenUsed/>
    <w:rsid w:val="000B21EB"/>
    <w:rPr>
      <w:color w:val="605E5C"/>
      <w:shd w:val="clear" w:color="auto" w:fill="E1DFDD"/>
    </w:rPr>
  </w:style>
  <w:style w:type="character" w:customStyle="1" w:styleId="UnresolvedMention1">
    <w:name w:val="Unresolved Mention1"/>
    <w:basedOn w:val="DefaultParagraphFont"/>
    <w:uiPriority w:val="99"/>
    <w:semiHidden/>
    <w:unhideWhenUsed/>
    <w:rsid w:val="00122D8A"/>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normaltextrun">
    <w:name w:val="normaltextrun"/>
    <w:basedOn w:val="DefaultParagraphFont"/>
    <w:rsid w:val="00D84241"/>
  </w:style>
  <w:style w:type="character" w:customStyle="1" w:styleId="UnresolvedMention2">
    <w:name w:val="Unresolved Mention2"/>
    <w:basedOn w:val="DefaultParagraphFont"/>
    <w:uiPriority w:val="99"/>
    <w:semiHidden/>
    <w:unhideWhenUsed/>
    <w:rsid w:val="00B401A7"/>
    <w:rPr>
      <w:color w:val="605E5C"/>
      <w:shd w:val="clear" w:color="auto" w:fill="E1DFDD"/>
    </w:rPr>
  </w:style>
  <w:style w:type="character" w:customStyle="1" w:styleId="superscript">
    <w:name w:val="superscript"/>
    <w:basedOn w:val="DefaultParagraphFont"/>
    <w:rsid w:val="00372330"/>
  </w:style>
  <w:style w:type="character" w:customStyle="1" w:styleId="UnresolvedMention3">
    <w:name w:val="Unresolved Mention3"/>
    <w:basedOn w:val="DefaultParagraphFont"/>
    <w:uiPriority w:val="99"/>
    <w:semiHidden/>
    <w:unhideWhenUsed/>
    <w:rsid w:val="00DA5567"/>
    <w:rPr>
      <w:color w:val="605E5C"/>
      <w:shd w:val="clear" w:color="auto" w:fill="E1DFDD"/>
    </w:rPr>
  </w:style>
  <w:style w:type="character" w:customStyle="1" w:styleId="UnresolvedMention5">
    <w:name w:val="Unresolved Mention5"/>
    <w:basedOn w:val="DefaultParagraphFont"/>
    <w:uiPriority w:val="99"/>
    <w:semiHidden/>
    <w:unhideWhenUsed/>
    <w:rsid w:val="0057034F"/>
    <w:rPr>
      <w:color w:val="605E5C"/>
      <w:shd w:val="clear" w:color="auto" w:fill="E1DFDD"/>
    </w:rPr>
  </w:style>
  <w:style w:type="character" w:customStyle="1" w:styleId="UnresolvedMention4">
    <w:name w:val="Unresolved Mention4"/>
    <w:basedOn w:val="DefaultParagraphFont"/>
    <w:uiPriority w:val="99"/>
    <w:semiHidden/>
    <w:unhideWhenUsed/>
    <w:rsid w:val="00D77312"/>
    <w:rPr>
      <w:color w:val="605E5C"/>
      <w:shd w:val="clear" w:color="auto" w:fill="E1DFDD"/>
    </w:rPr>
  </w:style>
  <w:style w:type="character" w:customStyle="1" w:styleId="eop">
    <w:name w:val="eop"/>
    <w:basedOn w:val="DefaultParagraphFont"/>
    <w:rsid w:val="006A44FD"/>
  </w:style>
  <w:style w:type="character" w:customStyle="1" w:styleId="findhit">
    <w:name w:val="findhit"/>
    <w:basedOn w:val="DefaultParagraphFont"/>
    <w:rsid w:val="006A44FD"/>
  </w:style>
  <w:style w:type="paragraph" w:customStyle="1" w:styleId="paragraph">
    <w:name w:val="paragraph"/>
    <w:basedOn w:val="Normal"/>
    <w:rsid w:val="00496AC0"/>
    <w:pPr>
      <w:spacing w:before="100" w:beforeAutospacing="1" w:after="100" w:afterAutospacing="1" w:line="240" w:lineRule="auto"/>
    </w:pPr>
    <w:rPr>
      <w:rFonts w:ascii="Times New Roman" w:eastAsia="Times New Roman" w:hAnsi="Times New Roman" w:cs="Times New Roman"/>
      <w:sz w:val="24"/>
      <w:szCs w:val="24"/>
      <w:lang w:val="es-US"/>
    </w:rPr>
  </w:style>
  <w:style w:type="character" w:customStyle="1" w:styleId="UnresolvedMention6">
    <w:name w:val="Unresolved Mention6"/>
    <w:basedOn w:val="DefaultParagraphFont"/>
    <w:uiPriority w:val="99"/>
    <w:semiHidden/>
    <w:unhideWhenUsed/>
    <w:rsid w:val="00F138A8"/>
    <w:rPr>
      <w:color w:val="605E5C"/>
      <w:shd w:val="clear" w:color="auto" w:fill="E1DFDD"/>
    </w:rPr>
  </w:style>
  <w:style w:type="character" w:customStyle="1" w:styleId="UnresolvedMention7">
    <w:name w:val="Unresolved Mention7"/>
    <w:basedOn w:val="DefaultParagraphFont"/>
    <w:uiPriority w:val="99"/>
    <w:semiHidden/>
    <w:unhideWhenUsed/>
    <w:rsid w:val="00460769"/>
    <w:rPr>
      <w:color w:val="605E5C"/>
      <w:shd w:val="clear" w:color="auto" w:fill="E1DFDD"/>
    </w:rPr>
  </w:style>
  <w:style w:type="character" w:customStyle="1" w:styleId="Mencinsinresolver3">
    <w:name w:val="Mención sin resolver3"/>
    <w:basedOn w:val="DefaultParagraphFont"/>
    <w:uiPriority w:val="99"/>
    <w:semiHidden/>
    <w:unhideWhenUsed/>
    <w:rsid w:val="00BE1FEB"/>
    <w:rPr>
      <w:color w:val="605E5C"/>
      <w:shd w:val="clear" w:color="auto" w:fill="E1DFDD"/>
    </w:rPr>
  </w:style>
  <w:style w:type="character" w:customStyle="1" w:styleId="Mencinsinresolver4">
    <w:name w:val="Mención sin resolver4"/>
    <w:basedOn w:val="DefaultParagraphFont"/>
    <w:uiPriority w:val="99"/>
    <w:semiHidden/>
    <w:unhideWhenUsed/>
    <w:rsid w:val="007C1F0D"/>
    <w:rPr>
      <w:color w:val="605E5C"/>
      <w:shd w:val="clear" w:color="auto" w:fill="E1DFDD"/>
    </w:rPr>
  </w:style>
  <w:style w:type="character" w:customStyle="1" w:styleId="Mencinsinresolver5">
    <w:name w:val="Mención sin resolver5"/>
    <w:basedOn w:val="DefaultParagraphFont"/>
    <w:uiPriority w:val="99"/>
    <w:semiHidden/>
    <w:unhideWhenUsed/>
    <w:rsid w:val="005304F2"/>
    <w:rPr>
      <w:color w:val="605E5C"/>
      <w:shd w:val="clear" w:color="auto" w:fill="E1DFDD"/>
    </w:rPr>
  </w:style>
  <w:style w:type="character" w:customStyle="1" w:styleId="UnresolvedMention8">
    <w:name w:val="Unresolved Mention8"/>
    <w:basedOn w:val="DefaultParagraphFont"/>
    <w:uiPriority w:val="99"/>
    <w:semiHidden/>
    <w:unhideWhenUsed/>
    <w:rsid w:val="00920DE3"/>
    <w:rPr>
      <w:color w:val="605E5C"/>
      <w:shd w:val="clear" w:color="auto" w:fill="E1DFDD"/>
    </w:rPr>
  </w:style>
  <w:style w:type="character" w:styleId="UnresolvedMention">
    <w:name w:val="Unresolved Mention"/>
    <w:basedOn w:val="DefaultParagraphFont"/>
    <w:uiPriority w:val="99"/>
    <w:semiHidden/>
    <w:unhideWhenUsed/>
    <w:rsid w:val="00A122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94632">
      <w:bodyDiv w:val="1"/>
      <w:marLeft w:val="0"/>
      <w:marRight w:val="0"/>
      <w:marTop w:val="0"/>
      <w:marBottom w:val="0"/>
      <w:divBdr>
        <w:top w:val="none" w:sz="0" w:space="0" w:color="auto"/>
        <w:left w:val="none" w:sz="0" w:space="0" w:color="auto"/>
        <w:bottom w:val="none" w:sz="0" w:space="0" w:color="auto"/>
        <w:right w:val="none" w:sz="0" w:space="0" w:color="auto"/>
      </w:divBdr>
    </w:div>
    <w:div w:id="144592036">
      <w:bodyDiv w:val="1"/>
      <w:marLeft w:val="0"/>
      <w:marRight w:val="0"/>
      <w:marTop w:val="0"/>
      <w:marBottom w:val="0"/>
      <w:divBdr>
        <w:top w:val="none" w:sz="0" w:space="0" w:color="auto"/>
        <w:left w:val="none" w:sz="0" w:space="0" w:color="auto"/>
        <w:bottom w:val="none" w:sz="0" w:space="0" w:color="auto"/>
        <w:right w:val="none" w:sz="0" w:space="0" w:color="auto"/>
      </w:divBdr>
    </w:div>
    <w:div w:id="149297299">
      <w:bodyDiv w:val="1"/>
      <w:marLeft w:val="0"/>
      <w:marRight w:val="0"/>
      <w:marTop w:val="0"/>
      <w:marBottom w:val="0"/>
      <w:divBdr>
        <w:top w:val="none" w:sz="0" w:space="0" w:color="auto"/>
        <w:left w:val="none" w:sz="0" w:space="0" w:color="auto"/>
        <w:bottom w:val="none" w:sz="0" w:space="0" w:color="auto"/>
        <w:right w:val="none" w:sz="0" w:space="0" w:color="auto"/>
      </w:divBdr>
    </w:div>
    <w:div w:id="193932866">
      <w:bodyDiv w:val="1"/>
      <w:marLeft w:val="0"/>
      <w:marRight w:val="0"/>
      <w:marTop w:val="0"/>
      <w:marBottom w:val="0"/>
      <w:divBdr>
        <w:top w:val="none" w:sz="0" w:space="0" w:color="auto"/>
        <w:left w:val="none" w:sz="0" w:space="0" w:color="auto"/>
        <w:bottom w:val="none" w:sz="0" w:space="0" w:color="auto"/>
        <w:right w:val="none" w:sz="0" w:space="0" w:color="auto"/>
      </w:divBdr>
    </w:div>
    <w:div w:id="207838255">
      <w:bodyDiv w:val="1"/>
      <w:marLeft w:val="0"/>
      <w:marRight w:val="0"/>
      <w:marTop w:val="0"/>
      <w:marBottom w:val="0"/>
      <w:divBdr>
        <w:top w:val="none" w:sz="0" w:space="0" w:color="auto"/>
        <w:left w:val="none" w:sz="0" w:space="0" w:color="auto"/>
        <w:bottom w:val="none" w:sz="0" w:space="0" w:color="auto"/>
        <w:right w:val="none" w:sz="0" w:space="0" w:color="auto"/>
      </w:divBdr>
    </w:div>
    <w:div w:id="215703956">
      <w:bodyDiv w:val="1"/>
      <w:marLeft w:val="0"/>
      <w:marRight w:val="0"/>
      <w:marTop w:val="0"/>
      <w:marBottom w:val="0"/>
      <w:divBdr>
        <w:top w:val="none" w:sz="0" w:space="0" w:color="auto"/>
        <w:left w:val="none" w:sz="0" w:space="0" w:color="auto"/>
        <w:bottom w:val="none" w:sz="0" w:space="0" w:color="auto"/>
        <w:right w:val="none" w:sz="0" w:space="0" w:color="auto"/>
      </w:divBdr>
    </w:div>
    <w:div w:id="264922231">
      <w:bodyDiv w:val="1"/>
      <w:marLeft w:val="0"/>
      <w:marRight w:val="0"/>
      <w:marTop w:val="0"/>
      <w:marBottom w:val="0"/>
      <w:divBdr>
        <w:top w:val="none" w:sz="0" w:space="0" w:color="auto"/>
        <w:left w:val="none" w:sz="0" w:space="0" w:color="auto"/>
        <w:bottom w:val="none" w:sz="0" w:space="0" w:color="auto"/>
        <w:right w:val="none" w:sz="0" w:space="0" w:color="auto"/>
      </w:divBdr>
    </w:div>
    <w:div w:id="305862466">
      <w:bodyDiv w:val="1"/>
      <w:marLeft w:val="0"/>
      <w:marRight w:val="0"/>
      <w:marTop w:val="0"/>
      <w:marBottom w:val="0"/>
      <w:divBdr>
        <w:top w:val="none" w:sz="0" w:space="0" w:color="auto"/>
        <w:left w:val="none" w:sz="0" w:space="0" w:color="auto"/>
        <w:bottom w:val="none" w:sz="0" w:space="0" w:color="auto"/>
        <w:right w:val="none" w:sz="0" w:space="0" w:color="auto"/>
      </w:divBdr>
    </w:div>
    <w:div w:id="332149126">
      <w:bodyDiv w:val="1"/>
      <w:marLeft w:val="0"/>
      <w:marRight w:val="0"/>
      <w:marTop w:val="0"/>
      <w:marBottom w:val="0"/>
      <w:divBdr>
        <w:top w:val="none" w:sz="0" w:space="0" w:color="auto"/>
        <w:left w:val="none" w:sz="0" w:space="0" w:color="auto"/>
        <w:bottom w:val="none" w:sz="0" w:space="0" w:color="auto"/>
        <w:right w:val="none" w:sz="0" w:space="0" w:color="auto"/>
      </w:divBdr>
    </w:div>
    <w:div w:id="390083335">
      <w:bodyDiv w:val="1"/>
      <w:marLeft w:val="0"/>
      <w:marRight w:val="0"/>
      <w:marTop w:val="0"/>
      <w:marBottom w:val="0"/>
      <w:divBdr>
        <w:top w:val="none" w:sz="0" w:space="0" w:color="auto"/>
        <w:left w:val="none" w:sz="0" w:space="0" w:color="auto"/>
        <w:bottom w:val="none" w:sz="0" w:space="0" w:color="auto"/>
        <w:right w:val="none" w:sz="0" w:space="0" w:color="auto"/>
      </w:divBdr>
    </w:div>
    <w:div w:id="473184625">
      <w:bodyDiv w:val="1"/>
      <w:marLeft w:val="0"/>
      <w:marRight w:val="0"/>
      <w:marTop w:val="0"/>
      <w:marBottom w:val="0"/>
      <w:divBdr>
        <w:top w:val="none" w:sz="0" w:space="0" w:color="auto"/>
        <w:left w:val="none" w:sz="0" w:space="0" w:color="auto"/>
        <w:bottom w:val="none" w:sz="0" w:space="0" w:color="auto"/>
        <w:right w:val="none" w:sz="0" w:space="0" w:color="auto"/>
      </w:divBdr>
    </w:div>
    <w:div w:id="487288359">
      <w:bodyDiv w:val="1"/>
      <w:marLeft w:val="0"/>
      <w:marRight w:val="0"/>
      <w:marTop w:val="0"/>
      <w:marBottom w:val="0"/>
      <w:divBdr>
        <w:top w:val="none" w:sz="0" w:space="0" w:color="auto"/>
        <w:left w:val="none" w:sz="0" w:space="0" w:color="auto"/>
        <w:bottom w:val="none" w:sz="0" w:space="0" w:color="auto"/>
        <w:right w:val="none" w:sz="0" w:space="0" w:color="auto"/>
      </w:divBdr>
    </w:div>
    <w:div w:id="487595133">
      <w:bodyDiv w:val="1"/>
      <w:marLeft w:val="0"/>
      <w:marRight w:val="0"/>
      <w:marTop w:val="0"/>
      <w:marBottom w:val="0"/>
      <w:divBdr>
        <w:top w:val="none" w:sz="0" w:space="0" w:color="auto"/>
        <w:left w:val="none" w:sz="0" w:space="0" w:color="auto"/>
        <w:bottom w:val="none" w:sz="0" w:space="0" w:color="auto"/>
        <w:right w:val="none" w:sz="0" w:space="0" w:color="auto"/>
      </w:divBdr>
    </w:div>
    <w:div w:id="564335307">
      <w:bodyDiv w:val="1"/>
      <w:marLeft w:val="0"/>
      <w:marRight w:val="0"/>
      <w:marTop w:val="0"/>
      <w:marBottom w:val="0"/>
      <w:divBdr>
        <w:top w:val="none" w:sz="0" w:space="0" w:color="auto"/>
        <w:left w:val="none" w:sz="0" w:space="0" w:color="auto"/>
        <w:bottom w:val="none" w:sz="0" w:space="0" w:color="auto"/>
        <w:right w:val="none" w:sz="0" w:space="0" w:color="auto"/>
      </w:divBdr>
    </w:div>
    <w:div w:id="586769288">
      <w:bodyDiv w:val="1"/>
      <w:marLeft w:val="0"/>
      <w:marRight w:val="0"/>
      <w:marTop w:val="0"/>
      <w:marBottom w:val="0"/>
      <w:divBdr>
        <w:top w:val="none" w:sz="0" w:space="0" w:color="auto"/>
        <w:left w:val="none" w:sz="0" w:space="0" w:color="auto"/>
        <w:bottom w:val="none" w:sz="0" w:space="0" w:color="auto"/>
        <w:right w:val="none" w:sz="0" w:space="0" w:color="auto"/>
      </w:divBdr>
    </w:div>
    <w:div w:id="630138576">
      <w:bodyDiv w:val="1"/>
      <w:marLeft w:val="0"/>
      <w:marRight w:val="0"/>
      <w:marTop w:val="0"/>
      <w:marBottom w:val="0"/>
      <w:divBdr>
        <w:top w:val="none" w:sz="0" w:space="0" w:color="auto"/>
        <w:left w:val="none" w:sz="0" w:space="0" w:color="auto"/>
        <w:bottom w:val="none" w:sz="0" w:space="0" w:color="auto"/>
        <w:right w:val="none" w:sz="0" w:space="0" w:color="auto"/>
      </w:divBdr>
    </w:div>
    <w:div w:id="647326183">
      <w:bodyDiv w:val="1"/>
      <w:marLeft w:val="0"/>
      <w:marRight w:val="0"/>
      <w:marTop w:val="0"/>
      <w:marBottom w:val="0"/>
      <w:divBdr>
        <w:top w:val="none" w:sz="0" w:space="0" w:color="auto"/>
        <w:left w:val="none" w:sz="0" w:space="0" w:color="auto"/>
        <w:bottom w:val="none" w:sz="0" w:space="0" w:color="auto"/>
        <w:right w:val="none" w:sz="0" w:space="0" w:color="auto"/>
      </w:divBdr>
    </w:div>
    <w:div w:id="671879539">
      <w:bodyDiv w:val="1"/>
      <w:marLeft w:val="0"/>
      <w:marRight w:val="0"/>
      <w:marTop w:val="0"/>
      <w:marBottom w:val="0"/>
      <w:divBdr>
        <w:top w:val="none" w:sz="0" w:space="0" w:color="auto"/>
        <w:left w:val="none" w:sz="0" w:space="0" w:color="auto"/>
        <w:bottom w:val="none" w:sz="0" w:space="0" w:color="auto"/>
        <w:right w:val="none" w:sz="0" w:space="0" w:color="auto"/>
      </w:divBdr>
    </w:div>
    <w:div w:id="705907033">
      <w:bodyDiv w:val="1"/>
      <w:marLeft w:val="0"/>
      <w:marRight w:val="0"/>
      <w:marTop w:val="0"/>
      <w:marBottom w:val="0"/>
      <w:divBdr>
        <w:top w:val="none" w:sz="0" w:space="0" w:color="auto"/>
        <w:left w:val="none" w:sz="0" w:space="0" w:color="auto"/>
        <w:bottom w:val="none" w:sz="0" w:space="0" w:color="auto"/>
        <w:right w:val="none" w:sz="0" w:space="0" w:color="auto"/>
      </w:divBdr>
    </w:div>
    <w:div w:id="715735072">
      <w:bodyDiv w:val="1"/>
      <w:marLeft w:val="0"/>
      <w:marRight w:val="0"/>
      <w:marTop w:val="0"/>
      <w:marBottom w:val="0"/>
      <w:divBdr>
        <w:top w:val="none" w:sz="0" w:space="0" w:color="auto"/>
        <w:left w:val="none" w:sz="0" w:space="0" w:color="auto"/>
        <w:bottom w:val="none" w:sz="0" w:space="0" w:color="auto"/>
        <w:right w:val="none" w:sz="0" w:space="0" w:color="auto"/>
      </w:divBdr>
    </w:div>
    <w:div w:id="755249837">
      <w:bodyDiv w:val="1"/>
      <w:marLeft w:val="0"/>
      <w:marRight w:val="0"/>
      <w:marTop w:val="0"/>
      <w:marBottom w:val="0"/>
      <w:divBdr>
        <w:top w:val="none" w:sz="0" w:space="0" w:color="auto"/>
        <w:left w:val="none" w:sz="0" w:space="0" w:color="auto"/>
        <w:bottom w:val="none" w:sz="0" w:space="0" w:color="auto"/>
        <w:right w:val="none" w:sz="0" w:space="0" w:color="auto"/>
      </w:divBdr>
    </w:div>
    <w:div w:id="795639410">
      <w:bodyDiv w:val="1"/>
      <w:marLeft w:val="0"/>
      <w:marRight w:val="0"/>
      <w:marTop w:val="0"/>
      <w:marBottom w:val="0"/>
      <w:divBdr>
        <w:top w:val="none" w:sz="0" w:space="0" w:color="auto"/>
        <w:left w:val="none" w:sz="0" w:space="0" w:color="auto"/>
        <w:bottom w:val="none" w:sz="0" w:space="0" w:color="auto"/>
        <w:right w:val="none" w:sz="0" w:space="0" w:color="auto"/>
      </w:divBdr>
    </w:div>
    <w:div w:id="804351286">
      <w:bodyDiv w:val="1"/>
      <w:marLeft w:val="0"/>
      <w:marRight w:val="0"/>
      <w:marTop w:val="0"/>
      <w:marBottom w:val="0"/>
      <w:divBdr>
        <w:top w:val="none" w:sz="0" w:space="0" w:color="auto"/>
        <w:left w:val="none" w:sz="0" w:space="0" w:color="auto"/>
        <w:bottom w:val="none" w:sz="0" w:space="0" w:color="auto"/>
        <w:right w:val="none" w:sz="0" w:space="0" w:color="auto"/>
      </w:divBdr>
    </w:div>
    <w:div w:id="827785923">
      <w:bodyDiv w:val="1"/>
      <w:marLeft w:val="0"/>
      <w:marRight w:val="0"/>
      <w:marTop w:val="0"/>
      <w:marBottom w:val="0"/>
      <w:divBdr>
        <w:top w:val="none" w:sz="0" w:space="0" w:color="auto"/>
        <w:left w:val="none" w:sz="0" w:space="0" w:color="auto"/>
        <w:bottom w:val="none" w:sz="0" w:space="0" w:color="auto"/>
        <w:right w:val="none" w:sz="0" w:space="0" w:color="auto"/>
      </w:divBdr>
    </w:div>
    <w:div w:id="843206174">
      <w:bodyDiv w:val="1"/>
      <w:marLeft w:val="0"/>
      <w:marRight w:val="0"/>
      <w:marTop w:val="0"/>
      <w:marBottom w:val="0"/>
      <w:divBdr>
        <w:top w:val="none" w:sz="0" w:space="0" w:color="auto"/>
        <w:left w:val="none" w:sz="0" w:space="0" w:color="auto"/>
        <w:bottom w:val="none" w:sz="0" w:space="0" w:color="auto"/>
        <w:right w:val="none" w:sz="0" w:space="0" w:color="auto"/>
      </w:divBdr>
    </w:div>
    <w:div w:id="867909021">
      <w:bodyDiv w:val="1"/>
      <w:marLeft w:val="0"/>
      <w:marRight w:val="0"/>
      <w:marTop w:val="0"/>
      <w:marBottom w:val="0"/>
      <w:divBdr>
        <w:top w:val="none" w:sz="0" w:space="0" w:color="auto"/>
        <w:left w:val="none" w:sz="0" w:space="0" w:color="auto"/>
        <w:bottom w:val="none" w:sz="0" w:space="0" w:color="auto"/>
        <w:right w:val="none" w:sz="0" w:space="0" w:color="auto"/>
      </w:divBdr>
    </w:div>
    <w:div w:id="869613964">
      <w:bodyDiv w:val="1"/>
      <w:marLeft w:val="0"/>
      <w:marRight w:val="0"/>
      <w:marTop w:val="0"/>
      <w:marBottom w:val="0"/>
      <w:divBdr>
        <w:top w:val="none" w:sz="0" w:space="0" w:color="auto"/>
        <w:left w:val="none" w:sz="0" w:space="0" w:color="auto"/>
        <w:bottom w:val="none" w:sz="0" w:space="0" w:color="auto"/>
        <w:right w:val="none" w:sz="0" w:space="0" w:color="auto"/>
      </w:divBdr>
    </w:div>
    <w:div w:id="906525766">
      <w:bodyDiv w:val="1"/>
      <w:marLeft w:val="0"/>
      <w:marRight w:val="0"/>
      <w:marTop w:val="0"/>
      <w:marBottom w:val="0"/>
      <w:divBdr>
        <w:top w:val="none" w:sz="0" w:space="0" w:color="auto"/>
        <w:left w:val="none" w:sz="0" w:space="0" w:color="auto"/>
        <w:bottom w:val="none" w:sz="0" w:space="0" w:color="auto"/>
        <w:right w:val="none" w:sz="0" w:space="0" w:color="auto"/>
      </w:divBdr>
    </w:div>
    <w:div w:id="935477979">
      <w:bodyDiv w:val="1"/>
      <w:marLeft w:val="0"/>
      <w:marRight w:val="0"/>
      <w:marTop w:val="0"/>
      <w:marBottom w:val="0"/>
      <w:divBdr>
        <w:top w:val="none" w:sz="0" w:space="0" w:color="auto"/>
        <w:left w:val="none" w:sz="0" w:space="0" w:color="auto"/>
        <w:bottom w:val="none" w:sz="0" w:space="0" w:color="auto"/>
        <w:right w:val="none" w:sz="0" w:space="0" w:color="auto"/>
      </w:divBdr>
    </w:div>
    <w:div w:id="942761773">
      <w:bodyDiv w:val="1"/>
      <w:marLeft w:val="0"/>
      <w:marRight w:val="0"/>
      <w:marTop w:val="0"/>
      <w:marBottom w:val="0"/>
      <w:divBdr>
        <w:top w:val="none" w:sz="0" w:space="0" w:color="auto"/>
        <w:left w:val="none" w:sz="0" w:space="0" w:color="auto"/>
        <w:bottom w:val="none" w:sz="0" w:space="0" w:color="auto"/>
        <w:right w:val="none" w:sz="0" w:space="0" w:color="auto"/>
      </w:divBdr>
    </w:div>
    <w:div w:id="962342519">
      <w:bodyDiv w:val="1"/>
      <w:marLeft w:val="0"/>
      <w:marRight w:val="0"/>
      <w:marTop w:val="0"/>
      <w:marBottom w:val="0"/>
      <w:divBdr>
        <w:top w:val="none" w:sz="0" w:space="0" w:color="auto"/>
        <w:left w:val="none" w:sz="0" w:space="0" w:color="auto"/>
        <w:bottom w:val="none" w:sz="0" w:space="0" w:color="auto"/>
        <w:right w:val="none" w:sz="0" w:space="0" w:color="auto"/>
      </w:divBdr>
    </w:div>
    <w:div w:id="1036546575">
      <w:bodyDiv w:val="1"/>
      <w:marLeft w:val="0"/>
      <w:marRight w:val="0"/>
      <w:marTop w:val="0"/>
      <w:marBottom w:val="0"/>
      <w:divBdr>
        <w:top w:val="none" w:sz="0" w:space="0" w:color="auto"/>
        <w:left w:val="none" w:sz="0" w:space="0" w:color="auto"/>
        <w:bottom w:val="none" w:sz="0" w:space="0" w:color="auto"/>
        <w:right w:val="none" w:sz="0" w:space="0" w:color="auto"/>
      </w:divBdr>
    </w:div>
    <w:div w:id="1083454229">
      <w:bodyDiv w:val="1"/>
      <w:marLeft w:val="0"/>
      <w:marRight w:val="0"/>
      <w:marTop w:val="0"/>
      <w:marBottom w:val="0"/>
      <w:divBdr>
        <w:top w:val="none" w:sz="0" w:space="0" w:color="auto"/>
        <w:left w:val="none" w:sz="0" w:space="0" w:color="auto"/>
        <w:bottom w:val="none" w:sz="0" w:space="0" w:color="auto"/>
        <w:right w:val="none" w:sz="0" w:space="0" w:color="auto"/>
      </w:divBdr>
    </w:div>
    <w:div w:id="1130829319">
      <w:bodyDiv w:val="1"/>
      <w:marLeft w:val="0"/>
      <w:marRight w:val="0"/>
      <w:marTop w:val="0"/>
      <w:marBottom w:val="0"/>
      <w:divBdr>
        <w:top w:val="none" w:sz="0" w:space="0" w:color="auto"/>
        <w:left w:val="none" w:sz="0" w:space="0" w:color="auto"/>
        <w:bottom w:val="none" w:sz="0" w:space="0" w:color="auto"/>
        <w:right w:val="none" w:sz="0" w:space="0" w:color="auto"/>
      </w:divBdr>
    </w:div>
    <w:div w:id="1179541606">
      <w:bodyDiv w:val="1"/>
      <w:marLeft w:val="0"/>
      <w:marRight w:val="0"/>
      <w:marTop w:val="0"/>
      <w:marBottom w:val="0"/>
      <w:divBdr>
        <w:top w:val="none" w:sz="0" w:space="0" w:color="auto"/>
        <w:left w:val="none" w:sz="0" w:space="0" w:color="auto"/>
        <w:bottom w:val="none" w:sz="0" w:space="0" w:color="auto"/>
        <w:right w:val="none" w:sz="0" w:space="0" w:color="auto"/>
      </w:divBdr>
    </w:div>
    <w:div w:id="1240794317">
      <w:bodyDiv w:val="1"/>
      <w:marLeft w:val="0"/>
      <w:marRight w:val="0"/>
      <w:marTop w:val="0"/>
      <w:marBottom w:val="0"/>
      <w:divBdr>
        <w:top w:val="none" w:sz="0" w:space="0" w:color="auto"/>
        <w:left w:val="none" w:sz="0" w:space="0" w:color="auto"/>
        <w:bottom w:val="none" w:sz="0" w:space="0" w:color="auto"/>
        <w:right w:val="none" w:sz="0" w:space="0" w:color="auto"/>
      </w:divBdr>
      <w:divsChild>
        <w:div w:id="194193060">
          <w:marLeft w:val="0"/>
          <w:marRight w:val="0"/>
          <w:marTop w:val="0"/>
          <w:marBottom w:val="0"/>
          <w:divBdr>
            <w:top w:val="none" w:sz="0" w:space="0" w:color="auto"/>
            <w:left w:val="none" w:sz="0" w:space="0" w:color="auto"/>
            <w:bottom w:val="none" w:sz="0" w:space="0" w:color="auto"/>
            <w:right w:val="none" w:sz="0" w:space="0" w:color="auto"/>
          </w:divBdr>
        </w:div>
        <w:div w:id="346443228">
          <w:marLeft w:val="0"/>
          <w:marRight w:val="0"/>
          <w:marTop w:val="0"/>
          <w:marBottom w:val="0"/>
          <w:divBdr>
            <w:top w:val="none" w:sz="0" w:space="0" w:color="auto"/>
            <w:left w:val="none" w:sz="0" w:space="0" w:color="auto"/>
            <w:bottom w:val="none" w:sz="0" w:space="0" w:color="auto"/>
            <w:right w:val="none" w:sz="0" w:space="0" w:color="auto"/>
          </w:divBdr>
        </w:div>
        <w:div w:id="684795468">
          <w:marLeft w:val="0"/>
          <w:marRight w:val="0"/>
          <w:marTop w:val="0"/>
          <w:marBottom w:val="0"/>
          <w:divBdr>
            <w:top w:val="none" w:sz="0" w:space="0" w:color="auto"/>
            <w:left w:val="none" w:sz="0" w:space="0" w:color="auto"/>
            <w:bottom w:val="none" w:sz="0" w:space="0" w:color="auto"/>
            <w:right w:val="none" w:sz="0" w:space="0" w:color="auto"/>
          </w:divBdr>
        </w:div>
        <w:div w:id="899175390">
          <w:marLeft w:val="0"/>
          <w:marRight w:val="0"/>
          <w:marTop w:val="0"/>
          <w:marBottom w:val="0"/>
          <w:divBdr>
            <w:top w:val="none" w:sz="0" w:space="0" w:color="auto"/>
            <w:left w:val="none" w:sz="0" w:space="0" w:color="auto"/>
            <w:bottom w:val="none" w:sz="0" w:space="0" w:color="auto"/>
            <w:right w:val="none" w:sz="0" w:space="0" w:color="auto"/>
          </w:divBdr>
        </w:div>
        <w:div w:id="1376464951">
          <w:marLeft w:val="0"/>
          <w:marRight w:val="0"/>
          <w:marTop w:val="0"/>
          <w:marBottom w:val="0"/>
          <w:divBdr>
            <w:top w:val="none" w:sz="0" w:space="0" w:color="auto"/>
            <w:left w:val="none" w:sz="0" w:space="0" w:color="auto"/>
            <w:bottom w:val="none" w:sz="0" w:space="0" w:color="auto"/>
            <w:right w:val="none" w:sz="0" w:space="0" w:color="auto"/>
          </w:divBdr>
        </w:div>
        <w:div w:id="1493444427">
          <w:marLeft w:val="0"/>
          <w:marRight w:val="0"/>
          <w:marTop w:val="0"/>
          <w:marBottom w:val="0"/>
          <w:divBdr>
            <w:top w:val="none" w:sz="0" w:space="0" w:color="auto"/>
            <w:left w:val="none" w:sz="0" w:space="0" w:color="auto"/>
            <w:bottom w:val="none" w:sz="0" w:space="0" w:color="auto"/>
            <w:right w:val="none" w:sz="0" w:space="0" w:color="auto"/>
          </w:divBdr>
        </w:div>
        <w:div w:id="1630864714">
          <w:marLeft w:val="0"/>
          <w:marRight w:val="0"/>
          <w:marTop w:val="0"/>
          <w:marBottom w:val="0"/>
          <w:divBdr>
            <w:top w:val="none" w:sz="0" w:space="0" w:color="auto"/>
            <w:left w:val="none" w:sz="0" w:space="0" w:color="auto"/>
            <w:bottom w:val="none" w:sz="0" w:space="0" w:color="auto"/>
            <w:right w:val="none" w:sz="0" w:space="0" w:color="auto"/>
          </w:divBdr>
        </w:div>
        <w:div w:id="1684748500">
          <w:marLeft w:val="0"/>
          <w:marRight w:val="0"/>
          <w:marTop w:val="0"/>
          <w:marBottom w:val="0"/>
          <w:divBdr>
            <w:top w:val="none" w:sz="0" w:space="0" w:color="auto"/>
            <w:left w:val="none" w:sz="0" w:space="0" w:color="auto"/>
            <w:bottom w:val="none" w:sz="0" w:space="0" w:color="auto"/>
            <w:right w:val="none" w:sz="0" w:space="0" w:color="auto"/>
          </w:divBdr>
        </w:div>
        <w:div w:id="1715620885">
          <w:marLeft w:val="0"/>
          <w:marRight w:val="0"/>
          <w:marTop w:val="0"/>
          <w:marBottom w:val="0"/>
          <w:divBdr>
            <w:top w:val="none" w:sz="0" w:space="0" w:color="auto"/>
            <w:left w:val="none" w:sz="0" w:space="0" w:color="auto"/>
            <w:bottom w:val="none" w:sz="0" w:space="0" w:color="auto"/>
            <w:right w:val="none" w:sz="0" w:space="0" w:color="auto"/>
          </w:divBdr>
        </w:div>
        <w:div w:id="1859737540">
          <w:marLeft w:val="0"/>
          <w:marRight w:val="0"/>
          <w:marTop w:val="0"/>
          <w:marBottom w:val="0"/>
          <w:divBdr>
            <w:top w:val="none" w:sz="0" w:space="0" w:color="auto"/>
            <w:left w:val="none" w:sz="0" w:space="0" w:color="auto"/>
            <w:bottom w:val="none" w:sz="0" w:space="0" w:color="auto"/>
            <w:right w:val="none" w:sz="0" w:space="0" w:color="auto"/>
          </w:divBdr>
        </w:div>
        <w:div w:id="1885629066">
          <w:marLeft w:val="0"/>
          <w:marRight w:val="0"/>
          <w:marTop w:val="0"/>
          <w:marBottom w:val="0"/>
          <w:divBdr>
            <w:top w:val="none" w:sz="0" w:space="0" w:color="auto"/>
            <w:left w:val="none" w:sz="0" w:space="0" w:color="auto"/>
            <w:bottom w:val="none" w:sz="0" w:space="0" w:color="auto"/>
            <w:right w:val="none" w:sz="0" w:space="0" w:color="auto"/>
          </w:divBdr>
        </w:div>
        <w:div w:id="1913660611">
          <w:marLeft w:val="0"/>
          <w:marRight w:val="0"/>
          <w:marTop w:val="0"/>
          <w:marBottom w:val="0"/>
          <w:divBdr>
            <w:top w:val="none" w:sz="0" w:space="0" w:color="auto"/>
            <w:left w:val="none" w:sz="0" w:space="0" w:color="auto"/>
            <w:bottom w:val="none" w:sz="0" w:space="0" w:color="auto"/>
            <w:right w:val="none" w:sz="0" w:space="0" w:color="auto"/>
          </w:divBdr>
        </w:div>
        <w:div w:id="1939681606">
          <w:marLeft w:val="0"/>
          <w:marRight w:val="0"/>
          <w:marTop w:val="0"/>
          <w:marBottom w:val="0"/>
          <w:divBdr>
            <w:top w:val="none" w:sz="0" w:space="0" w:color="auto"/>
            <w:left w:val="none" w:sz="0" w:space="0" w:color="auto"/>
            <w:bottom w:val="none" w:sz="0" w:space="0" w:color="auto"/>
            <w:right w:val="none" w:sz="0" w:space="0" w:color="auto"/>
          </w:divBdr>
        </w:div>
        <w:div w:id="2085489430">
          <w:marLeft w:val="0"/>
          <w:marRight w:val="0"/>
          <w:marTop w:val="0"/>
          <w:marBottom w:val="0"/>
          <w:divBdr>
            <w:top w:val="none" w:sz="0" w:space="0" w:color="auto"/>
            <w:left w:val="none" w:sz="0" w:space="0" w:color="auto"/>
            <w:bottom w:val="none" w:sz="0" w:space="0" w:color="auto"/>
            <w:right w:val="none" w:sz="0" w:space="0" w:color="auto"/>
          </w:divBdr>
        </w:div>
      </w:divsChild>
    </w:div>
    <w:div w:id="1269582584">
      <w:bodyDiv w:val="1"/>
      <w:marLeft w:val="0"/>
      <w:marRight w:val="0"/>
      <w:marTop w:val="0"/>
      <w:marBottom w:val="0"/>
      <w:divBdr>
        <w:top w:val="none" w:sz="0" w:space="0" w:color="auto"/>
        <w:left w:val="none" w:sz="0" w:space="0" w:color="auto"/>
        <w:bottom w:val="none" w:sz="0" w:space="0" w:color="auto"/>
        <w:right w:val="none" w:sz="0" w:space="0" w:color="auto"/>
      </w:divBdr>
    </w:div>
    <w:div w:id="1297837617">
      <w:bodyDiv w:val="1"/>
      <w:marLeft w:val="0"/>
      <w:marRight w:val="0"/>
      <w:marTop w:val="0"/>
      <w:marBottom w:val="0"/>
      <w:divBdr>
        <w:top w:val="none" w:sz="0" w:space="0" w:color="auto"/>
        <w:left w:val="none" w:sz="0" w:space="0" w:color="auto"/>
        <w:bottom w:val="none" w:sz="0" w:space="0" w:color="auto"/>
        <w:right w:val="none" w:sz="0" w:space="0" w:color="auto"/>
      </w:divBdr>
    </w:div>
    <w:div w:id="1323510052">
      <w:bodyDiv w:val="1"/>
      <w:marLeft w:val="0"/>
      <w:marRight w:val="0"/>
      <w:marTop w:val="0"/>
      <w:marBottom w:val="0"/>
      <w:divBdr>
        <w:top w:val="none" w:sz="0" w:space="0" w:color="auto"/>
        <w:left w:val="none" w:sz="0" w:space="0" w:color="auto"/>
        <w:bottom w:val="none" w:sz="0" w:space="0" w:color="auto"/>
        <w:right w:val="none" w:sz="0" w:space="0" w:color="auto"/>
      </w:divBdr>
    </w:div>
    <w:div w:id="1409496143">
      <w:bodyDiv w:val="1"/>
      <w:marLeft w:val="0"/>
      <w:marRight w:val="0"/>
      <w:marTop w:val="0"/>
      <w:marBottom w:val="0"/>
      <w:divBdr>
        <w:top w:val="none" w:sz="0" w:space="0" w:color="auto"/>
        <w:left w:val="none" w:sz="0" w:space="0" w:color="auto"/>
        <w:bottom w:val="none" w:sz="0" w:space="0" w:color="auto"/>
        <w:right w:val="none" w:sz="0" w:space="0" w:color="auto"/>
      </w:divBdr>
    </w:div>
    <w:div w:id="1412191092">
      <w:bodyDiv w:val="1"/>
      <w:marLeft w:val="0"/>
      <w:marRight w:val="0"/>
      <w:marTop w:val="0"/>
      <w:marBottom w:val="0"/>
      <w:divBdr>
        <w:top w:val="none" w:sz="0" w:space="0" w:color="auto"/>
        <w:left w:val="none" w:sz="0" w:space="0" w:color="auto"/>
        <w:bottom w:val="none" w:sz="0" w:space="0" w:color="auto"/>
        <w:right w:val="none" w:sz="0" w:space="0" w:color="auto"/>
      </w:divBdr>
    </w:div>
    <w:div w:id="1412433592">
      <w:bodyDiv w:val="1"/>
      <w:marLeft w:val="0"/>
      <w:marRight w:val="0"/>
      <w:marTop w:val="0"/>
      <w:marBottom w:val="0"/>
      <w:divBdr>
        <w:top w:val="none" w:sz="0" w:space="0" w:color="auto"/>
        <w:left w:val="none" w:sz="0" w:space="0" w:color="auto"/>
        <w:bottom w:val="none" w:sz="0" w:space="0" w:color="auto"/>
        <w:right w:val="none" w:sz="0" w:space="0" w:color="auto"/>
      </w:divBdr>
    </w:div>
    <w:div w:id="1463962383">
      <w:bodyDiv w:val="1"/>
      <w:marLeft w:val="0"/>
      <w:marRight w:val="0"/>
      <w:marTop w:val="0"/>
      <w:marBottom w:val="0"/>
      <w:divBdr>
        <w:top w:val="none" w:sz="0" w:space="0" w:color="auto"/>
        <w:left w:val="none" w:sz="0" w:space="0" w:color="auto"/>
        <w:bottom w:val="none" w:sz="0" w:space="0" w:color="auto"/>
        <w:right w:val="none" w:sz="0" w:space="0" w:color="auto"/>
      </w:divBdr>
    </w:div>
    <w:div w:id="1470047653">
      <w:bodyDiv w:val="1"/>
      <w:marLeft w:val="0"/>
      <w:marRight w:val="0"/>
      <w:marTop w:val="0"/>
      <w:marBottom w:val="0"/>
      <w:divBdr>
        <w:top w:val="none" w:sz="0" w:space="0" w:color="auto"/>
        <w:left w:val="none" w:sz="0" w:space="0" w:color="auto"/>
        <w:bottom w:val="none" w:sz="0" w:space="0" w:color="auto"/>
        <w:right w:val="none" w:sz="0" w:space="0" w:color="auto"/>
      </w:divBdr>
    </w:div>
    <w:div w:id="1479373069">
      <w:bodyDiv w:val="1"/>
      <w:marLeft w:val="0"/>
      <w:marRight w:val="0"/>
      <w:marTop w:val="0"/>
      <w:marBottom w:val="0"/>
      <w:divBdr>
        <w:top w:val="none" w:sz="0" w:space="0" w:color="auto"/>
        <w:left w:val="none" w:sz="0" w:space="0" w:color="auto"/>
        <w:bottom w:val="none" w:sz="0" w:space="0" w:color="auto"/>
        <w:right w:val="none" w:sz="0" w:space="0" w:color="auto"/>
      </w:divBdr>
    </w:div>
    <w:div w:id="1508131528">
      <w:bodyDiv w:val="1"/>
      <w:marLeft w:val="0"/>
      <w:marRight w:val="0"/>
      <w:marTop w:val="0"/>
      <w:marBottom w:val="0"/>
      <w:divBdr>
        <w:top w:val="none" w:sz="0" w:space="0" w:color="auto"/>
        <w:left w:val="none" w:sz="0" w:space="0" w:color="auto"/>
        <w:bottom w:val="none" w:sz="0" w:space="0" w:color="auto"/>
        <w:right w:val="none" w:sz="0" w:space="0" w:color="auto"/>
      </w:divBdr>
    </w:div>
    <w:div w:id="1565985986">
      <w:bodyDiv w:val="1"/>
      <w:marLeft w:val="0"/>
      <w:marRight w:val="0"/>
      <w:marTop w:val="0"/>
      <w:marBottom w:val="0"/>
      <w:divBdr>
        <w:top w:val="none" w:sz="0" w:space="0" w:color="auto"/>
        <w:left w:val="none" w:sz="0" w:space="0" w:color="auto"/>
        <w:bottom w:val="none" w:sz="0" w:space="0" w:color="auto"/>
        <w:right w:val="none" w:sz="0" w:space="0" w:color="auto"/>
      </w:divBdr>
    </w:div>
    <w:div w:id="1584755833">
      <w:bodyDiv w:val="1"/>
      <w:marLeft w:val="0"/>
      <w:marRight w:val="0"/>
      <w:marTop w:val="0"/>
      <w:marBottom w:val="0"/>
      <w:divBdr>
        <w:top w:val="none" w:sz="0" w:space="0" w:color="auto"/>
        <w:left w:val="none" w:sz="0" w:space="0" w:color="auto"/>
        <w:bottom w:val="none" w:sz="0" w:space="0" w:color="auto"/>
        <w:right w:val="none" w:sz="0" w:space="0" w:color="auto"/>
      </w:divBdr>
    </w:div>
    <w:div w:id="1610043731">
      <w:bodyDiv w:val="1"/>
      <w:marLeft w:val="0"/>
      <w:marRight w:val="0"/>
      <w:marTop w:val="0"/>
      <w:marBottom w:val="0"/>
      <w:divBdr>
        <w:top w:val="none" w:sz="0" w:space="0" w:color="auto"/>
        <w:left w:val="none" w:sz="0" w:space="0" w:color="auto"/>
        <w:bottom w:val="none" w:sz="0" w:space="0" w:color="auto"/>
        <w:right w:val="none" w:sz="0" w:space="0" w:color="auto"/>
      </w:divBdr>
    </w:div>
    <w:div w:id="1616058630">
      <w:bodyDiv w:val="1"/>
      <w:marLeft w:val="0"/>
      <w:marRight w:val="0"/>
      <w:marTop w:val="0"/>
      <w:marBottom w:val="0"/>
      <w:divBdr>
        <w:top w:val="none" w:sz="0" w:space="0" w:color="auto"/>
        <w:left w:val="none" w:sz="0" w:space="0" w:color="auto"/>
        <w:bottom w:val="none" w:sz="0" w:space="0" w:color="auto"/>
        <w:right w:val="none" w:sz="0" w:space="0" w:color="auto"/>
      </w:divBdr>
    </w:div>
    <w:div w:id="1634825474">
      <w:bodyDiv w:val="1"/>
      <w:marLeft w:val="0"/>
      <w:marRight w:val="0"/>
      <w:marTop w:val="0"/>
      <w:marBottom w:val="0"/>
      <w:divBdr>
        <w:top w:val="none" w:sz="0" w:space="0" w:color="auto"/>
        <w:left w:val="none" w:sz="0" w:space="0" w:color="auto"/>
        <w:bottom w:val="none" w:sz="0" w:space="0" w:color="auto"/>
        <w:right w:val="none" w:sz="0" w:space="0" w:color="auto"/>
      </w:divBdr>
    </w:div>
    <w:div w:id="1646734843">
      <w:bodyDiv w:val="1"/>
      <w:marLeft w:val="0"/>
      <w:marRight w:val="0"/>
      <w:marTop w:val="0"/>
      <w:marBottom w:val="0"/>
      <w:divBdr>
        <w:top w:val="none" w:sz="0" w:space="0" w:color="auto"/>
        <w:left w:val="none" w:sz="0" w:space="0" w:color="auto"/>
        <w:bottom w:val="none" w:sz="0" w:space="0" w:color="auto"/>
        <w:right w:val="none" w:sz="0" w:space="0" w:color="auto"/>
      </w:divBdr>
    </w:div>
    <w:div w:id="1649169654">
      <w:bodyDiv w:val="1"/>
      <w:marLeft w:val="0"/>
      <w:marRight w:val="0"/>
      <w:marTop w:val="0"/>
      <w:marBottom w:val="0"/>
      <w:divBdr>
        <w:top w:val="none" w:sz="0" w:space="0" w:color="auto"/>
        <w:left w:val="none" w:sz="0" w:space="0" w:color="auto"/>
        <w:bottom w:val="none" w:sz="0" w:space="0" w:color="auto"/>
        <w:right w:val="none" w:sz="0" w:space="0" w:color="auto"/>
      </w:divBdr>
    </w:div>
    <w:div w:id="1658995017">
      <w:bodyDiv w:val="1"/>
      <w:marLeft w:val="0"/>
      <w:marRight w:val="0"/>
      <w:marTop w:val="0"/>
      <w:marBottom w:val="0"/>
      <w:divBdr>
        <w:top w:val="none" w:sz="0" w:space="0" w:color="auto"/>
        <w:left w:val="none" w:sz="0" w:space="0" w:color="auto"/>
        <w:bottom w:val="none" w:sz="0" w:space="0" w:color="auto"/>
        <w:right w:val="none" w:sz="0" w:space="0" w:color="auto"/>
      </w:divBdr>
    </w:div>
    <w:div w:id="1714579239">
      <w:bodyDiv w:val="1"/>
      <w:marLeft w:val="0"/>
      <w:marRight w:val="0"/>
      <w:marTop w:val="0"/>
      <w:marBottom w:val="0"/>
      <w:divBdr>
        <w:top w:val="none" w:sz="0" w:space="0" w:color="auto"/>
        <w:left w:val="none" w:sz="0" w:space="0" w:color="auto"/>
        <w:bottom w:val="none" w:sz="0" w:space="0" w:color="auto"/>
        <w:right w:val="none" w:sz="0" w:space="0" w:color="auto"/>
      </w:divBdr>
    </w:div>
    <w:div w:id="1755322678">
      <w:bodyDiv w:val="1"/>
      <w:marLeft w:val="0"/>
      <w:marRight w:val="0"/>
      <w:marTop w:val="0"/>
      <w:marBottom w:val="0"/>
      <w:divBdr>
        <w:top w:val="none" w:sz="0" w:space="0" w:color="auto"/>
        <w:left w:val="none" w:sz="0" w:space="0" w:color="auto"/>
        <w:bottom w:val="none" w:sz="0" w:space="0" w:color="auto"/>
        <w:right w:val="none" w:sz="0" w:space="0" w:color="auto"/>
      </w:divBdr>
    </w:div>
    <w:div w:id="1761950314">
      <w:bodyDiv w:val="1"/>
      <w:marLeft w:val="0"/>
      <w:marRight w:val="0"/>
      <w:marTop w:val="0"/>
      <w:marBottom w:val="0"/>
      <w:divBdr>
        <w:top w:val="none" w:sz="0" w:space="0" w:color="auto"/>
        <w:left w:val="none" w:sz="0" w:space="0" w:color="auto"/>
        <w:bottom w:val="none" w:sz="0" w:space="0" w:color="auto"/>
        <w:right w:val="none" w:sz="0" w:space="0" w:color="auto"/>
      </w:divBdr>
    </w:div>
    <w:div w:id="1772703547">
      <w:bodyDiv w:val="1"/>
      <w:marLeft w:val="0"/>
      <w:marRight w:val="0"/>
      <w:marTop w:val="0"/>
      <w:marBottom w:val="0"/>
      <w:divBdr>
        <w:top w:val="none" w:sz="0" w:space="0" w:color="auto"/>
        <w:left w:val="none" w:sz="0" w:space="0" w:color="auto"/>
        <w:bottom w:val="none" w:sz="0" w:space="0" w:color="auto"/>
        <w:right w:val="none" w:sz="0" w:space="0" w:color="auto"/>
      </w:divBdr>
    </w:div>
    <w:div w:id="1781099216">
      <w:bodyDiv w:val="1"/>
      <w:marLeft w:val="0"/>
      <w:marRight w:val="0"/>
      <w:marTop w:val="0"/>
      <w:marBottom w:val="0"/>
      <w:divBdr>
        <w:top w:val="none" w:sz="0" w:space="0" w:color="auto"/>
        <w:left w:val="none" w:sz="0" w:space="0" w:color="auto"/>
        <w:bottom w:val="none" w:sz="0" w:space="0" w:color="auto"/>
        <w:right w:val="none" w:sz="0" w:space="0" w:color="auto"/>
      </w:divBdr>
    </w:div>
    <w:div w:id="1789349323">
      <w:bodyDiv w:val="1"/>
      <w:marLeft w:val="0"/>
      <w:marRight w:val="0"/>
      <w:marTop w:val="0"/>
      <w:marBottom w:val="0"/>
      <w:divBdr>
        <w:top w:val="none" w:sz="0" w:space="0" w:color="auto"/>
        <w:left w:val="none" w:sz="0" w:space="0" w:color="auto"/>
        <w:bottom w:val="none" w:sz="0" w:space="0" w:color="auto"/>
        <w:right w:val="none" w:sz="0" w:space="0" w:color="auto"/>
      </w:divBdr>
    </w:div>
    <w:div w:id="1796214365">
      <w:bodyDiv w:val="1"/>
      <w:marLeft w:val="0"/>
      <w:marRight w:val="0"/>
      <w:marTop w:val="0"/>
      <w:marBottom w:val="0"/>
      <w:divBdr>
        <w:top w:val="none" w:sz="0" w:space="0" w:color="auto"/>
        <w:left w:val="none" w:sz="0" w:space="0" w:color="auto"/>
        <w:bottom w:val="none" w:sz="0" w:space="0" w:color="auto"/>
        <w:right w:val="none" w:sz="0" w:space="0" w:color="auto"/>
      </w:divBdr>
    </w:div>
    <w:div w:id="1803884354">
      <w:bodyDiv w:val="1"/>
      <w:marLeft w:val="0"/>
      <w:marRight w:val="0"/>
      <w:marTop w:val="0"/>
      <w:marBottom w:val="0"/>
      <w:divBdr>
        <w:top w:val="none" w:sz="0" w:space="0" w:color="auto"/>
        <w:left w:val="none" w:sz="0" w:space="0" w:color="auto"/>
        <w:bottom w:val="none" w:sz="0" w:space="0" w:color="auto"/>
        <w:right w:val="none" w:sz="0" w:space="0" w:color="auto"/>
      </w:divBdr>
    </w:div>
    <w:div w:id="1809781618">
      <w:bodyDiv w:val="1"/>
      <w:marLeft w:val="0"/>
      <w:marRight w:val="0"/>
      <w:marTop w:val="0"/>
      <w:marBottom w:val="0"/>
      <w:divBdr>
        <w:top w:val="none" w:sz="0" w:space="0" w:color="auto"/>
        <w:left w:val="none" w:sz="0" w:space="0" w:color="auto"/>
        <w:bottom w:val="none" w:sz="0" w:space="0" w:color="auto"/>
        <w:right w:val="none" w:sz="0" w:space="0" w:color="auto"/>
      </w:divBdr>
    </w:div>
    <w:div w:id="1810434520">
      <w:bodyDiv w:val="1"/>
      <w:marLeft w:val="0"/>
      <w:marRight w:val="0"/>
      <w:marTop w:val="0"/>
      <w:marBottom w:val="0"/>
      <w:divBdr>
        <w:top w:val="none" w:sz="0" w:space="0" w:color="auto"/>
        <w:left w:val="none" w:sz="0" w:space="0" w:color="auto"/>
        <w:bottom w:val="none" w:sz="0" w:space="0" w:color="auto"/>
        <w:right w:val="none" w:sz="0" w:space="0" w:color="auto"/>
      </w:divBdr>
    </w:div>
    <w:div w:id="1822842493">
      <w:bodyDiv w:val="1"/>
      <w:marLeft w:val="0"/>
      <w:marRight w:val="0"/>
      <w:marTop w:val="0"/>
      <w:marBottom w:val="0"/>
      <w:divBdr>
        <w:top w:val="none" w:sz="0" w:space="0" w:color="auto"/>
        <w:left w:val="none" w:sz="0" w:space="0" w:color="auto"/>
        <w:bottom w:val="none" w:sz="0" w:space="0" w:color="auto"/>
        <w:right w:val="none" w:sz="0" w:space="0" w:color="auto"/>
      </w:divBdr>
    </w:div>
    <w:div w:id="1836264381">
      <w:bodyDiv w:val="1"/>
      <w:marLeft w:val="0"/>
      <w:marRight w:val="0"/>
      <w:marTop w:val="0"/>
      <w:marBottom w:val="0"/>
      <w:divBdr>
        <w:top w:val="none" w:sz="0" w:space="0" w:color="auto"/>
        <w:left w:val="none" w:sz="0" w:space="0" w:color="auto"/>
        <w:bottom w:val="none" w:sz="0" w:space="0" w:color="auto"/>
        <w:right w:val="none" w:sz="0" w:space="0" w:color="auto"/>
      </w:divBdr>
    </w:div>
    <w:div w:id="1839030604">
      <w:bodyDiv w:val="1"/>
      <w:marLeft w:val="0"/>
      <w:marRight w:val="0"/>
      <w:marTop w:val="0"/>
      <w:marBottom w:val="0"/>
      <w:divBdr>
        <w:top w:val="none" w:sz="0" w:space="0" w:color="auto"/>
        <w:left w:val="none" w:sz="0" w:space="0" w:color="auto"/>
        <w:bottom w:val="none" w:sz="0" w:space="0" w:color="auto"/>
        <w:right w:val="none" w:sz="0" w:space="0" w:color="auto"/>
      </w:divBdr>
    </w:div>
    <w:div w:id="1840345423">
      <w:bodyDiv w:val="1"/>
      <w:marLeft w:val="0"/>
      <w:marRight w:val="0"/>
      <w:marTop w:val="0"/>
      <w:marBottom w:val="0"/>
      <w:divBdr>
        <w:top w:val="none" w:sz="0" w:space="0" w:color="auto"/>
        <w:left w:val="none" w:sz="0" w:space="0" w:color="auto"/>
        <w:bottom w:val="none" w:sz="0" w:space="0" w:color="auto"/>
        <w:right w:val="none" w:sz="0" w:space="0" w:color="auto"/>
      </w:divBdr>
    </w:div>
    <w:div w:id="1918251135">
      <w:bodyDiv w:val="1"/>
      <w:marLeft w:val="0"/>
      <w:marRight w:val="0"/>
      <w:marTop w:val="0"/>
      <w:marBottom w:val="0"/>
      <w:divBdr>
        <w:top w:val="none" w:sz="0" w:space="0" w:color="auto"/>
        <w:left w:val="none" w:sz="0" w:space="0" w:color="auto"/>
        <w:bottom w:val="none" w:sz="0" w:space="0" w:color="auto"/>
        <w:right w:val="none" w:sz="0" w:space="0" w:color="auto"/>
      </w:divBdr>
    </w:div>
    <w:div w:id="1939242839">
      <w:bodyDiv w:val="1"/>
      <w:marLeft w:val="0"/>
      <w:marRight w:val="0"/>
      <w:marTop w:val="0"/>
      <w:marBottom w:val="0"/>
      <w:divBdr>
        <w:top w:val="none" w:sz="0" w:space="0" w:color="auto"/>
        <w:left w:val="none" w:sz="0" w:space="0" w:color="auto"/>
        <w:bottom w:val="none" w:sz="0" w:space="0" w:color="auto"/>
        <w:right w:val="none" w:sz="0" w:space="0" w:color="auto"/>
      </w:divBdr>
    </w:div>
    <w:div w:id="1965037640">
      <w:bodyDiv w:val="1"/>
      <w:marLeft w:val="0"/>
      <w:marRight w:val="0"/>
      <w:marTop w:val="0"/>
      <w:marBottom w:val="0"/>
      <w:divBdr>
        <w:top w:val="none" w:sz="0" w:space="0" w:color="auto"/>
        <w:left w:val="none" w:sz="0" w:space="0" w:color="auto"/>
        <w:bottom w:val="none" w:sz="0" w:space="0" w:color="auto"/>
        <w:right w:val="none" w:sz="0" w:space="0" w:color="auto"/>
      </w:divBdr>
    </w:div>
    <w:div w:id="1986080477">
      <w:bodyDiv w:val="1"/>
      <w:marLeft w:val="0"/>
      <w:marRight w:val="0"/>
      <w:marTop w:val="0"/>
      <w:marBottom w:val="0"/>
      <w:divBdr>
        <w:top w:val="none" w:sz="0" w:space="0" w:color="auto"/>
        <w:left w:val="none" w:sz="0" w:space="0" w:color="auto"/>
        <w:bottom w:val="none" w:sz="0" w:space="0" w:color="auto"/>
        <w:right w:val="none" w:sz="0" w:space="0" w:color="auto"/>
      </w:divBdr>
    </w:div>
    <w:div w:id="1987083381">
      <w:bodyDiv w:val="1"/>
      <w:marLeft w:val="0"/>
      <w:marRight w:val="0"/>
      <w:marTop w:val="0"/>
      <w:marBottom w:val="0"/>
      <w:divBdr>
        <w:top w:val="none" w:sz="0" w:space="0" w:color="auto"/>
        <w:left w:val="none" w:sz="0" w:space="0" w:color="auto"/>
        <w:bottom w:val="none" w:sz="0" w:space="0" w:color="auto"/>
        <w:right w:val="none" w:sz="0" w:space="0" w:color="auto"/>
      </w:divBdr>
    </w:div>
    <w:div w:id="2011447078">
      <w:bodyDiv w:val="1"/>
      <w:marLeft w:val="0"/>
      <w:marRight w:val="0"/>
      <w:marTop w:val="0"/>
      <w:marBottom w:val="0"/>
      <w:divBdr>
        <w:top w:val="none" w:sz="0" w:space="0" w:color="auto"/>
        <w:left w:val="none" w:sz="0" w:space="0" w:color="auto"/>
        <w:bottom w:val="none" w:sz="0" w:space="0" w:color="auto"/>
        <w:right w:val="none" w:sz="0" w:space="0" w:color="auto"/>
      </w:divBdr>
    </w:div>
    <w:div w:id="2043743503">
      <w:bodyDiv w:val="1"/>
      <w:marLeft w:val="0"/>
      <w:marRight w:val="0"/>
      <w:marTop w:val="0"/>
      <w:marBottom w:val="0"/>
      <w:divBdr>
        <w:top w:val="none" w:sz="0" w:space="0" w:color="auto"/>
        <w:left w:val="none" w:sz="0" w:space="0" w:color="auto"/>
        <w:bottom w:val="none" w:sz="0" w:space="0" w:color="auto"/>
        <w:right w:val="none" w:sz="0" w:space="0" w:color="auto"/>
      </w:divBdr>
    </w:div>
    <w:div w:id="2087989291">
      <w:bodyDiv w:val="1"/>
      <w:marLeft w:val="0"/>
      <w:marRight w:val="0"/>
      <w:marTop w:val="0"/>
      <w:marBottom w:val="0"/>
      <w:divBdr>
        <w:top w:val="none" w:sz="0" w:space="0" w:color="auto"/>
        <w:left w:val="none" w:sz="0" w:space="0" w:color="auto"/>
        <w:bottom w:val="none" w:sz="0" w:space="0" w:color="auto"/>
        <w:right w:val="none" w:sz="0" w:space="0" w:color="auto"/>
      </w:divBdr>
    </w:div>
    <w:div w:id="2100906477">
      <w:bodyDiv w:val="1"/>
      <w:marLeft w:val="0"/>
      <w:marRight w:val="0"/>
      <w:marTop w:val="0"/>
      <w:marBottom w:val="0"/>
      <w:divBdr>
        <w:top w:val="none" w:sz="0" w:space="0" w:color="auto"/>
        <w:left w:val="none" w:sz="0" w:space="0" w:color="auto"/>
        <w:bottom w:val="none" w:sz="0" w:space="0" w:color="auto"/>
        <w:right w:val="none" w:sz="0" w:space="0" w:color="auto"/>
      </w:divBdr>
    </w:div>
    <w:div w:id="2109501109">
      <w:bodyDiv w:val="1"/>
      <w:marLeft w:val="0"/>
      <w:marRight w:val="0"/>
      <w:marTop w:val="0"/>
      <w:marBottom w:val="0"/>
      <w:divBdr>
        <w:top w:val="none" w:sz="0" w:space="0" w:color="auto"/>
        <w:left w:val="none" w:sz="0" w:space="0" w:color="auto"/>
        <w:bottom w:val="none" w:sz="0" w:space="0" w:color="auto"/>
        <w:right w:val="none" w:sz="0" w:space="0" w:color="auto"/>
      </w:divBdr>
    </w:div>
    <w:div w:id="21272643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oas.org/es/cidh/decisiones/mc/2021/res_35-21_mc_284-18_mx_es.pdf"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oas.org/es/cidh/decisiones/pdf/2018/15-18mc882-17-mx.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49b96a8b598742bb"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twitter.com/hashtag/31Oct?src=hashtag_click" TargetMode="External"/></Relationships>
</file>

<file path=word/_rels/footnotes.xml.rels><?xml version="1.0" encoding="UTF-8" standalone="yes"?>
<Relationships xmlns="http://schemas.openxmlformats.org/package/2006/relationships"><Relationship Id="rId117" Type="http://schemas.openxmlformats.org/officeDocument/2006/relationships/hyperlink" Target="https://www.excelsior.com.mx/nacional/senado-hara-sugerencias-en-materia-de-seguridad-publica-se-reunira-con-el-gabinete/1485021" TargetMode="External"/><Relationship Id="rId299" Type="http://schemas.openxmlformats.org/officeDocument/2006/relationships/hyperlink" Target="https://www.gob.mx/cms/uploads/attachment/file/667131/Cierre_Agosto-2021__1-Septiembre-2021_.pdf" TargetMode="External"/><Relationship Id="rId21" Type="http://schemas.openxmlformats.org/officeDocument/2006/relationships/hyperlink" Target="https://www.oas.org/es/cidh/docs/anual/2020/capitulos/IA2020cap5.MX-es.pdf" TargetMode="External"/><Relationship Id="rId63" Type="http://schemas.openxmlformats.org/officeDocument/2006/relationships/hyperlink" Target="https://www.facebook.com/1553993178067600/videos/1081983472572564" TargetMode="External"/><Relationship Id="rId159" Type="http://schemas.openxmlformats.org/officeDocument/2006/relationships/hyperlink" Target="http://udgtv.com/noticias/asesinan-cinco-mujeres-trans-mes-mexico-dos-salto-tonala/" TargetMode="External"/><Relationship Id="rId324" Type="http://schemas.openxmlformats.org/officeDocument/2006/relationships/hyperlink" Target="https://www.youtube.com/watch?v=1JO6_yBIMAM&amp;list=PL5QlapyOGhXspIwSyEyr8vmZw4Um9S3D1&amp;index=22" TargetMode="External"/><Relationship Id="rId366" Type="http://schemas.openxmlformats.org/officeDocument/2006/relationships/hyperlink" Target="https://www.internal-displacement.org/sites/default/files/publications/documents/grid2021_idmc.pdf" TargetMode="External"/><Relationship Id="rId170" Type="http://schemas.openxmlformats.org/officeDocument/2006/relationships/hyperlink" Target="https://www.congresosinaloa.gob.mx/comunicados/sinaloa-dice-si-al-matrimonio-igualitario-extiende-congreso-del-estado-matrimonio-y-concubinato-a-personas-del-mismo-sexo/" TargetMode="External"/><Relationship Id="rId226" Type="http://schemas.openxmlformats.org/officeDocument/2006/relationships/hyperlink" Target="https://www.gob.mx/cms/uploads/attachment/file/661827/Segob_Impacto_pandemia_en_nin_as_y_nin_os__13ago21.pdf" TargetMode="External"/><Relationship Id="rId433" Type="http://schemas.openxmlformats.org/officeDocument/2006/relationships/hyperlink" Target="https://www.proceso.com.mx/nacional/2021/11/29/onu-dh-analiza-implicaciones-de-acuerdo-de-amlo-sobre-seguridad-nacional-276613.html" TargetMode="External"/><Relationship Id="rId268" Type="http://schemas.openxmlformats.org/officeDocument/2006/relationships/hyperlink" Target="https://www.dof.gob.mx/nota_detalle.php?codigo=5627705&amp;fecha=25/08/2021" TargetMode="External"/><Relationship Id="rId32" Type="http://schemas.openxmlformats.org/officeDocument/2006/relationships/hyperlink" Target="https://www.inegi.org.mx/contenidos/programas/enpol/2021/doc/enpol2021_presentacion_nacional.pdf" TargetMode="External"/><Relationship Id="rId74" Type="http://schemas.openxmlformats.org/officeDocument/2006/relationships/hyperlink" Target="https://www.dof.gob.mx/nota_detalle.php?codigo=5601905&amp;fecha=06/10/2020" TargetMode="External"/><Relationship Id="rId128" Type="http://schemas.openxmlformats.org/officeDocument/2006/relationships/hyperlink" Target="https://poderlatam.org/2021/11/los-expedientes-ocultos-de-la-fgr-sobre-el-caso-odebrecht-son-solo-seis-contratos/" TargetMode="External"/><Relationship Id="rId335" Type="http://schemas.openxmlformats.org/officeDocument/2006/relationships/hyperlink" Target="https://www.gob.mx/sre/prensa/familias-mexicanas-migrantes-en-retorno-y-repatriadas-tiene-nuevas-opciones-de-apoyo-en-educacion-salud-y-desarrollo-economico?state=published" TargetMode="External"/><Relationship Id="rId377" Type="http://schemas.openxmlformats.org/officeDocument/2006/relationships/hyperlink" Target="https://www.proceso.com.mx/nacional/estados/2021/1/25/asesinan-fidel-heras-cruz-defensor-del-rio-verde-contra-megaproyectos-en-oaxaca-256956.html" TargetMode="External"/><Relationship Id="rId5" Type="http://schemas.openxmlformats.org/officeDocument/2006/relationships/hyperlink" Target="https://centroprodh.org.mx/2021/07/01/dos-anos-de-la-guardia-nacional-poder-militar/" TargetMode="External"/><Relationship Id="rId181" Type="http://schemas.openxmlformats.org/officeDocument/2006/relationships/hyperlink" Target="https://heraldodemexico.com.mx/nacional/2021/6/29/bcs-aprueba-ley-trans-tipifica-como-delito-las-terapias-de-conversion-311334.html" TargetMode="External"/><Relationship Id="rId237" Type="http://schemas.openxmlformats.org/officeDocument/2006/relationships/hyperlink" Target="https://www.dof.gob.mx/nota_detalle.php?codigo=5635985&amp;fecha=22/11/2021" TargetMode="External"/><Relationship Id="rId402" Type="http://schemas.openxmlformats.org/officeDocument/2006/relationships/hyperlink" Target="https://www.swissinfo.ch/spa/m%C3%A9xico-pol%C3%ADtica_l%C3%B3pez-obrador-anuncia-una-secci%C3%B3n-semanal-para-exhibir--noticias-falsas-/46729572" TargetMode="External"/><Relationship Id="rId279" Type="http://schemas.openxmlformats.org/officeDocument/2006/relationships/hyperlink" Target="https://www.gob.mx/cms/uploads/attachment/file/679288/CE_2021_09.pdf" TargetMode="External"/><Relationship Id="rId43" Type="http://schemas.openxmlformats.org/officeDocument/2006/relationships/hyperlink" Target="https://www.youtube.com/watch?v=4oYKXCUVojA&amp;t=13430s" TargetMode="External"/><Relationship Id="rId139" Type="http://schemas.openxmlformats.org/officeDocument/2006/relationships/hyperlink" Target="http://www.oas.org/es/cidh/docs/anual/2019/docs/IA2019cap5MX-es.pdf" TargetMode="External"/><Relationship Id="rId290" Type="http://schemas.openxmlformats.org/officeDocument/2006/relationships/hyperlink" Target="http://www.oas.org/es/cidh/docs/anual/2020/capitulos/IA2020cap5.MX-es.pdf" TargetMode="External"/><Relationship Id="rId304" Type="http://schemas.openxmlformats.org/officeDocument/2006/relationships/hyperlink" Target="http://www.oas.org/es/CIDH/jsForm/?File=/es/cidh/prensa/comunicados/2021/082.asp" TargetMode="External"/><Relationship Id="rId346" Type="http://schemas.openxmlformats.org/officeDocument/2006/relationships/hyperlink" Target="https://www.cndh.org.mx/sites/default/files/documentos/2021-03/COM_2021_075.pdf" TargetMode="External"/><Relationship Id="rId388" Type="http://schemas.openxmlformats.org/officeDocument/2006/relationships/hyperlink" Target="https://www.radioformula.com.mx/noticias/20211006/atacan-portal-emeequis-tras-publicar-reportaje-el-checador-detras-de-las-empresas-fantasmas-de-amlo/" TargetMode="External"/><Relationship Id="rId85" Type="http://schemas.openxmlformats.org/officeDocument/2006/relationships/hyperlink" Target="https://www.animalpolitico.com/2021/02/mexico-innsbruck-restos-caso-ayotzinapa/" TargetMode="External"/><Relationship Id="rId150" Type="http://schemas.openxmlformats.org/officeDocument/2006/relationships/hyperlink" Target="https://www.elimparcial.com/tijuana/policiaca/En-Hacienda-los-Laureles-se-encuentra-sin-vida-a-Kendra-Medina-Mujer-Trans--20210708-0030.html" TargetMode="External"/><Relationship Id="rId192" Type="http://schemas.openxmlformats.org/officeDocument/2006/relationships/hyperlink" Target="http://www.dof.gob.mx/nota_detalle.php?codigo=5613845&amp;fecha=18/03/2021" TargetMode="External"/><Relationship Id="rId206" Type="http://schemas.openxmlformats.org/officeDocument/2006/relationships/hyperlink" Target="https://www.dof.gob.mx/nota_detalle.php?codigo=5625694&amp;fecha=04/08/2021" TargetMode="External"/><Relationship Id="rId413" Type="http://schemas.openxmlformats.org/officeDocument/2006/relationships/hyperlink" Target="https://www.animalpolitico.com/2021/06/sentencian-exalcalde-asesinato-periodista-miroslava-breach/" TargetMode="External"/><Relationship Id="rId248" Type="http://schemas.openxmlformats.org/officeDocument/2006/relationships/hyperlink" Target="http://comunicacion.senado.gob.mx/index.php/informacion/boletines/50315-aprueba-senado-ampliacion-del-catalogo-de-delitos-graves-para-prision-preventiva-oficiosa.html" TargetMode="External"/><Relationship Id="rId12" Type="http://schemas.openxmlformats.org/officeDocument/2006/relationships/hyperlink" Target="https://www.oas.org/es/cidh/docs/anual/2020/capitulos/IA2020cap5.MX-es.pdf" TargetMode="External"/><Relationship Id="rId33" Type="http://schemas.openxmlformats.org/officeDocument/2006/relationships/hyperlink" Target="https://www.nytimes.com/es/2021/03/10/espanol/mexico-ley-cannabis.html" TargetMode="External"/><Relationship Id="rId108" Type="http://schemas.openxmlformats.org/officeDocument/2006/relationships/hyperlink" Target="https://www.cndh.org.mx/documento/accion-de-inconstitucionalidad-632019" TargetMode="External"/><Relationship Id="rId129" Type="http://schemas.openxmlformats.org/officeDocument/2006/relationships/hyperlink" Target="http://www.oas.org/es/CIDH/informes/IA.asp?Year=2020" TargetMode="External"/><Relationship Id="rId280" Type="http://schemas.openxmlformats.org/officeDocument/2006/relationships/hyperlink" Target="https://www.gob.mx/cms/uploads/attachment/file/671659/CE_2021_08.pdf" TargetMode="External"/><Relationship Id="rId315" Type="http://schemas.openxmlformats.org/officeDocument/2006/relationships/hyperlink" Target="https://twitter.com/hashtag/PersonasMigrantes?src=hashtag_click" TargetMode="External"/><Relationship Id="rId336" Type="http://schemas.openxmlformats.org/officeDocument/2006/relationships/hyperlink" Target="https://www.dof.gob.mx/nota_detalle.php?codigo=5622105&amp;fecha=24/06/2021" TargetMode="External"/><Relationship Id="rId357" Type="http://schemas.openxmlformats.org/officeDocument/2006/relationships/hyperlink" Target="http://www.oas.org/es/CIDH/jsForm/?File=/es/cidh/prensa/comunicados/2021/243.asp" TargetMode="External"/><Relationship Id="rId54" Type="http://schemas.openxmlformats.org/officeDocument/2006/relationships/hyperlink" Target="https://twitter.com/CIDH/status/1432705884673749022?s=20" TargetMode="External"/><Relationship Id="rId75" Type="http://schemas.openxmlformats.org/officeDocument/2006/relationships/hyperlink" Target="https://www.facebook.com/1553993178067600/videos/1081983472572564" TargetMode="External"/><Relationship Id="rId96" Type="http://schemas.openxmlformats.org/officeDocument/2006/relationships/hyperlink" Target="https://www.onu.org.mx/el-estado-debe-garantizar-el-derecho-a-la-verdad-sobre-la-incidencia-de-la-tortura-onu-dh/" TargetMode="External"/><Relationship Id="rId140" Type="http://schemas.openxmlformats.org/officeDocument/2006/relationships/hyperlink" Target="http://www.oas.org/es/cidh/docs/anual/2017/docs/IA2017cap.5MX-es.pdf" TargetMode="External"/><Relationship Id="rId161" Type="http://schemas.openxmlformats.org/officeDocument/2006/relationships/hyperlink" Target="https://agenciapresentes.org/2021/06/14/crimen-de-odio-a-joven-que-vivia-con-vih-los-activismos-mexicanos-alzan-la-voz-y-exigen-justicia/" TargetMode="External"/><Relationship Id="rId182" Type="http://schemas.openxmlformats.org/officeDocument/2006/relationships/hyperlink" Target="https://politica.expansion.mx/estados/2021/08/25/el-congreso-de-yucatan-aprueba-el-matrimonio-igualitario" TargetMode="External"/><Relationship Id="rId217" Type="http://schemas.openxmlformats.org/officeDocument/2006/relationships/hyperlink" Target="https://oneamexico.org/2021/07/05/onea-mexico-se-suma-a-la-exigencia-de-justicia-por-el-homicidio-de-eduardo-jimenez-y-jonathan-herrera-en-veracruz/" TargetMode="External"/><Relationship Id="rId378" Type="http://schemas.openxmlformats.org/officeDocument/2006/relationships/hyperlink" Target="https://twitter.com/CIDH/status/1412530397792161794" TargetMode="External"/><Relationship Id="rId399" Type="http://schemas.openxmlformats.org/officeDocument/2006/relationships/hyperlink" Target="https://cpj.org/es/2021/08/secuestran-amenazan-y-roban-a-la-periodista-mexicana-maria-teresa-montano-en-toluca/" TargetMode="External"/><Relationship Id="rId403" Type="http://schemas.openxmlformats.org/officeDocument/2006/relationships/hyperlink" Target="https://elpais.com/mexico/2021-06-30/el-presidente-estrena-su-espacio-contra-los-medios-de-comunicacion-llamandolos-corruptos-rastreros-e-integristas.html" TargetMode="External"/><Relationship Id="rId6" Type="http://schemas.openxmlformats.org/officeDocument/2006/relationships/hyperlink" Target="https://politica.expansion.mx/mexico/2021/04/19/voces-guardia-nacional-suma-424-quejas-actos-contra-derechos-humanos" TargetMode="External"/><Relationship Id="rId238" Type="http://schemas.openxmlformats.org/officeDocument/2006/relationships/hyperlink" Target="https://home.inai.org.mx/wp-content/documentos/SalaDePrensa/Comunicados/Comunicado%20INAI-435-21.pdf" TargetMode="External"/><Relationship Id="rId259" Type="http://schemas.openxmlformats.org/officeDocument/2006/relationships/hyperlink" Target="http://www.oas.org/es/cidh/ppl/informes/pdfs/Informe-PP-2013-es.pdf" TargetMode="External"/><Relationship Id="rId424" Type="http://schemas.openxmlformats.org/officeDocument/2006/relationships/hyperlink" Target="https://cpj.org/es/2021/11/secuestran-y-matan-al-periodista-mexicano-alfredo-cardoso-echevarria-en-acapulco/" TargetMode="External"/><Relationship Id="rId23" Type="http://schemas.openxmlformats.org/officeDocument/2006/relationships/hyperlink" Target="https://www.eluniversal.com.mx/nacion/caso-tlatlaya-reaprehension-de-militares-es-relevante-falta-investigar-cadena-de-mando-centro" TargetMode="External"/><Relationship Id="rId119" Type="http://schemas.openxmlformats.org/officeDocument/2006/relationships/hyperlink" Target="http://www.oas.org/es/cidh/informes/pdfs/Mexico2016-es.pdf" TargetMode="External"/><Relationship Id="rId270" Type="http://schemas.openxmlformats.org/officeDocument/2006/relationships/hyperlink" Target="https://www.elheraldodesaltillo.mx/2021/09/14/mexico-libera-los-primeros-682-presos-por-el-decreto-de-andres-lopez/" TargetMode="External"/><Relationship Id="rId291" Type="http://schemas.openxmlformats.org/officeDocument/2006/relationships/hyperlink" Target="https://www.oas.org/es/cidh/migrantes/docs/pdf/Informe-Migrantes-Mexico-2013.pdf" TargetMode="External"/><Relationship Id="rId305" Type="http://schemas.openxmlformats.org/officeDocument/2006/relationships/hyperlink" Target="https://www.gob.mx/comar/prensa/chiapas-concentra-72-por-ciento-de-las-solicitudes-de-refugio-en-el-pais-senala-alejandro-encinas-278059?idiom=es" TargetMode="External"/><Relationship Id="rId326" Type="http://schemas.openxmlformats.org/officeDocument/2006/relationships/hyperlink" Target="https://www.oas.org/es/cidh/migrantes/docs/pdf/Informe-Migrantes-Mexico-2013.pdf" TargetMode="External"/><Relationship Id="rId347" Type="http://schemas.openxmlformats.org/officeDocument/2006/relationships/hyperlink" Target="https://www.cndh.org.mx/sites/default/files/documentos/2021-07/COM_2021_181.pdf" TargetMode="External"/><Relationship Id="rId44" Type="http://schemas.openxmlformats.org/officeDocument/2006/relationships/hyperlink" Target="https://twitter.com/CIDH/status/1458462923702128643?s=20" TargetMode="External"/><Relationship Id="rId65" Type="http://schemas.openxmlformats.org/officeDocument/2006/relationships/hyperlink" Target="http://www.oas.org/es/CIDH/informes/IA.asp?Year=2020" TargetMode="External"/><Relationship Id="rId86" Type="http://schemas.openxmlformats.org/officeDocument/2006/relationships/hyperlink" Target="https://www.reporteindigo.com/reporte/caso-ayotzinapa-envian-16-restos-humanos-a-universidad-de-innsbruck-para-analisis/" TargetMode="External"/><Relationship Id="rId130" Type="http://schemas.openxmlformats.org/officeDocument/2006/relationships/hyperlink" Target="https://www.milenio.com/policia/uriel-villegas-ortiz-jueces-magistrados-ven-impunidad-asesinato" TargetMode="External"/><Relationship Id="rId151" Type="http://schemas.openxmlformats.org/officeDocument/2006/relationships/hyperlink" Target="https://agenciapresentes.org/2021/11/26/mujeres-trans-en-ensenada-le-temen-a-transfeminicidas-libres/" TargetMode="External"/><Relationship Id="rId368" Type="http://schemas.openxmlformats.org/officeDocument/2006/relationships/hyperlink" Target="https://mailchi.mp/cmdpdh/situacin-de-desplazamiento-interno-forzado-en-mxico" TargetMode="External"/><Relationship Id="rId389" Type="http://schemas.openxmlformats.org/officeDocument/2006/relationships/hyperlink" Target="https://elpais.com/mexico/2021-07-01/agresiones-y-detenciones-arbitrarias-la-cotidianidad-de-los-periodistas-en-mexico.html" TargetMode="External"/><Relationship Id="rId172" Type="http://schemas.openxmlformats.org/officeDocument/2006/relationships/hyperlink" Target="https://elpais.com/mexico/2021-09-23/el-conservador-estado-de-queretaro-aprueba-el-matrimonio-homosexual.html" TargetMode="External"/><Relationship Id="rId193" Type="http://schemas.openxmlformats.org/officeDocument/2006/relationships/hyperlink" Target="https://dof.gob.mx/nota_detalle.php?codigo=5619905&amp;fecha=01/06/2021" TargetMode="External"/><Relationship Id="rId207" Type="http://schemas.openxmlformats.org/officeDocument/2006/relationships/hyperlink" Target="http://sindis.conapred.org.mx/wp-content/uploads/2020/01/Discriminacion_Empresas.Ax_.pdf" TargetMode="External"/><Relationship Id="rId228" Type="http://schemas.openxmlformats.org/officeDocument/2006/relationships/hyperlink" Target="https://dispensariodi.com/wp-content/uploads/2021/05/es-un-secreto-la-explotacion-sexual-infantil-en-escuelas-2.pdf" TargetMode="External"/><Relationship Id="rId249" Type="http://schemas.openxmlformats.org/officeDocument/2006/relationships/hyperlink" Target="http://comunicacion.senado.gob.mx/index.php/informacion/boletines/50315-aprueba-senado-ampliacion-del-catalogo-de-delitos-graves-para-prision-preventiva-oficiosa.html" TargetMode="External"/><Relationship Id="rId414" Type="http://schemas.openxmlformats.org/officeDocument/2006/relationships/hyperlink" Target="https://propuestacivica.org.mx/noticia/condenan-a-hugo-amed-schultz-alcaraz-por-el-homicidio-de-la-periodista-miroslava-breach-velducea" TargetMode="External"/><Relationship Id="rId435" Type="http://schemas.openxmlformats.org/officeDocument/2006/relationships/hyperlink" Target="https://www.onu.org.mx/onu-dh-saluda-la-orden-a-la-guardia-nacional-de-hacer-publicos-sus-informes-sobre-uso-de-la-fuerza/" TargetMode="External"/><Relationship Id="rId13" Type="http://schemas.openxmlformats.org/officeDocument/2006/relationships/hyperlink" Target="http://www.diputados.gob.mx/LeyesBiblio/pdf/LNUF_270519.pdf" TargetMode="External"/><Relationship Id="rId109" Type="http://schemas.openxmlformats.org/officeDocument/2006/relationships/hyperlink" Target="http://www.oas.org/es/cidh/docs/anual/2020/capitulos/IA2020cap5.MX-es.pdf" TargetMode="External"/><Relationship Id="rId260" Type="http://schemas.openxmlformats.org/officeDocument/2006/relationships/hyperlink" Target="https://www.gob.mx/sspc/prensa/se-instalan-subcomisiones-para-una-adecuada-reinsercion-social-y-servicios-postpenales" TargetMode="External"/><Relationship Id="rId281" Type="http://schemas.openxmlformats.org/officeDocument/2006/relationships/hyperlink" Target="https://www.gob.mx/cms/uploads/attachment/file/666317/CE_2021_07.pdf" TargetMode="External"/><Relationship Id="rId316" Type="http://schemas.openxmlformats.org/officeDocument/2006/relationships/hyperlink" Target="https://twitter.com/hashtag/31Oct?src=hashtag_click" TargetMode="External"/><Relationship Id="rId337" Type="http://schemas.openxmlformats.org/officeDocument/2006/relationships/hyperlink" Target="https://www.oas.org/es/cidh/migrantes/docs/pdf/Informe-Migrantes-Mexico-2013.pdf" TargetMode="External"/><Relationship Id="rId34" Type="http://schemas.openxmlformats.org/officeDocument/2006/relationships/hyperlink" Target="https://www.bbc.com/mundo/noticias-america-latina-57661464" TargetMode="External"/><Relationship Id="rId55" Type="http://schemas.openxmlformats.org/officeDocument/2006/relationships/hyperlink" Target="http://www.youtube.com/watch?v=8fYDhciXvpU" TargetMode="External"/><Relationship Id="rId76" Type="http://schemas.openxmlformats.org/officeDocument/2006/relationships/hyperlink" Target="https://www.facebook.com/1553993178067600/videos/1081983472572564" TargetMode="External"/><Relationship Id="rId97" Type="http://schemas.openxmlformats.org/officeDocument/2006/relationships/hyperlink" Target="https://www.internet2.scjn.gob.mx/red2/comunicados/noticia.asp?id=6630" TargetMode="External"/><Relationship Id="rId120" Type="http://schemas.openxmlformats.org/officeDocument/2006/relationships/hyperlink" Target="https://www.gob.mx/segob/prensa/218336" TargetMode="External"/><Relationship Id="rId141" Type="http://schemas.openxmlformats.org/officeDocument/2006/relationships/hyperlink" Target="https://www.corteidh.or.cr/docs/supervisiones/radilla_17_04_15.pdf" TargetMode="External"/><Relationship Id="rId358" Type="http://schemas.openxmlformats.org/officeDocument/2006/relationships/hyperlink" Target="https://www.youtube.com/watch?v=uAujEJLnL90" TargetMode="External"/><Relationship Id="rId379" Type="http://schemas.openxmlformats.org/officeDocument/2006/relationships/hyperlink" Target="https://hchr.org.mx/comunicados/la-onu-dh-llama-a-las-autoridades-a-garantizar-la-labor-de-las-mujeres-defensoras-de-derechos-humanos/" TargetMode="External"/><Relationship Id="rId7" Type="http://schemas.openxmlformats.org/officeDocument/2006/relationships/hyperlink" Target="https://politica.expansion.mx/mexico/2021/04/19/voces-guardia-nacional-suma-424-quejas-actos-contra-derechos-humanos" TargetMode="External"/><Relationship Id="rId162" Type="http://schemas.openxmlformats.org/officeDocument/2006/relationships/hyperlink" Target="https://agenciapresentes.org/2021/10/25/otro-crimen-de-odio-en-veracruz-joven-chef-y-emprendedor-social-asesinado-de-20-punaladas/" TargetMode="External"/><Relationship Id="rId183" Type="http://schemas.openxmlformats.org/officeDocument/2006/relationships/hyperlink" Target="https://twitter.com/CIDH/status/1431265577419649029?s=20" TargetMode="External"/><Relationship Id="rId218" Type="http://schemas.openxmlformats.org/officeDocument/2006/relationships/hyperlink" Target="https://twitter.com/CuitlahuacGJ" TargetMode="External"/><Relationship Id="rId239" Type="http://schemas.openxmlformats.org/officeDocument/2006/relationships/hyperlink" Target="https://www.elfinanciero.com.mx/nacional/2021/12/14/corte-suspende-decretazo-de-amlo-pero-solo-para-efectos-de-transparencia/" TargetMode="External"/><Relationship Id="rId390" Type="http://schemas.openxmlformats.org/officeDocument/2006/relationships/hyperlink" Target="https://cpj.org/es/2021/02/el-periodista-mexicano-edgar-leyva-se-oculta-tras-atentado/" TargetMode="External"/><Relationship Id="rId404" Type="http://schemas.openxmlformats.org/officeDocument/2006/relationships/hyperlink" Target="https://twitter.com/Forbes_Mexico/status/1410599028320993284?s=20" TargetMode="External"/><Relationship Id="rId425" Type="http://schemas.openxmlformats.org/officeDocument/2006/relationships/hyperlink" Target="https://articulo19.org/asesinatos-de-periodistas-en-mexico-resultado-de-la-ausencia-de-una-politica-publica-integral-de-proteccion/" TargetMode="External"/><Relationship Id="rId250" Type="http://schemas.openxmlformats.org/officeDocument/2006/relationships/hyperlink" Target="https://www.cndh.org.mx/sites/default/files/documentos/2021-02/Pronunciamiento_Reformas_19feb.pdf" TargetMode="External"/><Relationship Id="rId271" Type="http://schemas.openxmlformats.org/officeDocument/2006/relationships/hyperlink" Target="https://www.elheraldodesaltillo.mx/2021/09/14/mexico-libera-los-primeros-682-presos-por-el-decreto-de-andres-lopez/" TargetMode="External"/><Relationship Id="rId292" Type="http://schemas.openxmlformats.org/officeDocument/2006/relationships/hyperlink" Target="http://www.oas.org/es/CIDH/jsForm/?File=/es/cidh/prensa/comunicados/2021/033.asp" TargetMode="External"/><Relationship Id="rId306" Type="http://schemas.openxmlformats.org/officeDocument/2006/relationships/hyperlink" Target="http://www.oas.org/es/CIDH/jsForm/?File=/es/cidh/prensa/comunicados/2021/255.asp" TargetMode="External"/><Relationship Id="rId24" Type="http://schemas.openxmlformats.org/officeDocument/2006/relationships/hyperlink" Target="https://www.oas.org/es/cidh/docs/anual/2020/capitulos/IA2020cap5.MX-es.pdf" TargetMode="External"/><Relationship Id="rId45" Type="http://schemas.openxmlformats.org/officeDocument/2006/relationships/hyperlink" Target="https://www.gob.mx/segob/prensa/218336" TargetMode="External"/><Relationship Id="rId66" Type="http://schemas.openxmlformats.org/officeDocument/2006/relationships/hyperlink" Target="http://www.oas.org/es/cidh/docs/anual/2019/docs/IA2019cap5MX-es.pdf" TargetMode="External"/><Relationship Id="rId87" Type="http://schemas.openxmlformats.org/officeDocument/2006/relationships/hyperlink" Target="https://www.gob.mx/presidencia/es/articulos/comision-presidencial-para-el-caso-ayotzinapa-confirma-hallazgos-de-restos-de-normalistas-obtenidos-en-barranca-de-la-carniceria?idiom=es" TargetMode="External"/><Relationship Id="rId110" Type="http://schemas.openxmlformats.org/officeDocument/2006/relationships/hyperlink" Target="https://www.omct.org/site-resources/legacy/Informe-Tortura-y-Covid-19_Mexico_2021.pdf" TargetMode="External"/><Relationship Id="rId131" Type="http://schemas.openxmlformats.org/officeDocument/2006/relationships/hyperlink" Target="https://www.animalpolitico.com/2021/12/ceav-2022-deficit-peligran-pagos-contrataciones/" TargetMode="External"/><Relationship Id="rId327" Type="http://schemas.openxmlformats.org/officeDocument/2006/relationships/hyperlink" Target="https://www.cndh.org.mx/sites/default/files/documentos/2021-01/COM_2021_018.pdf" TargetMode="External"/><Relationship Id="rId348" Type="http://schemas.openxmlformats.org/officeDocument/2006/relationships/hyperlink" Target="https://www.cndh.org.mx/sites/default/files/documentos/2021-07/COM_2021_199.pdf" TargetMode="External"/><Relationship Id="rId369" Type="http://schemas.openxmlformats.org/officeDocument/2006/relationships/hyperlink" Target="http://www.oas.org/es/cidh/prensa/comunicados/2019/100.asp" TargetMode="External"/><Relationship Id="rId152" Type="http://schemas.openxmlformats.org/officeDocument/2006/relationships/hyperlink" Target="https://www.elimparcial.com/tijuana/ensenada/Comunidad-LGBT-exige-justicia-para-Tita--20211105-0022.html" TargetMode="External"/><Relationship Id="rId173" Type="http://schemas.openxmlformats.org/officeDocument/2006/relationships/hyperlink" Target="https://politica.expansion.mx/estados/2021/09/23/el-congreso-de-sonora-le-dice-si-al-matrimonio-igualitario" TargetMode="External"/><Relationship Id="rId194" Type="http://schemas.openxmlformats.org/officeDocument/2006/relationships/hyperlink" Target="https://dof.gob.mx/nota_detalle.php?codigo=5619905&amp;fecha=01/06/2021" TargetMode="External"/><Relationship Id="rId208" Type="http://schemas.openxmlformats.org/officeDocument/2006/relationships/hyperlink" Target="https://www.oas.org/ext/en/human-rights/simore/Recommendations/Details/rid/392" TargetMode="External"/><Relationship Id="rId229" Type="http://schemas.openxmlformats.org/officeDocument/2006/relationships/hyperlink" Target="https://www.gob.mx/cms/uploads/attachment/file/661827/Segob_Impacto_pandemia_en_nin_as_y_nin_os__13ago21.pdf" TargetMode="External"/><Relationship Id="rId380" Type="http://schemas.openxmlformats.org/officeDocument/2006/relationships/hyperlink" Target="https://www.elsoldemexico.com.mx/mexico/sociedad/crecen-agresiones-contra-defensores-y-periodistas-durante-los-ultimos-tres-anos-segob-7300210.html" TargetMode="External"/><Relationship Id="rId415" Type="http://schemas.openxmlformats.org/officeDocument/2006/relationships/hyperlink" Target="https://www.elsoldemexico.com.mx/republica/justicia/dan-ocho-anos-de-prision-a-ex-alcalde-por-homicidio-de-periodista-miroslava-breach-chihuahua-6848447.html" TargetMode="External"/><Relationship Id="rId436" Type="http://schemas.openxmlformats.org/officeDocument/2006/relationships/hyperlink" Target="https://www.animalpolitico.com/2021/10/guardia-nacional-datos-uso-fuerza-armamento/" TargetMode="External"/><Relationship Id="rId240" Type="http://schemas.openxmlformats.org/officeDocument/2006/relationships/hyperlink" Target="https://politica.expansion.mx/mexico/2021/12/14/corte-suspende-parcialmente-acuerdo-sobre-obra-publica" TargetMode="External"/><Relationship Id="rId261" Type="http://schemas.openxmlformats.org/officeDocument/2006/relationships/hyperlink" Target="https://www.oas.org/ext/en/human-rights/simore/Recommendations/Details/rid/400" TargetMode="External"/><Relationship Id="rId14" Type="http://schemas.openxmlformats.org/officeDocument/2006/relationships/hyperlink" Target="http://www.diputados.gob.mx/LeyesBiblio/pdf/LNUF_270519.pdf" TargetMode="External"/><Relationship Id="rId35" Type="http://schemas.openxmlformats.org/officeDocument/2006/relationships/hyperlink" Target="http://www.oas.org/es/CIDH/informes/IA.asp?Year=2020" TargetMode="External"/><Relationship Id="rId56" Type="http://schemas.openxmlformats.org/officeDocument/2006/relationships/hyperlink" Target="http://www.youtube.com/watch?v=8fYDhciXvpU" TargetMode="External"/><Relationship Id="rId77" Type="http://schemas.openxmlformats.org/officeDocument/2006/relationships/hyperlink" Target="https://www.oas.org/ext/en/human-rights/simore/Recommendations/Details/rid/361" TargetMode="External"/><Relationship Id="rId100" Type="http://schemas.openxmlformats.org/officeDocument/2006/relationships/hyperlink" Target="http://www.oas.org/es/cidh/docs/anual/2020/capitulos/IA2020cap5.MX-es.pdf" TargetMode="External"/><Relationship Id="rId282" Type="http://schemas.openxmlformats.org/officeDocument/2006/relationships/hyperlink" Target="https://www.gob.mx/cms/uploads/attachment/file/660084/CE_2021_06.pdf" TargetMode="External"/><Relationship Id="rId317" Type="http://schemas.openxmlformats.org/officeDocument/2006/relationships/hyperlink" Target="https://twitter.com/hashtag/31Oct?src=hashtag_click" TargetMode="External"/><Relationship Id="rId338" Type="http://schemas.openxmlformats.org/officeDocument/2006/relationships/hyperlink" Target="https://www.oas.org/es/cidh/migrantes/docs/pdf/Informe-Migrantes-Mexico-2013.pdf" TargetMode="External"/><Relationship Id="rId359" Type="http://schemas.openxmlformats.org/officeDocument/2006/relationships/hyperlink" Target="http://www.oas.org/es/CIDH/jsForm/?File=/es/cidh/prensa/comunicados/2021/243.asp" TargetMode="External"/><Relationship Id="rId8" Type="http://schemas.openxmlformats.org/officeDocument/2006/relationships/hyperlink" Target="https://www.oas.org/es/cidh/docs/anual/2020/capitulos/IA2020cap5.MX-es.pdf" TargetMode="External"/><Relationship Id="rId98" Type="http://schemas.openxmlformats.org/officeDocument/2006/relationships/hyperlink" Target="https://www.omct.org/site-resources/legacy/Informe-Tortura-y-Covid-19_Mexico_2021.pdf" TargetMode="External"/><Relationship Id="rId121" Type="http://schemas.openxmlformats.org/officeDocument/2006/relationships/hyperlink" Target="https://www.facebook.com/1553993178067600/videos/1081983472572564" TargetMode="External"/><Relationship Id="rId142" Type="http://schemas.openxmlformats.org/officeDocument/2006/relationships/hyperlink" Target="https://www.corteidh.or.cr/docs/supervisiones/cabreragarciaymontiel_24_06_20.pdf" TargetMode="External"/><Relationship Id="rId163" Type="http://schemas.openxmlformats.org/officeDocument/2006/relationships/hyperlink" Target="https://politica.expansion.mx/estados/2021/08/07/yucatan-fiscalia-indaga-el-posible-homicidio-de-un-joven-por-parte-de-policias" TargetMode="External"/><Relationship Id="rId184" Type="http://schemas.openxmlformats.org/officeDocument/2006/relationships/hyperlink" Target="https://latertulia.com.mx/2021/08/30/zacatecas-prohibe-las-terapias-de-conversion-o-los-ecosig/" TargetMode="External"/><Relationship Id="rId219" Type="http://schemas.openxmlformats.org/officeDocument/2006/relationships/hyperlink" Target="https://twitter.com/EDUARDOROJASCA9" TargetMode="External"/><Relationship Id="rId370" Type="http://schemas.openxmlformats.org/officeDocument/2006/relationships/hyperlink" Target="https://www.gob.mx/segob/documentos/agravios-contra-personas-defensoras-de-derechos-humanos-y-periodistas" TargetMode="External"/><Relationship Id="rId391" Type="http://schemas.openxmlformats.org/officeDocument/2006/relationships/hyperlink" Target="https://oaxacavialynoticias.com/dos-mujeres-ejecutadas-en-ocotlan-de-morelos-oaxaca/" TargetMode="External"/><Relationship Id="rId405" Type="http://schemas.openxmlformats.org/officeDocument/2006/relationships/hyperlink" Target="https://www.oas.org/es/cidh/expresion/showarticle.asp?artID=1207&amp;lID=2" TargetMode="External"/><Relationship Id="rId426" Type="http://schemas.openxmlformats.org/officeDocument/2006/relationships/hyperlink" Target="https://www.reforma.com/aplicacioneslibre/preacceso/articulo/default.aspx?__rval=1&amp;urlredirect=https://www.reforma.com/bloquean-datos-sobre-vacunas/ar2308582?referer=--7d616165662f3a3a6262623b727a7a7279703b767a783a--" TargetMode="External"/><Relationship Id="rId230" Type="http://schemas.openxmlformats.org/officeDocument/2006/relationships/hyperlink" Target="https://twitter.com/CIDH/status/1443328901648879619" TargetMode="External"/><Relationship Id="rId251" Type="http://schemas.openxmlformats.org/officeDocument/2006/relationships/hyperlink" Target="https://www.cndh.org.mx/sites/default/files/documentos/2021-02/Pronunciamiento_Reformas_19feb.pdf" TargetMode="External"/><Relationship Id="rId25" Type="http://schemas.openxmlformats.org/officeDocument/2006/relationships/hyperlink" Target="http://www.oas.org/es/cidh/docs/anual/2019/docs/IA2019cap5MX-es.pdf" TargetMode="External"/><Relationship Id="rId46" Type="http://schemas.openxmlformats.org/officeDocument/2006/relationships/hyperlink" Target="https://www.facebook.com/1553993178067600/videos/1081983472572564" TargetMode="External"/><Relationship Id="rId67" Type="http://schemas.openxmlformats.org/officeDocument/2006/relationships/hyperlink" Target="https://www.facebook.com/1553993178067600/videos/1081983472572564" TargetMode="External"/><Relationship Id="rId272" Type="http://schemas.openxmlformats.org/officeDocument/2006/relationships/hyperlink" Target="https://elpais.bo/internacional/20210915_mexico-libera-a-682-presos-por-el-decreto-de-amlo.html" TargetMode="External"/><Relationship Id="rId293" Type="http://schemas.openxmlformats.org/officeDocument/2006/relationships/hyperlink" Target="http://www.oas.org/es/CIDH/jsForm/?File=/es/cidh/prensa/comunicados/2021/033.asp" TargetMode="External"/><Relationship Id="rId307" Type="http://schemas.openxmlformats.org/officeDocument/2006/relationships/hyperlink" Target="https://www.gob.mx/inm/prensa/inm-suspende-de-sus-funciones-a-dos-agentes-federales-281338?idiom=es" TargetMode="External"/><Relationship Id="rId328" Type="http://schemas.openxmlformats.org/officeDocument/2006/relationships/hyperlink" Target="https://www.eluniversal.com.mx/nacion/no-es-un-san-fernando-dice-sanchez-cordero-sobre-los-19-cuerpos-calcinados-encontrados-en" TargetMode="External"/><Relationship Id="rId349" Type="http://schemas.openxmlformats.org/officeDocument/2006/relationships/hyperlink" Target="https://www.cndh.org.mx/sites/default/files/documentos/2021-03/COM_2021_062.pdf" TargetMode="External"/><Relationship Id="rId88" Type="http://schemas.openxmlformats.org/officeDocument/2006/relationships/hyperlink" Target="https://twitter.com/CIDH/status/1404972382930997248?s=20" TargetMode="External"/><Relationship Id="rId111" Type="http://schemas.openxmlformats.org/officeDocument/2006/relationships/hyperlink" Target="https://www.inegi.org.mx/contenidos/programas/enpol/2021/doc/enpol2021_presentacion_nacional.pdf" TargetMode="External"/><Relationship Id="rId132" Type="http://schemas.openxmlformats.org/officeDocument/2006/relationships/hyperlink" Target="https://www.jornada.com.mx/notas/2021/10/03/politica/colectivos-y-familiares-urgen-al-senado-a-que-nombre-titular-de-ceav/" TargetMode="External"/><Relationship Id="rId153" Type="http://schemas.openxmlformats.org/officeDocument/2006/relationships/hyperlink" Target="https://agenciapresentes.org/2021/11/26/mujeres-trans-en-ensenada-le-temen-a-transfeminicidas-libres/" TargetMode="External"/><Relationship Id="rId174" Type="http://schemas.openxmlformats.org/officeDocument/2006/relationships/hyperlink" Target="https://politica.expansion.mx/estados/2021/08/25/el-congreso-de-yucatan-aprueba-el-matrimonio-igualitario" TargetMode="External"/><Relationship Id="rId195" Type="http://schemas.openxmlformats.org/officeDocument/2006/relationships/hyperlink" Target="http://www.congresochihuahua.gob.mx/detalleNota.php?id=5120" TargetMode="External"/><Relationship Id="rId209" Type="http://schemas.openxmlformats.org/officeDocument/2006/relationships/hyperlink" Target="https://www.gob.mx/inpi/articulos/el-inpi-promueve-el-ejercicio-efectivo-de-los-derechos-de-las-mujeres-indigenas-y-afromexicanas?idiom=es" TargetMode="External"/><Relationship Id="rId360" Type="http://schemas.openxmlformats.org/officeDocument/2006/relationships/hyperlink" Target="https://www.oas.org/es/cidh/migrantes/docs/pdf/Informe-Migrantes-Mexico-2013.pdf" TargetMode="External"/><Relationship Id="rId381" Type="http://schemas.openxmlformats.org/officeDocument/2006/relationships/hyperlink" Target="https://latinus.us/2021/12/01/mecanismo-proteccion-periodistas-defensores-derechos-humanos-insuficiente-reconoce-encinas/" TargetMode="External"/><Relationship Id="rId416" Type="http://schemas.openxmlformats.org/officeDocument/2006/relationships/hyperlink" Target="https://propuestacivica.org.mx/noticia/fallo-condenatorio-para-juan-francisco-picos-barrueta-alias-el-quillo-por-su-participacion-en-el-asesinato-del-periodista-javier-valdez" TargetMode="External"/><Relationship Id="rId220" Type="http://schemas.openxmlformats.org/officeDocument/2006/relationships/hyperlink" Target="https://twitter.com/HGutierrez_M" TargetMode="External"/><Relationship Id="rId241" Type="http://schemas.openxmlformats.org/officeDocument/2006/relationships/hyperlink" Target="https://www.cemda.org.mx/organizaciones-y-colectivos-exhiben-violaciones-a-derechos-humanos-en-los-litigios-del-tren-maya/" TargetMode="External"/><Relationship Id="rId437" Type="http://schemas.openxmlformats.org/officeDocument/2006/relationships/hyperlink" Target="http://www.oas.org/es/cidh/expresion/informes/DerechoInformacionSeguridadNacional.pdf" TargetMode="External"/><Relationship Id="rId15" Type="http://schemas.openxmlformats.org/officeDocument/2006/relationships/hyperlink" Target="https://www.internet2.scjn.gob.mx/red2/comunicados/noticia.asp?id=6634" TargetMode="External"/><Relationship Id="rId36" Type="http://schemas.openxmlformats.org/officeDocument/2006/relationships/hyperlink" Target="http://www.oas.org/es/cidh/docs/anual/2019/docs/IA2019cap5MX-es.pdf" TargetMode="External"/><Relationship Id="rId57" Type="http://schemas.openxmlformats.org/officeDocument/2006/relationships/hyperlink" Target="https://www.facebook.com/1553993178067600/videos/1081983472572564" TargetMode="External"/><Relationship Id="rId262" Type="http://schemas.openxmlformats.org/officeDocument/2006/relationships/hyperlink" Target="https://www.oas.org/ext/en/human-rights/simore/Recommendations/Details/rid/402" TargetMode="External"/><Relationship Id="rId283" Type="http://schemas.openxmlformats.org/officeDocument/2006/relationships/hyperlink" Target="https://www.gob.mx/cms/uploads/attachment/file/660082/CE_2021_05.pdf" TargetMode="External"/><Relationship Id="rId318" Type="http://schemas.openxmlformats.org/officeDocument/2006/relationships/hyperlink" Target="https://twitter.com/CIDH/status/1456262944593825804?s=20" TargetMode="External"/><Relationship Id="rId339" Type="http://schemas.openxmlformats.org/officeDocument/2006/relationships/hyperlink" Target="http://www.oas.org/es/cidh/docs/anual/2020/capitulos/IA2020cap5.MX-es.pdf" TargetMode="External"/><Relationship Id="rId78" Type="http://schemas.openxmlformats.org/officeDocument/2006/relationships/hyperlink" Target="http://www.oas.org/es/CIDH/informes/IA.asp?Year=2020" TargetMode="External"/><Relationship Id="rId99" Type="http://schemas.openxmlformats.org/officeDocument/2006/relationships/hyperlink" Target="https://www.animalpolitico.com/res-publica/es-suficiente-un-decreto-para-erradicar-la-tortura-en-mexico/" TargetMode="External"/><Relationship Id="rId101" Type="http://schemas.openxmlformats.org/officeDocument/2006/relationships/hyperlink" Target="https://www.inegi.org.mx/contenidos/programas/enpol/2021/doc/enpol2021_presentacion_nacional.pdf" TargetMode="External"/><Relationship Id="rId122" Type="http://schemas.openxmlformats.org/officeDocument/2006/relationships/hyperlink" Target="https://twitter.com/CIDH/status/1458462923702128643?s=20" TargetMode="External"/><Relationship Id="rId143" Type="http://schemas.openxmlformats.org/officeDocument/2006/relationships/hyperlink" Target="https://www.oas.org/ext/en/human-rights/simore/Recommendations/Details/rid/387" TargetMode="External"/><Relationship Id="rId164" Type="http://schemas.openxmlformats.org/officeDocument/2006/relationships/hyperlink" Target="https://elpopular.mx/comunidad/2021/09/23/comerciantes-agreden-con-palos-a-integrantes-de-la-comunidad-lgbt-que-trabajan-en-un-tianguis-disidente-de-la-cdmx" TargetMode="External"/><Relationship Id="rId185" Type="http://schemas.openxmlformats.org/officeDocument/2006/relationships/hyperlink" Target="https://www.contramuro.com/legisla-colima-contra-las-terapias-de-conversion/" TargetMode="External"/><Relationship Id="rId350" Type="http://schemas.openxmlformats.org/officeDocument/2006/relationships/hyperlink" Target="https://www.cndh.org.mx/sites/default/files/documentos/2021-08/COM_2021_215.pdf" TargetMode="External"/><Relationship Id="rId371" Type="http://schemas.openxmlformats.org/officeDocument/2006/relationships/hyperlink" Target="https://hchr.org.mx/comunicados/la-onu-dh-condena-los-asesinatos-de-los-defensores-de-derechos-humanos-rodrigo-morales-vazquez-y-alejandro-garcia-zagal/" TargetMode="External"/><Relationship Id="rId406" Type="http://schemas.openxmlformats.org/officeDocument/2006/relationships/hyperlink" Target="https://www.dw.com/en/pegasus-spyware-mexico-one-of-the-biggest-targets/a-58597847" TargetMode="External"/><Relationship Id="rId9" Type="http://schemas.openxmlformats.org/officeDocument/2006/relationships/hyperlink" Target="https://www.scjn.gob.mx/sites/default/files/acuerdos_controversias_constit/documento/2020-07-24/MP_ContConst-90-2020.pdf" TargetMode="External"/><Relationship Id="rId210" Type="http://schemas.openxmlformats.org/officeDocument/2006/relationships/hyperlink" Target="http://cuentame.inegi.org.mx/poblacion/default.aspx?tema=P" TargetMode="External"/><Relationship Id="rId392" Type="http://schemas.openxmlformats.org/officeDocument/2006/relationships/hyperlink" Target="https://oaxaca.quadratin.com.mx/asesinan-a-balazos-a-2-mujeres-en-oaxaca/" TargetMode="External"/><Relationship Id="rId427" Type="http://schemas.openxmlformats.org/officeDocument/2006/relationships/hyperlink" Target="https://www.eluniversal.com.mx/nacion/scjn-suspende-transparentar-informacion-sobre-vacunas-anticovid" TargetMode="External"/><Relationship Id="rId26" Type="http://schemas.openxmlformats.org/officeDocument/2006/relationships/hyperlink" Target="https://www.oas.org/es/cidh/docs/anual/2020/capitulos/IA2020cap5.MX-es.pdf" TargetMode="External"/><Relationship Id="rId231" Type="http://schemas.openxmlformats.org/officeDocument/2006/relationships/hyperlink" Target="https://www.jornada.com.mx/notas/2021/10/09/estados/identifican-restos-de-otros-dos-yaquis-desaparecidos-en-sonora/" TargetMode="External"/><Relationship Id="rId252" Type="http://schemas.openxmlformats.org/officeDocument/2006/relationships/hyperlink" Target="https://www.scjn.gob.mx/sites/default/files/versiones-taquigraficas/documento/2021-10-25/25%20de%20octubre%20de%202021%20-%20Versi%C3%B3n%20definitiva.pdf" TargetMode="External"/><Relationship Id="rId273" Type="http://schemas.openxmlformats.org/officeDocument/2006/relationships/hyperlink" Target="https://elpais.bo/internacional/20210915_mexico-libera-a-682-presos-por-el-decreto-de-amlo.html" TargetMode="External"/><Relationship Id="rId294" Type="http://schemas.openxmlformats.org/officeDocument/2006/relationships/hyperlink" Target="https://www.oas.org/es/cidh/migrantes/docs/pdf/Informe-Migrantes-Mexico-2013.pdf" TargetMode="External"/><Relationship Id="rId308" Type="http://schemas.openxmlformats.org/officeDocument/2006/relationships/hyperlink" Target="https://hchr.org.mx/comunicados/acnur-oim-y-onu-dh-llaman-a-respetar-los-estandares-internacionales-en-el-uso-de-la-fuerza/" TargetMode="External"/><Relationship Id="rId329" Type="http://schemas.openxmlformats.org/officeDocument/2006/relationships/hyperlink" Target="https://www.eluniversal.com.mx/estados/se-indaga-personal-de-migracion-por-camioneta-hallada-con-19-calcinados-sanchez-cordero" TargetMode="External"/><Relationship Id="rId47" Type="http://schemas.openxmlformats.org/officeDocument/2006/relationships/hyperlink" Target="https://twitter.com/CIDH/status/1405663981948309505?s=20" TargetMode="External"/><Relationship Id="rId68" Type="http://schemas.openxmlformats.org/officeDocument/2006/relationships/hyperlink" Target="https://www.gob.mx/sspc/prensa/el-primero-de-abril-inicia-registro-nacional-de-detenciones-por-faltas-administrativas-268290?idiom=es" TargetMode="External"/><Relationship Id="rId89" Type="http://schemas.openxmlformats.org/officeDocument/2006/relationships/hyperlink" Target="http://www.oas.org/es/cidh/docs/anual/2019/indice.asp" TargetMode="External"/><Relationship Id="rId112" Type="http://schemas.openxmlformats.org/officeDocument/2006/relationships/hyperlink" Target="https://www.facebook.com/watch/live/?ref=watch_permalink&amp;v=821229925367532" TargetMode="External"/><Relationship Id="rId133" Type="http://schemas.openxmlformats.org/officeDocument/2006/relationships/hyperlink" Target="http://comunicacion.senado.gob.mx/index.php/informacion/boletines/50271-proponen-aumentar-requisitos-para-presidir-la-ceav.html" TargetMode="External"/><Relationship Id="rId154" Type="http://schemas.openxmlformats.org/officeDocument/2006/relationships/hyperlink" Target="https://www.animalpolitico.com/2021/07/matan-tres-mujeres-trans-una-semana-valeria-kendra-ivonne/" TargetMode="External"/><Relationship Id="rId175" Type="http://schemas.openxmlformats.org/officeDocument/2006/relationships/hyperlink" Target="https://www.infobae.com/america/mexico/2021/12/15/zacatecas-se-convirtio-en-el-estado-numero-25-en-reconocer-el-matrimonio-igualitario/" TargetMode="External"/><Relationship Id="rId340" Type="http://schemas.openxmlformats.org/officeDocument/2006/relationships/hyperlink" Target="https://www.proceso.com.mx/nacional/2021/3/27/condenan-hacinamiento-en-centros-de-detencion-de-migrantes-en-la-frontera-sur-260907.html" TargetMode="External"/><Relationship Id="rId361" Type="http://schemas.openxmlformats.org/officeDocument/2006/relationships/hyperlink" Target="https://www.onu.org.mx/cndh-y-onu-dh-llaman-a-garantizar-la-labor-de-quienes-documentan-la-situacion-en-chiapas/" TargetMode="External"/><Relationship Id="rId196" Type="http://schemas.openxmlformats.org/officeDocument/2006/relationships/hyperlink" Target="https://drive.google.com/file/d/1Gw6PrSAZNyX3vdd1SUD8EakMM8XWxo9B/view" TargetMode="External"/><Relationship Id="rId200" Type="http://schemas.openxmlformats.org/officeDocument/2006/relationships/hyperlink" Target="https://www.animalpolitico.com/2021/09/amlo-movimiento-feministas-es-conservador-busca-perjudicar-gobierno/" TargetMode="External"/><Relationship Id="rId382" Type="http://schemas.openxmlformats.org/officeDocument/2006/relationships/hyperlink" Target="https://twitter.com/RompeMiedo/status/1401744744544452611?s=20" TargetMode="External"/><Relationship Id="rId417" Type="http://schemas.openxmlformats.org/officeDocument/2006/relationships/hyperlink" Target="https://elpais.com/mexico/2021-06-08/condenado-el-quillo-por-el-asesinato-del-periodista-javier-valdez.html" TargetMode="External"/><Relationship Id="rId438" Type="http://schemas.openxmlformats.org/officeDocument/2006/relationships/hyperlink" Target="https://www.oas.org/es/cidh/expresion/showarticle.asp?artID=1202&amp;lID=2" TargetMode="External"/><Relationship Id="rId16" Type="http://schemas.openxmlformats.org/officeDocument/2006/relationships/hyperlink" Target="https://centroprodh.org.mx/sididh_2_0_alfa/?p=69805" TargetMode="External"/><Relationship Id="rId221" Type="http://schemas.openxmlformats.org/officeDocument/2006/relationships/hyperlink" Target="https://twitter.com/M_OlgaSCordero" TargetMode="External"/><Relationship Id="rId242" Type="http://schemas.openxmlformats.org/officeDocument/2006/relationships/hyperlink" Target="https://www.gob.mx/cms/uploads/attachment/file/679288/CE_2021_09.pdf" TargetMode="External"/><Relationship Id="rId263" Type="http://schemas.openxmlformats.org/officeDocument/2006/relationships/hyperlink" Target="https://www.cndh.org.mx/sites/default/files/documentos/2021-05/DNSP_2020.pdf" TargetMode="External"/><Relationship Id="rId284" Type="http://schemas.openxmlformats.org/officeDocument/2006/relationships/hyperlink" Target="https://www.gob.mx/cms/uploads/attachment/file/660081/CE_2021_04.pdf" TargetMode="External"/><Relationship Id="rId319" Type="http://schemas.openxmlformats.org/officeDocument/2006/relationships/hyperlink" Target="https://twitter.com/CIDH/status/1456262944593825804?s=20" TargetMode="External"/><Relationship Id="rId37" Type="http://schemas.openxmlformats.org/officeDocument/2006/relationships/hyperlink" Target="http://www.oas.org/es/cidh/docs/anual/2018/docs/IA2018cap.5MX-es.pdf" TargetMode="External"/><Relationship Id="rId58" Type="http://schemas.openxmlformats.org/officeDocument/2006/relationships/hyperlink" Target="http://www.oas.org/es/CIDH/informes/IA.asp?Year=2020" TargetMode="External"/><Relationship Id="rId79" Type="http://schemas.openxmlformats.org/officeDocument/2006/relationships/hyperlink" Target="https://versionpublicarnpdno.segob.gob.mx/Dashboard/ContextoGeneral" TargetMode="External"/><Relationship Id="rId102" Type="http://schemas.openxmlformats.org/officeDocument/2006/relationships/hyperlink" Target="https://www.omct.org/site-resources/legacy/Informe-Tortura-y-Covid-19_Mexico_2021.pdf" TargetMode="External"/><Relationship Id="rId123" Type="http://schemas.openxmlformats.org/officeDocument/2006/relationships/hyperlink" Target="https://www.proceso.com.mx/nacional/2021/11/25/onu-dh-condena-persecucion-de-estado-contra-marcela-turati-ana-lorena-delgadillo-mercedes-doretti-276460.html" TargetMode="External"/><Relationship Id="rId144" Type="http://schemas.openxmlformats.org/officeDocument/2006/relationships/hyperlink" Target="https://www.gob.mx/fgr/es/articulos/protocolo-nacional-de-actuacion-lgbti-para-garantizar-una-justicia-incluyente?idiom=es" TargetMode="External"/><Relationship Id="rId330" Type="http://schemas.openxmlformats.org/officeDocument/2006/relationships/hyperlink" Target="https://hchr.org.mx/comunicados/onu-dh-alienta-a-continuar-avanzando-en-las-investigaciones-de-la-masacre-de-19-personas-en-tamaulipas-y-a-garantizar-los-derechos-de-las-familias-de-las-victimas/" TargetMode="External"/><Relationship Id="rId90" Type="http://schemas.openxmlformats.org/officeDocument/2006/relationships/hyperlink" Target="http://www.oas.org/es/cidh/docs/anual/2018/docs/IA2018cap.5MX-es.pdf" TargetMode="External"/><Relationship Id="rId165" Type="http://schemas.openxmlformats.org/officeDocument/2006/relationships/hyperlink" Target="https://agenciapresentes.org/2021/09/23/atacan-a-comerciantes-lgbt-en-cdmx-nos-agredieron-a-palazos-y-con-navajas/" TargetMode="External"/><Relationship Id="rId186" Type="http://schemas.openxmlformats.org/officeDocument/2006/relationships/hyperlink" Target="https://www.infobae.com/america/mexico/2021/10/20/congreso-de-tlaxcala-aprobo-castigar-con-carcel-las-terapias-de-conversion/" TargetMode="External"/><Relationship Id="rId351" Type="http://schemas.openxmlformats.org/officeDocument/2006/relationships/hyperlink" Target="https://www.oas.org/es/cidh/informes/pdfs/Principios%20DDHH%20migrantes%20-%20ES.pdf" TargetMode="External"/><Relationship Id="rId372" Type="http://schemas.openxmlformats.org/officeDocument/2006/relationships/hyperlink" Target="https://www.gob.mx/segob/documentos/agravios-contra-personas-defensoras-de-derechos-humanos-y-periodistas" TargetMode="External"/><Relationship Id="rId393" Type="http://schemas.openxmlformats.org/officeDocument/2006/relationships/hyperlink" Target="https://twitter.com/FISCALIA_GobOax/status/1357152021908918276?s=20" TargetMode="External"/><Relationship Id="rId407" Type="http://schemas.openxmlformats.org/officeDocument/2006/relationships/hyperlink" Target="https://www.washingtonpost.com/investigations/2021/07/18/takeaways-nso-pegasus-project/" TargetMode="External"/><Relationship Id="rId428" Type="http://schemas.openxmlformats.org/officeDocument/2006/relationships/hyperlink" Target="https://www.infobae.com/america/mexico/2021/12/03/scjn-bloquea-informacion-sobre-vacunas-contra-covid-19-por-seguridad-nacional/" TargetMode="External"/><Relationship Id="rId211" Type="http://schemas.openxmlformats.org/officeDocument/2006/relationships/hyperlink" Target="http://www.oas.org/es/cidh/informes/pdfs/violencia-discriminacion-mujeres-Anexo1-es.pdf" TargetMode="External"/><Relationship Id="rId232" Type="http://schemas.openxmlformats.org/officeDocument/2006/relationships/hyperlink" Target="https://www.animalpolitico.com/2021/10/familiares-yaquis-desaparecidos-exigen-conocer-investigacion-prueba-adn/" TargetMode="External"/><Relationship Id="rId253" Type="http://schemas.openxmlformats.org/officeDocument/2006/relationships/hyperlink" Target="https://www.scjn.gob.mx/sites/default/files/versiones-taquigraficas/documento/2021-10-25/25%20de%20octubre%20de%202021%20-%20Versi%C3%B3n%20definitiva.pdf" TargetMode="External"/><Relationship Id="rId274" Type="http://schemas.openxmlformats.org/officeDocument/2006/relationships/hyperlink" Target="https://actualidad.rt.com/actualidad/403972-mexico-liberar-presos-torturados-enfermos-condena" TargetMode="External"/><Relationship Id="rId295" Type="http://schemas.openxmlformats.org/officeDocument/2006/relationships/hyperlink" Target="https://publications.iom.int/system/files/pdf/wmr_2020.pdf" TargetMode="External"/><Relationship Id="rId309" Type="http://schemas.openxmlformats.org/officeDocument/2006/relationships/hyperlink" Target="https://www.cndh.org.mx/sites/default/files/documentos/2021-08/COM_2021_216.pdf" TargetMode="External"/><Relationship Id="rId27" Type="http://schemas.openxmlformats.org/officeDocument/2006/relationships/hyperlink" Target="http://www.oas.org/es/cidh/docs/anual/2019/docs/IA2019cap5MX-es.pdf" TargetMode="External"/><Relationship Id="rId48" Type="http://schemas.openxmlformats.org/officeDocument/2006/relationships/hyperlink" Target="https://sjf.scjn.gob.mx/SJFSem/Paginas/DetalleGeneralV2.aspx?Epoca=&amp;Apendice=&amp;Expresion=desaparici%25C3%25B3n%2520&amp;Dominio=Rubro,Texto&amp;TA_TJ=&amp;Orden=3&amp;Clase=DetalleSemanarioBusquedaBL&amp;Tablero=-100|2&amp;NumTE=4&amp;Epp=20&amp;Desde=-100&amp;Hasta=-100&amp;Index=0&amp;SemanaId=202146&amp;ID=2023816&amp;Hit=1&amp;IDs=2023816,2023815,2023814,2023813" TargetMode="External"/><Relationship Id="rId69" Type="http://schemas.openxmlformats.org/officeDocument/2006/relationships/hyperlink" Target="http://www.oas.org/es/CIDH/informes/IA.asp?Year=2020" TargetMode="External"/><Relationship Id="rId113" Type="http://schemas.openxmlformats.org/officeDocument/2006/relationships/hyperlink" Target="https://www.oas.org/ext/en/human-rights/simore/Recommendations/Details/rid/367" TargetMode="External"/><Relationship Id="rId134" Type="http://schemas.openxmlformats.org/officeDocument/2006/relationships/hyperlink" Target="https://www.dof.gob.mx/nota_detalle.php?codigo=5631865&amp;fecha=06/10/2021" TargetMode="External"/><Relationship Id="rId320" Type="http://schemas.openxmlformats.org/officeDocument/2006/relationships/hyperlink" Target="https://www.gob.mx/comar/prensa/optimiza-comar-procesos-de-atencion-en-tapachula-chiapas-277636?idiom=es" TargetMode="External"/><Relationship Id="rId80" Type="http://schemas.openxmlformats.org/officeDocument/2006/relationships/hyperlink" Target="https://twitter.com/kiquinta/status/1463944328791875589?s=20" TargetMode="External"/><Relationship Id="rId155" Type="http://schemas.openxmlformats.org/officeDocument/2006/relationships/hyperlink" Target="https://agenciapresentes.org/2021/07/09/transfeminicidio-en-colima-valeria-fue-asesinada-en-su-casa-y-tenia-signos-de-tortura/" TargetMode="External"/><Relationship Id="rId176" Type="http://schemas.openxmlformats.org/officeDocument/2006/relationships/hyperlink" Target="https://www.elfinanciero.com.mx/estados/congreso-de-puebla-aprueba-en-lo-general-ley-agnes-para-reconocer-identidad-de-genero-autopercibida/" TargetMode="External"/><Relationship Id="rId197" Type="http://schemas.openxmlformats.org/officeDocument/2006/relationships/hyperlink" Target="https://drive.google.com/file/d/1wk78wlFeeAO1ChG6MGsHlHGNE6CH_C8K/view" TargetMode="External"/><Relationship Id="rId341" Type="http://schemas.openxmlformats.org/officeDocument/2006/relationships/hyperlink" Target="https://www.prensalibre.com/guatemala/migrantes/migrantes-sufren-por-hacinamiento-y-malas-condiciones-en-centros-de-detencion-de-mexico/" TargetMode="External"/><Relationship Id="rId362" Type="http://schemas.openxmlformats.org/officeDocument/2006/relationships/hyperlink" Target="https://www.oas.org/es/cidh/migrantes/docs/pdf/Informe-Migrantes-Mexico-2013.pdf" TargetMode="External"/><Relationship Id="rId383" Type="http://schemas.openxmlformats.org/officeDocument/2006/relationships/hyperlink" Target="https://reaccioninformativa.com/noticias/sinaloa/colectivo-de-periodistas-condena-agresiones-contra-reporteros-de-escuinapa_1z6TOkz8tZWee0D9KgyUIq" TargetMode="External"/><Relationship Id="rId418" Type="http://schemas.openxmlformats.org/officeDocument/2006/relationships/hyperlink" Target="https://cpj.org/2021/06/cpj-welcomes-2nd-conviction-in-case-of-slain-mexican-journalist-javier-valdez-cardenas/" TargetMode="External"/><Relationship Id="rId439" Type="http://schemas.openxmlformats.org/officeDocument/2006/relationships/hyperlink" Target="https://www.oas.org/es/CIDH/informes/IA.asp?Year=2014" TargetMode="External"/><Relationship Id="rId201" Type="http://schemas.openxmlformats.org/officeDocument/2006/relationships/hyperlink" Target="https://www.animalpolitico.com/la-lucha-cotidiana-de-los-derechos-humanos/la-deuda-de-estado-con-las-mujeres-de-atenco/" TargetMode="External"/><Relationship Id="rId222" Type="http://schemas.openxmlformats.org/officeDocument/2006/relationships/hyperlink" Target="https://twitter.com/LasPatronas_dh/status/1411548497757802503?s=20" TargetMode="External"/><Relationship Id="rId243" Type="http://schemas.openxmlformats.org/officeDocument/2006/relationships/hyperlink" Target="http://www.oas.org/es/cidh/informes/pdfs/PrisionPreventiva.pdf" TargetMode="External"/><Relationship Id="rId264" Type="http://schemas.openxmlformats.org/officeDocument/2006/relationships/hyperlink" Target="https://www.cndh.org.mx/sites/default/files/documentos/2021-05/DNSP_2020.pdf" TargetMode="External"/><Relationship Id="rId285" Type="http://schemas.openxmlformats.org/officeDocument/2006/relationships/hyperlink" Target="https://www.gob.mx/cms/uploads/attachment/file/639470/CE_2021_03.pdf" TargetMode="External"/><Relationship Id="rId17" Type="http://schemas.openxmlformats.org/officeDocument/2006/relationships/hyperlink" Target="https://www.youtube.com/watch?v=H7JMcSFdhJw" TargetMode="External"/><Relationship Id="rId38" Type="http://schemas.openxmlformats.org/officeDocument/2006/relationships/hyperlink" Target="https://www.oas.org/ext/es/derechos-humanos/simore/Recomendaciones/Detalles/rid/358" TargetMode="External"/><Relationship Id="rId59" Type="http://schemas.openxmlformats.org/officeDocument/2006/relationships/hyperlink" Target="http://comunicacion.senado.gob.mx/index.php/informacion/boletines/50526-designa-senado-a-integrantes-del-consejo-ciudadano-del-sistema-nacional-de-busqueda-de-personas.html" TargetMode="External"/><Relationship Id="rId103" Type="http://schemas.openxmlformats.org/officeDocument/2006/relationships/hyperlink" Target="http://www.oas.org/es/cidh/docs/anual/2020/capitulos/IA2020cap5.MX-es.pdf" TargetMode="External"/><Relationship Id="rId124" Type="http://schemas.openxmlformats.org/officeDocument/2006/relationships/hyperlink" Target="https://la-lista.com/derechos-humanos/2021/12/06/violencia-y-corrupcion-hacen-que-personas-sigan-desapareciendo-en-mexico-encinas" TargetMode="External"/><Relationship Id="rId310" Type="http://schemas.openxmlformats.org/officeDocument/2006/relationships/hyperlink" Target="https://www.cndh.org.mx/sites/default/files/documentos/2021-08/COM_2021_220.pdf" TargetMode="External"/><Relationship Id="rId70" Type="http://schemas.openxmlformats.org/officeDocument/2006/relationships/hyperlink" Target="http://www.oas.org/es/CIDH/informes/IA.asp?Year=2020" TargetMode="External"/><Relationship Id="rId91" Type="http://schemas.openxmlformats.org/officeDocument/2006/relationships/hyperlink" Target="https://www.oas.org/ext/es/derechos-humanos/simore/Recomendaciones/Detalles/rid/363" TargetMode="External"/><Relationship Id="rId145" Type="http://schemas.openxmlformats.org/officeDocument/2006/relationships/hyperlink" Target="https://estamosaqui.mx/2021/09/04/crimenes-de-odio-se-castigaran-en-quintana-roo-congreso-aprueba-reformas-a-codigo-penal/" TargetMode="External"/><Relationship Id="rId166" Type="http://schemas.openxmlformats.org/officeDocument/2006/relationships/hyperlink" Target="https://plumasatomicas.com/noticias/mexico/lgbt-muxes-fueron-golpeados-en-las-calles-de-oaxaca/" TargetMode="External"/><Relationship Id="rId187" Type="http://schemas.openxmlformats.org/officeDocument/2006/relationships/hyperlink" Target="https://anodis.com/presenta-diputada-del-pri-iniciativa-sobre-cupo-laboral-trans-en-cdmx/" TargetMode="External"/><Relationship Id="rId331" Type="http://schemas.openxmlformats.org/officeDocument/2006/relationships/hyperlink" Target="https://www.oacnudh.org.gt/index.php/sala-de-prensa/noticias-y-comunicados/415-indh-oacnudh-tamaulipas" TargetMode="External"/><Relationship Id="rId352" Type="http://schemas.openxmlformats.org/officeDocument/2006/relationships/hyperlink" Target="https://www.oas.org/es/cidh/migrantes/docs/pdf/Informe-Migrantes-Mexico-2013.pdf" TargetMode="External"/><Relationship Id="rId373" Type="http://schemas.openxmlformats.org/officeDocument/2006/relationships/hyperlink" Target="https://www.publico.es/internacional/medio-ambiente-mexico-registra-veintiocho-asesinatos-defensores-ambientales-lideres-indigenas-2021.html" TargetMode="External"/><Relationship Id="rId394" Type="http://schemas.openxmlformats.org/officeDocument/2006/relationships/hyperlink" Target="https://cpj.org/es/2021/06/el-periodista-mexicano-luis-aguilar-sobrevive-ataque-con-cuchillo-en-penjamo/" TargetMode="External"/><Relationship Id="rId408" Type="http://schemas.openxmlformats.org/officeDocument/2006/relationships/hyperlink" Target="https://www.washingtonpost.com/world/2021/11/23/mexico-disappeared-organized-crime/" TargetMode="External"/><Relationship Id="rId429" Type="http://schemas.openxmlformats.org/officeDocument/2006/relationships/hyperlink" Target="https://www.sopitas.com/noticias/scjn-transparencia-vacunas-covid-19-suprema-corte-justicia-nacion/" TargetMode="External"/><Relationship Id="rId1" Type="http://schemas.openxmlformats.org/officeDocument/2006/relationships/hyperlink" Target="http://www.oas.org/es/cidh/docs/anual/2021/docs/MX-Observaciones.IA2021.pdf" TargetMode="External"/><Relationship Id="rId212" Type="http://schemas.openxmlformats.org/officeDocument/2006/relationships/hyperlink" Target="http://www.oas.org/es/cidh/informes/pdfs/mujeresindigenas.pdf" TargetMode="External"/><Relationship Id="rId233" Type="http://schemas.openxmlformats.org/officeDocument/2006/relationships/hyperlink" Target="https://www.oas.org/es/CIDH/jsForm/?File=/es/cidh/prensa/comunicados/2021/340.asp" TargetMode="External"/><Relationship Id="rId254" Type="http://schemas.openxmlformats.org/officeDocument/2006/relationships/hyperlink" Target="https://www.animalpolitico.com/2021/10/corte-invalida-prision-automatica-contrabando-defraudacion-fiscal-facturas-falsas/" TargetMode="External"/><Relationship Id="rId440" Type="http://schemas.openxmlformats.org/officeDocument/2006/relationships/hyperlink" Target="https://www.oas.org/es/cidh/expresion/showarticle.asp?artID=1202&amp;lID=2" TargetMode="External"/><Relationship Id="rId28" Type="http://schemas.openxmlformats.org/officeDocument/2006/relationships/hyperlink" Target="http://portales.segob.gob.mx/es/Derechos_Humanos/Indicadores" TargetMode="External"/><Relationship Id="rId49" Type="http://schemas.openxmlformats.org/officeDocument/2006/relationships/hyperlink" Target="https://www.gob.mx/sre/prensa/comite-contra-la-desaparicion-forzada-de-la-organizacion-de-las-naciones-unidas-realizara-visita-a-mexico" TargetMode="External"/><Relationship Id="rId114" Type="http://schemas.openxmlformats.org/officeDocument/2006/relationships/hyperlink" Target="https://www.inegi.org.mx/contenidos/programas/enpol/2021/doc/enpol2021_presentacion_nacional.pdf" TargetMode="External"/><Relationship Id="rId275" Type="http://schemas.openxmlformats.org/officeDocument/2006/relationships/hyperlink" Target="https://www.elheraldodesaltillo.mx/2021/09/14/mexico-libera-los-primeros-682-presos-por-el-decreto-de-andres-lopez/" TargetMode="External"/><Relationship Id="rId296" Type="http://schemas.openxmlformats.org/officeDocument/2006/relationships/hyperlink" Target="https://www.un.org/development/desa/pd/content/international-migrant-stock" TargetMode="External"/><Relationship Id="rId300" Type="http://schemas.openxmlformats.org/officeDocument/2006/relationships/hyperlink" Target="http://www.oas.org/es/CIDH/jsForm/?File=/es/cidh/prensa/comunicados/2021/033.asp" TargetMode="External"/><Relationship Id="rId60" Type="http://schemas.openxmlformats.org/officeDocument/2006/relationships/hyperlink" Target="https://www.youtube.com/watch?v=m6GDvBAq1RA" TargetMode="External"/><Relationship Id="rId81" Type="http://schemas.openxmlformats.org/officeDocument/2006/relationships/hyperlink" Target="http://www.oas.org/es/CIDH/jsForm/?File=/es/cidh/prensa/comunicados/2021/241.asp" TargetMode="External"/><Relationship Id="rId135" Type="http://schemas.openxmlformats.org/officeDocument/2006/relationships/hyperlink" Target="https://www.animalpolitico.com/justicia-transicional-en-mexico/el-mecanismo-extraordinario-para-la-guerra-sucia-luces-y-sombras/" TargetMode="External"/><Relationship Id="rId156" Type="http://schemas.openxmlformats.org/officeDocument/2006/relationships/hyperlink" Target="https://agenciapresentes.org/2021/07/06/transfeminicidio-en-cdmx-ivonne-fue-asesinada-en-su-estetica/" TargetMode="External"/><Relationship Id="rId177" Type="http://schemas.openxmlformats.org/officeDocument/2006/relationships/hyperlink" Target="https://heraldodemexico.com.mx/nacional/2021/6/29/bcs-aprueba-ley-trans-tipifica-como-delito-las-terapias-de-conversion-311334.html" TargetMode="External"/><Relationship Id="rId198" Type="http://schemas.openxmlformats.org/officeDocument/2006/relationships/hyperlink" Target="https://www.youtube.com/watch?v=dCrvpCzWeZw&amp;list=PL5QlapyOGhXuqJx3OkQeNy-yYH63qHIkW&amp;index=16" TargetMode="External"/><Relationship Id="rId321" Type="http://schemas.openxmlformats.org/officeDocument/2006/relationships/hyperlink" Target="http://www.oas.org/es/CIDH/jsForm/?File=/es/cidh/prensa/comunicados/2021/255.asp" TargetMode="External"/><Relationship Id="rId342" Type="http://schemas.openxmlformats.org/officeDocument/2006/relationships/hyperlink" Target="https://comunicacionsocial.senado.gob.mx/informacion/comisionp/cp-comunicados/474-demandan-en-la-permanente-garantizar-derechos-humanos-de-menores-migrantes" TargetMode="External"/><Relationship Id="rId363" Type="http://schemas.openxmlformats.org/officeDocument/2006/relationships/hyperlink" Target="https://www.programamesoamerica.iom.int/sites/default/files/practicas_de_reclutamiento_0.pdf" TargetMode="External"/><Relationship Id="rId384" Type="http://schemas.openxmlformats.org/officeDocument/2006/relationships/hyperlink" Target="https://cpj.org/es/2021/11/sujetos-no-identificados-disparan-al-auto-de-la-periodista-mexicana-beatriz-flores-despues-de-que-esta-recibe-amenazas-por-via-telefonica/" TargetMode="External"/><Relationship Id="rId419" Type="http://schemas.openxmlformats.org/officeDocument/2006/relationships/hyperlink" Target="https://www.oas.org/es/cidh/expresion/docs/2018_06_18%20CIDH-UN_FINAL_MX_report_SPA.PDF" TargetMode="External"/><Relationship Id="rId202" Type="http://schemas.openxmlformats.org/officeDocument/2006/relationships/hyperlink" Target="https://centroprodh.org.mx/2021/09/19/fiscalia-del-estado-de-mexico-debera-remitir-a-fgr-la-investigacion-del-caso-mujeres-de-atenco/" TargetMode="External"/><Relationship Id="rId223" Type="http://schemas.openxmlformats.org/officeDocument/2006/relationships/hyperlink" Target="http://www.oas.org/es/cidh/jsForm/?File=/es/cidh/prensa/comunicados/2021/099.asp" TargetMode="External"/><Relationship Id="rId244" Type="http://schemas.openxmlformats.org/officeDocument/2006/relationships/hyperlink" Target="https://www.dof.gob.mx/nota_detalle.php?codigo=5557700&amp;fecha=12/04/2019" TargetMode="External"/><Relationship Id="rId430" Type="http://schemas.openxmlformats.org/officeDocument/2006/relationships/hyperlink" Target="https://articulo19.org/impugnacion-de-la-consejeria-juridica-del-ejecutivo-federal-a-resolucion-del-inai-para-abrir-contratos-de-la-vacuna-sputnik-viola-el-derecho-a-la-informacion-de-la-sociedad/" TargetMode="External"/><Relationship Id="rId18" Type="http://schemas.openxmlformats.org/officeDocument/2006/relationships/hyperlink" Target="https://www.forbes.com.mx/politica-amlo-defiende-a-militares-y-anuncia-que-en-enero-comenzaran-a-repartir-medicamentos/" TargetMode="External"/><Relationship Id="rId39" Type="http://schemas.openxmlformats.org/officeDocument/2006/relationships/hyperlink" Target="https://dof.gob.mx/nota_detalle.php?codigo=5601905&amp;fecha=06/10/2020" TargetMode="External"/><Relationship Id="rId265" Type="http://schemas.openxmlformats.org/officeDocument/2006/relationships/hyperlink" Target="https://asilegal.org.mx/comunicados/maternidad-tras-las-rejas-una-realidad-de-miles-de-mujeres-en-el-sistema-penitenciario-mexicano/" TargetMode="External"/><Relationship Id="rId286" Type="http://schemas.openxmlformats.org/officeDocument/2006/relationships/hyperlink" Target="https://www.gob.mx/cms/uploads/attachment/file/626744/CE_2021_02.pdf" TargetMode="External"/><Relationship Id="rId50" Type="http://schemas.openxmlformats.org/officeDocument/2006/relationships/hyperlink" Target="https://hchr.org.mx/comunicados/conferencia-de-prensa-tras-la-visita-del-comite-de-la-onu-contra-la-desaparicion-forzada-a-mexico/" TargetMode="External"/><Relationship Id="rId104" Type="http://schemas.openxmlformats.org/officeDocument/2006/relationships/hyperlink" Target="http://www.oas.org/es/cidh/docs/anual/2020/capitulos/IA2020cap5.MX-es.pdf" TargetMode="External"/><Relationship Id="rId125" Type="http://schemas.openxmlformats.org/officeDocument/2006/relationships/hyperlink" Target="https://www.eleconomista.com.mx/opinion/El-Inai-permitio-la-vigilancia-telefonica-tres-investigadoras-de-la-masacre-de-San-Fernando-fueron-espiadas-20211205-0002.html" TargetMode="External"/><Relationship Id="rId146" Type="http://schemas.openxmlformats.org/officeDocument/2006/relationships/hyperlink" Target="https://visible.lgbt/" TargetMode="External"/><Relationship Id="rId167" Type="http://schemas.openxmlformats.org/officeDocument/2006/relationships/hyperlink" Target="https://www.oas.org/ext/en/human-rights/simore/Recommendations/Details/rid/388" TargetMode="External"/><Relationship Id="rId188" Type="http://schemas.openxmlformats.org/officeDocument/2006/relationships/hyperlink" Target="https://www.gob.mx/segob/prensa/inaugura-gobernacion-centro-de-justicia-para-las-mujeres-en-san-luis-potosi?idiom=es" TargetMode="External"/><Relationship Id="rId311" Type="http://schemas.openxmlformats.org/officeDocument/2006/relationships/hyperlink" Target="https://twitter.com/CIDH/status/1452992812191043593?s=20" TargetMode="External"/><Relationship Id="rId332" Type="http://schemas.openxmlformats.org/officeDocument/2006/relationships/hyperlink" Target="https://www.oas.org/es/cidh/migrantes/docs/pdf/Informe-Migrantes-Mexico-2013.pdf" TargetMode="External"/><Relationship Id="rId353" Type="http://schemas.openxmlformats.org/officeDocument/2006/relationships/hyperlink" Target="https://twitter.com/CIDH/status/1405187169484947456" TargetMode="External"/><Relationship Id="rId374" Type="http://schemas.openxmlformats.org/officeDocument/2006/relationships/hyperlink" Target="https://www.animalpolitico.com/2021/06/reynosa-detenciones-arbitrarias-familiares-desaparecidos/" TargetMode="External"/><Relationship Id="rId395" Type="http://schemas.openxmlformats.org/officeDocument/2006/relationships/hyperlink" Target="https://www.proceso.com.mx/nacional/estados/2021/5/22/apunalan-un-reportero-en-penjamo-guanajuato-264437.html" TargetMode="External"/><Relationship Id="rId409" Type="http://schemas.openxmlformats.org/officeDocument/2006/relationships/hyperlink" Target="https://elpais.com/mexico/2021-11-25/tres-investigadoras-de-la-masacre-de-san-fernando-denuncian-que-fueron-espiadas-por-el-gobierno-de-pena-nieto.html" TargetMode="External"/><Relationship Id="rId71" Type="http://schemas.openxmlformats.org/officeDocument/2006/relationships/hyperlink" Target="http://www.oas.org/es/CIDH/informes/IA.asp?Year=2019" TargetMode="External"/><Relationship Id="rId92" Type="http://schemas.openxmlformats.org/officeDocument/2006/relationships/hyperlink" Target="https://www.onu.org.mx/el-estado-debe-garantizar-el-derecho-a-la-verdad-sobre-la-incidencia-de-la-tortura-onu-dh/" TargetMode="External"/><Relationship Id="rId213" Type="http://schemas.openxmlformats.org/officeDocument/2006/relationships/hyperlink" Target="http://www.oas.org/es/cidh/docs/anual/2020/capitulos/IA2020cap5.MX-es.pdf" TargetMode="External"/><Relationship Id="rId234" Type="http://schemas.openxmlformats.org/officeDocument/2006/relationships/hyperlink" Target="https://www.oas.org/ext/en/human-rights/simore/Recommendations/Details/rid/397" TargetMode="External"/><Relationship Id="rId420" Type="http://schemas.openxmlformats.org/officeDocument/2006/relationships/hyperlink" Target="https://www.gob.mx/cms/uploads/attachment/file/672268/ESTADISTICAS_Sep_2021.pdf" TargetMode="External"/><Relationship Id="rId2" Type="http://schemas.openxmlformats.org/officeDocument/2006/relationships/hyperlink" Target="https://www.oas.org/es/cidh/actividades/seguimiento/pdf/Directrices-es.pdf" TargetMode="External"/><Relationship Id="rId29" Type="http://schemas.openxmlformats.org/officeDocument/2006/relationships/hyperlink" Target="https://www.inegi.org.mx/contenidos/saladeprensa/boletines/2021/endiseg/ENDISEG2021.pdf" TargetMode="External"/><Relationship Id="rId255" Type="http://schemas.openxmlformats.org/officeDocument/2006/relationships/hyperlink" Target="https://www.cndh.org.mx/sites/default/files/documentos/2021-04/Acc_Inc_2021_49.pdf" TargetMode="External"/><Relationship Id="rId276" Type="http://schemas.openxmlformats.org/officeDocument/2006/relationships/hyperlink" Target="https://www.elheraldodesaltillo.mx/2021/09/14/mexico-libera-los-primeros-682-presos-por-el-decreto-de-andres-lopez/" TargetMode="External"/><Relationship Id="rId297" Type="http://schemas.openxmlformats.org/officeDocument/2006/relationships/hyperlink" Target="http://www.oas.org/es/CIDH/jsForm/?File=/es/cidh/prensa/comunicados/2021/033.asp" TargetMode="External"/><Relationship Id="rId441" Type="http://schemas.openxmlformats.org/officeDocument/2006/relationships/hyperlink" Target="https://www.oas.org/es/cidh/expresion/docs/2018_06_18%20CIDH-UN_FINAL_MX_report_SPA.PDF" TargetMode="External"/><Relationship Id="rId40" Type="http://schemas.openxmlformats.org/officeDocument/2006/relationships/hyperlink" Target="https://twitter.com/CIDH/status/1383037926066520064?s=20" TargetMode="External"/><Relationship Id="rId115" Type="http://schemas.openxmlformats.org/officeDocument/2006/relationships/hyperlink" Target="https://www.onu.org.mx/el-estado-debe-garantizar-el-derecho-a-la-verdad-sobre-la-incidencia-de-la-tortura-onu-dh/" TargetMode="External"/><Relationship Id="rId136" Type="http://schemas.openxmlformats.org/officeDocument/2006/relationships/hyperlink" Target="https://www.gob.mx/segob/prensa/se-crea-comision-para-acceso-a-la-verdad-y-justicia-por-violaciones-graves-a-derechos-humanos-durante-guerra-sucia?idiom=es" TargetMode="External"/><Relationship Id="rId157" Type="http://schemas.openxmlformats.org/officeDocument/2006/relationships/hyperlink" Target="https://agenciapresentes.org/2021/09/09/asesinan-a-dos-activistas-trans-en-mexico-sus-comunidades-exigen-justicia-en-medio-de-la-violencia/" TargetMode="External"/><Relationship Id="rId178" Type="http://schemas.openxmlformats.org/officeDocument/2006/relationships/hyperlink" Target="https://www.animalpolitico.com/2021/07/congreso-edomex-ley-trans-identidad/" TargetMode="External"/><Relationship Id="rId301" Type="http://schemas.openxmlformats.org/officeDocument/2006/relationships/hyperlink" Target="http://www.politicamigratoria.gob.mx/es/PoliticaMigratoria/CuadrosBOLETIN?Anual=2021&amp;Secc=2" TargetMode="External"/><Relationship Id="rId322" Type="http://schemas.openxmlformats.org/officeDocument/2006/relationships/hyperlink" Target="http://www.oas.org/es/cidh/informes/pdfs/DebidoProceso-ES.pdf" TargetMode="External"/><Relationship Id="rId343" Type="http://schemas.openxmlformats.org/officeDocument/2006/relationships/hyperlink" Target="http://www.oas.org/es/CIDH/jsForm/?File=/es/cidh/prensa/comunicados/2021/033.asp" TargetMode="External"/><Relationship Id="rId364" Type="http://schemas.openxmlformats.org/officeDocument/2006/relationships/hyperlink" Target="https://www.programamesoamerica.iom.int/sites/default/files/practicas_de_reclutamiento_0.pdf" TargetMode="External"/><Relationship Id="rId61" Type="http://schemas.openxmlformats.org/officeDocument/2006/relationships/hyperlink" Target="https://www.facebook.com/1553993178067600/videos/1081983472572564" TargetMode="External"/><Relationship Id="rId82" Type="http://schemas.openxmlformats.org/officeDocument/2006/relationships/hyperlink" Target="https://dof.gob.mx/nota_detalle.php?codigo=5564187&amp;fecha=26/06/2019" TargetMode="External"/><Relationship Id="rId199" Type="http://schemas.openxmlformats.org/officeDocument/2006/relationships/hyperlink" Target="https://www.milenio.com/policia/detienen-mujer-bebe-brazos-guadalajara-jalisco-video" TargetMode="External"/><Relationship Id="rId203" Type="http://schemas.openxmlformats.org/officeDocument/2006/relationships/hyperlink" Target="https://www.corteidh.or.cr/docs/casos/articulos/seriec_205_esp.pdf" TargetMode="External"/><Relationship Id="rId385" Type="http://schemas.openxmlformats.org/officeDocument/2006/relationships/hyperlink" Target="https://www.jornada.com.mx/notas/2021/07/07/estados/allanaron-policias-casa-del-director-del-diario-de-la-tarde-en-iguala/" TargetMode="External"/><Relationship Id="rId19" Type="http://schemas.openxmlformats.org/officeDocument/2006/relationships/hyperlink" Target="https://centroprodh.org.mx/wp-content/uploads/2021/06/Informe_Poder_Militar.pdf" TargetMode="External"/><Relationship Id="rId224" Type="http://schemas.openxmlformats.org/officeDocument/2006/relationships/hyperlink" Target="https://www.gob.mx/cms/uploads/attachment/file/661827/Segob_Impacto_pandemia_en_nin_as_y_nin_os__13ago21.pdf" TargetMode="External"/><Relationship Id="rId245" Type="http://schemas.openxmlformats.org/officeDocument/2006/relationships/hyperlink" Target="https://www.dof.gob.mx/nota_detalle.php?codigo=5611905&amp;fecha=19/02/2021" TargetMode="External"/><Relationship Id="rId266" Type="http://schemas.openxmlformats.org/officeDocument/2006/relationships/hyperlink" Target="https://www.cndh.org.mx/sites/default/files/documentos/2021-05/DNSP_2020.pdf" TargetMode="External"/><Relationship Id="rId287" Type="http://schemas.openxmlformats.org/officeDocument/2006/relationships/hyperlink" Target="https://www.gob.mx/cms/uploads/attachment/file/620658/CE_2021_01.pdf" TargetMode="External"/><Relationship Id="rId410" Type="http://schemas.openxmlformats.org/officeDocument/2006/relationships/hyperlink" Target="https://www.eleconomista.com.mx/politica/Investigadores-de-desapariciones-forzadas-denuncian-espionaje-oficial-en-Mexico-20211124-0077.html" TargetMode="External"/><Relationship Id="rId431" Type="http://schemas.openxmlformats.org/officeDocument/2006/relationships/hyperlink" Target="https://www.infobae.com/america/mexico/2021/11/23/por-que-el-decreto-de-amlo-pone-en-riesgo-el-acceso-a-la-informacion-publica-lo-mas-delicado-es-incluir-la-expresion-seguridad-nacional/" TargetMode="External"/><Relationship Id="rId30" Type="http://schemas.openxmlformats.org/officeDocument/2006/relationships/hyperlink" Target="http://sindis.conapred.org.mx/estadisticas/endosig/" TargetMode="External"/><Relationship Id="rId105" Type="http://schemas.openxmlformats.org/officeDocument/2006/relationships/hyperlink" Target="https://www.gob.mx/sspc/prensa/el-primero-de-abril-inicia-registro-nacional-de-detenciones-por-faltas-administrativas-268290?idiom=es" TargetMode="External"/><Relationship Id="rId126" Type="http://schemas.openxmlformats.org/officeDocument/2006/relationships/hyperlink" Target="https://twitter.com/cidh/status/1400139116340260866" TargetMode="External"/><Relationship Id="rId147" Type="http://schemas.openxmlformats.org/officeDocument/2006/relationships/hyperlink" Target="http://www.fundacionarcoiris.org.mx/agresiones/panel" TargetMode="External"/><Relationship Id="rId168" Type="http://schemas.openxmlformats.org/officeDocument/2006/relationships/hyperlink" Target="https://twitter.com/CIDH/status/1441405408791334914?s=20" TargetMode="External"/><Relationship Id="rId312" Type="http://schemas.openxmlformats.org/officeDocument/2006/relationships/hyperlink" Target="https://twitter.com/hashtag/CIDH?src=hashtag_click" TargetMode="External"/><Relationship Id="rId333" Type="http://schemas.openxmlformats.org/officeDocument/2006/relationships/hyperlink" Target="https://www.scjn.gob.mx/derechos-humanos/sites/default/files/protocolos/archivos/2021-06/Protocolo%20para%20juzgar%20casos%20que%20involucren%20personas%20migrantes.pdf" TargetMode="External"/><Relationship Id="rId354" Type="http://schemas.openxmlformats.org/officeDocument/2006/relationships/hyperlink" Target="https://twitter.com/CIDH/status/1405187169484947456" TargetMode="External"/><Relationship Id="rId51" Type="http://schemas.openxmlformats.org/officeDocument/2006/relationships/hyperlink" Target="https://www.jalisco.gob.mx/es/prensa/noticias/136375" TargetMode="External"/><Relationship Id="rId72" Type="http://schemas.openxmlformats.org/officeDocument/2006/relationships/hyperlink" Target="https://versionpublicarnpdno.segob.gob.mx/Dashboard/Index" TargetMode="External"/><Relationship Id="rId93" Type="http://schemas.openxmlformats.org/officeDocument/2006/relationships/hyperlink" Target="https://cdhcm.org.mx/2021/06/en-el-marco-del-dia-internacional-de-apoyo-a-las-victimas-de-la-tortura-la-cdhcm-insta-a-que-se-publique-e-implemente-el-programa-nacional/" TargetMode="External"/><Relationship Id="rId189" Type="http://schemas.openxmlformats.org/officeDocument/2006/relationships/hyperlink" Target="https://www.gob.mx/conavim/prensa/se-inaugura-centro-de-justicia-integral-para-las-mujeres-en-uruapan-michoacan-285594?idiom=es" TargetMode="External"/><Relationship Id="rId375" Type="http://schemas.openxmlformats.org/officeDocument/2006/relationships/hyperlink" Target="https://www.proceso.com.mx/nacional/estados/2021/8/4/familiares-de-desaparecidos-denuncian-intimidacion-de-personal-naval-en-nuevo-laredo-269243.html" TargetMode="External"/><Relationship Id="rId396" Type="http://schemas.openxmlformats.org/officeDocument/2006/relationships/hyperlink" Target="https://www.sopitas.com/noticias/apunalan-reportero-luis-aguilera-exhibio-denuncia-contra-candidato-pvem-penjamo-guanajuato/" TargetMode="External"/><Relationship Id="rId3" Type="http://schemas.openxmlformats.org/officeDocument/2006/relationships/hyperlink" Target="https://hchr.org.mx/comunicados/onu-dh-saluda-la-decision-del-inai-que-ordena-a-la-guardia-nacional-hacer-publicos-sus-informes-sobre-uso-de-la-fuerza/" TargetMode="External"/><Relationship Id="rId214" Type="http://schemas.openxmlformats.org/officeDocument/2006/relationships/hyperlink" Target="http://sitios.dif.gob.mx/normateca/wp-content/uploads/2021/07/PROTOCOLO_NNAOF.pdf" TargetMode="External"/><Relationship Id="rId235" Type="http://schemas.openxmlformats.org/officeDocument/2006/relationships/hyperlink" Target="https://comunicacionnoticias.diputados.gob.mx/comunicacion/index.php/boletines/la-camara-de-diputados-aprobo-en-lo-general-la-ley-general-de-consulta-de-los-pueblos-y-comunidades-indigenas-y-afromexicanas" TargetMode="External"/><Relationship Id="rId256" Type="http://schemas.openxmlformats.org/officeDocument/2006/relationships/hyperlink" Target="http://www.oas.org/es/cidh/informes/pdfs/PrisionPreventiva.pdf" TargetMode="External"/><Relationship Id="rId277" Type="http://schemas.openxmlformats.org/officeDocument/2006/relationships/hyperlink" Target="https://elpais.bo/internacional/20210915_mexico-libera-a-682-presos-por-el-decreto-de-amlo.html" TargetMode="External"/><Relationship Id="rId298" Type="http://schemas.openxmlformats.org/officeDocument/2006/relationships/hyperlink" Target="https://www.gob.mx/cms/uploads/attachment/file/667131/Cierre_Agosto-2021__1-Septiembre-2021_.pdf" TargetMode="External"/><Relationship Id="rId400" Type="http://schemas.openxmlformats.org/officeDocument/2006/relationships/hyperlink" Target="https://www.animalpolitico.com/2021/08/roban-secuestro-amenazas-muerte-teresa-montano-periodista-edomex/" TargetMode="External"/><Relationship Id="rId421" Type="http://schemas.openxmlformats.org/officeDocument/2006/relationships/hyperlink" Target="https://www.eleconomista.com.mx/politica/Feadle-rechaza-indagar-71-de-asesinatos-de-periodistas-20211022-0010.html" TargetMode="External"/><Relationship Id="rId116" Type="http://schemas.openxmlformats.org/officeDocument/2006/relationships/hyperlink" Target="https://www.diariojuridico.com/mexico-registro-nacional-del-delito-de-tortura/" TargetMode="External"/><Relationship Id="rId137" Type="http://schemas.openxmlformats.org/officeDocument/2006/relationships/hyperlink" Target="https://www.excelsior.com.mx/nacional/mecanismo-de-proteccion-a-periodistas-esta-rebasado-y-es-insuficiente-encinas/1485544" TargetMode="External"/><Relationship Id="rId158" Type="http://schemas.openxmlformats.org/officeDocument/2006/relationships/hyperlink" Target="https://agenciapresentes.org/2021/09/09/asesinan-a-dos-activistas-trans-en-mexico-sus-comunidades-exigen-justicia-en-medio-de-la-violencia/" TargetMode="External"/><Relationship Id="rId302" Type="http://schemas.openxmlformats.org/officeDocument/2006/relationships/hyperlink" Target="https://www.gob.mx/inm/prensa/identifica-inm-aumento-en-el-flujo-de-menores-de-edad-migrantes-irregulares-281446" TargetMode="External"/><Relationship Id="rId323" Type="http://schemas.openxmlformats.org/officeDocument/2006/relationships/hyperlink" Target="https://www.oas.org/es/cidh/informes/pdfs/Principios%20DDHH%20migrantes%20-%20ES.pdf" TargetMode="External"/><Relationship Id="rId344" Type="http://schemas.openxmlformats.org/officeDocument/2006/relationships/hyperlink" Target="https://cdhfraymatias.org/wp-content/uploads/2021/06/25-06-2021-COMUNICADO-COMDHSM2.pdf" TargetMode="External"/><Relationship Id="rId20" Type="http://schemas.openxmlformats.org/officeDocument/2006/relationships/hyperlink" Target="https://www.animalpolitico.com/la-lucha-cotidiana-de-los-derechos-humanos/reves-a-la-opacidad-de-la-gn/" TargetMode="External"/><Relationship Id="rId41" Type="http://schemas.openxmlformats.org/officeDocument/2006/relationships/hyperlink" Target="http://www.dof.gob.mx/nota_detalle.php?codigo=5623969&amp;fecha=15/07/2021" TargetMode="External"/><Relationship Id="rId62" Type="http://schemas.openxmlformats.org/officeDocument/2006/relationships/hyperlink" Target="https://twitter.com/CCiudadanoSNB/status/1464264317600251919?s=20" TargetMode="External"/><Relationship Id="rId83" Type="http://schemas.openxmlformats.org/officeDocument/2006/relationships/hyperlink" Target="https://aristeguinoticias.com/1310/mexico/dos-peritos-del-caso-ayotzinapa-son-vinculados-a-proceso/" TargetMode="External"/><Relationship Id="rId179" Type="http://schemas.openxmlformats.org/officeDocument/2006/relationships/hyperlink" Target="https://www.24morelos.com/aprueban-ley-de-identidad-de-genero-en-congreso-de-morelos/" TargetMode="External"/><Relationship Id="rId365" Type="http://schemas.openxmlformats.org/officeDocument/2006/relationships/hyperlink" Target="https://www.ilo.org/wcmsp5/groups/public/---ed_protect/---protrav/---migrant/documents/publication/wcms_768856.pdf" TargetMode="External"/><Relationship Id="rId386" Type="http://schemas.openxmlformats.org/officeDocument/2006/relationships/hyperlink" Target="https://rsf.org/es/noticias/mexico-autoridades-deben-proteger-al-periodista-jacob-morales-tras-intimidaciones-de-policias" TargetMode="External"/><Relationship Id="rId190" Type="http://schemas.openxmlformats.org/officeDocument/2006/relationships/hyperlink" Target="https://www.fgjcdmx.gob.mx/nuestros-servicios/en-linea/mp-virtual/centros-de-justicia-para-las-mujeres" TargetMode="External"/><Relationship Id="rId204" Type="http://schemas.openxmlformats.org/officeDocument/2006/relationships/hyperlink" Target="https://www.corteidh.or.cr/docs/casos/articulos/seriec_371_esp.pdf" TargetMode="External"/><Relationship Id="rId225" Type="http://schemas.openxmlformats.org/officeDocument/2006/relationships/hyperlink" Target="https://www.gob.mx/cms/uploads/attachment/file/661827/Segob_Impacto_pandemia_en_nin_as_y_nin_os__13ago21.pdf" TargetMode="External"/><Relationship Id="rId246" Type="http://schemas.openxmlformats.org/officeDocument/2006/relationships/hyperlink" Target="https://www.dof.gob.mx/nota_detalle.php?codigo=5557700&amp;fecha=12/04/2019" TargetMode="External"/><Relationship Id="rId267" Type="http://schemas.openxmlformats.org/officeDocument/2006/relationships/hyperlink" Target="https://www.cndh.org.mx/sites/default/files/documentos/2021-05/DNSP_2020.pdf" TargetMode="External"/><Relationship Id="rId288" Type="http://schemas.openxmlformats.org/officeDocument/2006/relationships/hyperlink" Target="http://gaceta.diputados.gob.mx/PDF/64/2021/ago/Amnistia-20210825.pdf" TargetMode="External"/><Relationship Id="rId411" Type="http://schemas.openxmlformats.org/officeDocument/2006/relationships/hyperlink" Target="https://www.youtube.com/watch?v=Wchwxr0D37M&amp;t=4186s" TargetMode="External"/><Relationship Id="rId432" Type="http://schemas.openxmlformats.org/officeDocument/2006/relationships/hyperlink" Target="https://politica.expansion.mx/mexico/2021/11/22/amlo-seguridad-nacional-proyectos-de-infraestructura" TargetMode="External"/><Relationship Id="rId106" Type="http://schemas.openxmlformats.org/officeDocument/2006/relationships/hyperlink" Target="https://consultasdetenciones.sspc.gob.mx/" TargetMode="External"/><Relationship Id="rId127" Type="http://schemas.openxmlformats.org/officeDocument/2006/relationships/hyperlink" Target="https://www.milenio.com/policia/masacre-san-fernando-acusan-investigacion-3-mujeres" TargetMode="External"/><Relationship Id="rId313" Type="http://schemas.openxmlformats.org/officeDocument/2006/relationships/hyperlink" Target="https://twitter.com/hashtag/CIDH?src=hashtag_click" TargetMode="External"/><Relationship Id="rId10" Type="http://schemas.openxmlformats.org/officeDocument/2006/relationships/hyperlink" Target="https://aristeguinoticias.com/2211/mexico/llama-centro-prodh-a-la-corte-a-ser-contrapeso-frente-al-proceso-de-profundizacion-de-la-militarizacion/" TargetMode="External"/><Relationship Id="rId31" Type="http://schemas.openxmlformats.org/officeDocument/2006/relationships/hyperlink" Target="https://www.inegi.org.mx/contenidos/programas/enpol/2021/doc/enpol2021_presentacion_nacional.pdf" TargetMode="External"/><Relationship Id="rId52" Type="http://schemas.openxmlformats.org/officeDocument/2006/relationships/hyperlink" Target="https://www.informador.mx/jalisco/Gobierno-de-Jalisco-Proyectan-29.3-MDP-para-Centro-de-Identificacion-Humana-20211102-0053.html" TargetMode="External"/><Relationship Id="rId73" Type="http://schemas.openxmlformats.org/officeDocument/2006/relationships/hyperlink" Target="https://www.oas.org/es/cidh/informes/IA.asp?Year=2020" TargetMode="External"/><Relationship Id="rId94" Type="http://schemas.openxmlformats.org/officeDocument/2006/relationships/hyperlink" Target="https://www.omct.org/site-resources/legacy/Informe-Tortura-y-Covid-19_Mexico_2021.pdf" TargetMode="External"/><Relationship Id="rId148" Type="http://schemas.openxmlformats.org/officeDocument/2006/relationships/hyperlink" Target="https://agenciapresentes.org/2021/07/13/seis-transfemicidios-en-12-dias-en-mexico-una-trans-asesinada-cada-48-horas/" TargetMode="External"/><Relationship Id="rId169" Type="http://schemas.openxmlformats.org/officeDocument/2006/relationships/hyperlink" Target="https://twitter.com/CIDH/status/1431265577419649029?s=20" TargetMode="External"/><Relationship Id="rId334" Type="http://schemas.openxmlformats.org/officeDocument/2006/relationships/hyperlink" Target="https://www.oas.org/es/cidh/migrantes/docs/pdf/Informe-Migrantes-Mexico-2013.pdf" TargetMode="External"/><Relationship Id="rId355" Type="http://schemas.openxmlformats.org/officeDocument/2006/relationships/hyperlink" Target="https://www.amnesty.org/es/wp-content/uploads/2021/07/AMR5142002021ENGLISH.pdf" TargetMode="External"/><Relationship Id="rId376" Type="http://schemas.openxmlformats.org/officeDocument/2006/relationships/hyperlink" Target="https://revistaespejo.com/2021/08/24/desplazas-a-rastreadoras-con-amenazas-de-muerte/" TargetMode="External"/><Relationship Id="rId397" Type="http://schemas.openxmlformats.org/officeDocument/2006/relationships/hyperlink" Target="https://apnews.com/article/noticias-a607aa61481707be8c1e305f301c0ee4" TargetMode="External"/><Relationship Id="rId4" Type="http://schemas.openxmlformats.org/officeDocument/2006/relationships/hyperlink" Target="https://centroprodh.org.mx/wp-content/uploads/2021/06/Informe_Poder_Militar.pdf" TargetMode="External"/><Relationship Id="rId180" Type="http://schemas.openxmlformats.org/officeDocument/2006/relationships/hyperlink" Target="https://politica.expansion.mx/estados/2021/10/05/oaxaca-aprueba-ley-de-identidad-de-genero" TargetMode="External"/><Relationship Id="rId215" Type="http://schemas.openxmlformats.org/officeDocument/2006/relationships/hyperlink" Target="https://www.gob.mx/sipinna/acciones-y-programas/protocolo-nacional-de-coordinacion-interinstitucional-para-la-proteccion-de-ninas-ninos-y-adolescentes-victimas-de-violencia-266864" TargetMode="External"/><Relationship Id="rId236" Type="http://schemas.openxmlformats.org/officeDocument/2006/relationships/hyperlink" Target="https://www.internet2.scjn.gob.mx/red2/comunicados/noticia.asp?id=6354" TargetMode="External"/><Relationship Id="rId257" Type="http://schemas.openxmlformats.org/officeDocument/2006/relationships/hyperlink" Target="http://www.oas.org/es/cidh/ppl/informes/pdfs/Informe-PP-2013-es.pdf" TargetMode="External"/><Relationship Id="rId278" Type="http://schemas.openxmlformats.org/officeDocument/2006/relationships/hyperlink" Target="https://elpais.bo/internacional/20210915_mexico-libera-a-682-presos-por-el-decreto-de-amlo.html" TargetMode="External"/><Relationship Id="rId401" Type="http://schemas.openxmlformats.org/officeDocument/2006/relationships/hyperlink" Target="https://elpais.com/mexico/2021-06-24/el-quien-es-quien-de-lopez-obrador-o-la-nueva-ofensiva-contra-la-prensa.html" TargetMode="External"/><Relationship Id="rId422" Type="http://schemas.openxmlformats.org/officeDocument/2006/relationships/hyperlink" Target="https://www.animalpolitico.com/2021/09/presupuesto-fiscalias-torturas-ataques-periodistas-2022/" TargetMode="External"/><Relationship Id="rId303" Type="http://schemas.openxmlformats.org/officeDocument/2006/relationships/hyperlink" Target="http://www.oas.org/es/CIDH/jsForm/?File=/es/cidh/prensa/comunicados/2021/033.asp" TargetMode="External"/><Relationship Id="rId42" Type="http://schemas.openxmlformats.org/officeDocument/2006/relationships/hyperlink" Target="https://twitter.com/CIDH/status/1415804689493413897?s=20" TargetMode="External"/><Relationship Id="rId84" Type="http://schemas.openxmlformats.org/officeDocument/2006/relationships/hyperlink" Target="https://www.proceso.com.mx/nacional/2021/10/1/tras-criticas-por-opacidad-encinas-publica-informacion-relevante-sobre-caso-ayotzinapa-273151.html" TargetMode="External"/><Relationship Id="rId138" Type="http://schemas.openxmlformats.org/officeDocument/2006/relationships/hyperlink" Target="https://www.oas.org/es/cidh/docs/anual/2020/capitulos/IA2020cap5.MX-es.pdf" TargetMode="External"/><Relationship Id="rId345" Type="http://schemas.openxmlformats.org/officeDocument/2006/relationships/hyperlink" Target="https://www.cndh.org.mx/sites/default/files/documentos/2021-03/COM_2021_069.pdf" TargetMode="External"/><Relationship Id="rId387" Type="http://schemas.openxmlformats.org/officeDocument/2006/relationships/hyperlink" Target="https://www.excelsior.com.mx/nacional/baja-a-chin-a-tu-ma-tus-mentiras-o-vas-a-ver-asi-amenaza-alcalde-a-reportero/1474831" TargetMode="External"/><Relationship Id="rId191" Type="http://schemas.openxmlformats.org/officeDocument/2006/relationships/hyperlink" Target="https://www.gob.mx/cms/uploads/attachment/file/209278/Ley_General_de_Acceso_de_las_Mujeres_a_una_Vida_Libre_de_Violencia.pdf" TargetMode="External"/><Relationship Id="rId205" Type="http://schemas.openxmlformats.org/officeDocument/2006/relationships/hyperlink" Target="https://www.scjn.gob.mx/derechos-humanos/sites/default/files/protocolos/archivos/2020-11/Protocolo%20para%20juzgar%20con%20perspectiva%20de%20g%C3%A9nero%20%28191120%29.pdf" TargetMode="External"/><Relationship Id="rId247" Type="http://schemas.openxmlformats.org/officeDocument/2006/relationships/hyperlink" Target="http://www5.diputados.gob.mx/index.php/esl/Comunicacion/Agencia-de-Noticias/2021/Febrero/20/9197-Entran-en-vigor-reformas-secundarias-sobre-ampliacion-de-delitos-que-ameritan-prision-preventiva-oficiosa" TargetMode="External"/><Relationship Id="rId412" Type="http://schemas.openxmlformats.org/officeDocument/2006/relationships/hyperlink" Target="https://es.unesco.org/news/condenas-recientes-resaltan-labor-fiscalia-mexico-dedicada-delitos-libertad-expresion" TargetMode="External"/><Relationship Id="rId107" Type="http://schemas.openxmlformats.org/officeDocument/2006/relationships/hyperlink" Target="https://slp.gob.mx/sitionuevo/Paginas/Noticias/2021/ABRIL%202021/240421/SECESP-fortalece-la-capacitaci%C3%B3n-sobre-el-Registro-Nacional-de-Detenciones-en-SLP.aspx" TargetMode="External"/><Relationship Id="rId289" Type="http://schemas.openxmlformats.org/officeDocument/2006/relationships/hyperlink" Target="http://gaceta.diputados.gob.mx/PDF/64/2021/ago/Amnistia-20210825.pdf" TargetMode="External"/><Relationship Id="rId11" Type="http://schemas.openxmlformats.org/officeDocument/2006/relationships/hyperlink" Target="http://www.oas.org/es/cidh/docs/anual/2019/docs/IA2019cap5MX-es.pdf" TargetMode="External"/><Relationship Id="rId53" Type="http://schemas.openxmlformats.org/officeDocument/2006/relationships/hyperlink" Target="https://www.gob.mx/segob/prensa/se-presenta-a-personas-integrantes-del-grupo-coordinador-del-mecanismo-extraordinario-de-identificacion-forense?idiom=es" TargetMode="External"/><Relationship Id="rId149" Type="http://schemas.openxmlformats.org/officeDocument/2006/relationships/hyperlink" Target="https://agenciapresentes.org/2021/07/26/en-mexico-exigen-justicia-por-transfeminicidios-de-aline-y-fabiola/" TargetMode="External"/><Relationship Id="rId314" Type="http://schemas.openxmlformats.org/officeDocument/2006/relationships/hyperlink" Target="https://twitter.com/hashtag/PersonasMigrantes?src=hashtag_click" TargetMode="External"/><Relationship Id="rId356" Type="http://schemas.openxmlformats.org/officeDocument/2006/relationships/hyperlink" Target="https://boletinesredlac.com/wp-content/uploads/2021/06/BOLETIN14REDLAC_FINAL_1.pdf" TargetMode="External"/><Relationship Id="rId398" Type="http://schemas.openxmlformats.org/officeDocument/2006/relationships/hyperlink" Target="https://aristeguinoticias.com/0908/mexico/amenaza-cartel-jalisco-a-la-periodista-azucena-uresti-gobierno-anuncia-medidas/" TargetMode="External"/><Relationship Id="rId95" Type="http://schemas.openxmlformats.org/officeDocument/2006/relationships/hyperlink" Target="https://www.animalpolitico.com/res-publica/es-suficiente-un-decreto-para-erradicar-la-tortura-en-mexico/" TargetMode="External"/><Relationship Id="rId160" Type="http://schemas.openxmlformats.org/officeDocument/2006/relationships/hyperlink" Target="https://www.elsoldepuebla.com.mx/local/por-crimenes-de-odio-en-puebla-comunidad-lgbt-exige-remocion-de-funcionaria-7034942.html" TargetMode="External"/><Relationship Id="rId216" Type="http://schemas.openxmlformats.org/officeDocument/2006/relationships/hyperlink" Target="https://cdhcm.org.mx/2021/01/presenta-cdhcm-el-informe-interacciones-entre-adolescentes-y-policias-en-la-ciudad-de-mexico/" TargetMode="External"/><Relationship Id="rId423" Type="http://schemas.openxmlformats.org/officeDocument/2006/relationships/hyperlink" Target="https://www.efe.com/efe/america/mexico/la-impunidad-da-alas-a-los-crimenes-contra-periodistas-en-mexico/50000545-4666382" TargetMode="External"/><Relationship Id="rId258" Type="http://schemas.openxmlformats.org/officeDocument/2006/relationships/hyperlink" Target="http://www.oas.org/es/cidh/informes/pdfs/Honduras-es-2015.pdf" TargetMode="External"/><Relationship Id="rId22" Type="http://schemas.openxmlformats.org/officeDocument/2006/relationships/hyperlink" Target="https://www.eluniversal.com.mx/video/nacion/reaprehenden-militares-del-caso-tlatlaya-enportada" TargetMode="External"/><Relationship Id="rId64" Type="http://schemas.openxmlformats.org/officeDocument/2006/relationships/hyperlink" Target="https://www.facebook.com/1553993178067600/videos/1081983472572564" TargetMode="External"/><Relationship Id="rId118" Type="http://schemas.openxmlformats.org/officeDocument/2006/relationships/hyperlink" Target="https://movndmx.org/mas-de-52-mil-personas-fallecidas-sin-identificar-en-mexico/" TargetMode="External"/><Relationship Id="rId325" Type="http://schemas.openxmlformats.org/officeDocument/2006/relationships/hyperlink" Target="https://www.youtube.com/watch?v=1JO6_yBIMAM&amp;list=PL5QlapyOGhXspIwSyEyr8vmZw4Um9S3D1&amp;index=22" TargetMode="External"/><Relationship Id="rId367" Type="http://schemas.openxmlformats.org/officeDocument/2006/relationships/hyperlink" Target="https://www.internal-displacement.org/sites/default/files/publications/documents/grid2021_idmc.pdf" TargetMode="External"/><Relationship Id="rId171" Type="http://schemas.openxmlformats.org/officeDocument/2006/relationships/hyperlink" Target="https://www.animalpolitico.com/2021/06/baja-california-matrimonio-igualitario-congreso/" TargetMode="External"/><Relationship Id="rId227" Type="http://schemas.openxmlformats.org/officeDocument/2006/relationships/hyperlink" Target="https://derechosinfancia.org.mx/v1/ninezdesaparecida-mexico-epidemia-invisible-por-adultocentrismo/" TargetMode="External"/><Relationship Id="rId269" Type="http://schemas.openxmlformats.org/officeDocument/2006/relationships/hyperlink" Target="https://actualidad.rt.com/actualidad/403972-mexico-liberar-presos-torturados-enfermos-condena" TargetMode="External"/><Relationship Id="rId434" Type="http://schemas.openxmlformats.org/officeDocument/2006/relationships/hyperlink" Target="https://centroprodh.org.mx/2021/09/30/reves-a-la-opacidad-de-la-g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730f74aa-8393-4aa5-b2f8-3c7aae566a68">
      <UserInfo>
        <DisplayName>Rizo, Jorge</DisplayName>
        <AccountId>6</AccountId>
        <AccountType/>
      </UserInfo>
    </SharedWithUsers>
    <lcf76f155ced4ddcb4097134ff3c332f xmlns="7ff2a89a-f9c3-4229-b04b-1f4abb2786a1">
      <Terms xmlns="http://schemas.microsoft.com/office/infopath/2007/PartnerControls"/>
    </lcf76f155ced4ddcb4097134ff3c332f>
    <TaxCatchAll xmlns="730f74aa-8393-4aa5-b2f8-3c7aae566a68" xsi:nil="true"/>
  </documentManagement>
</p:properties>
</file>

<file path=customXml/item5.xml><?xml version="1.0" encoding="utf-8"?>
<go:gDocsCustomXmlDataStorage xmlns:go="http://customooxmlschemas.google.com/" xmlns:r="http://schemas.openxmlformats.org/officeDocument/2006/relationships">
  <go:docsCustomData xmlns:go="http://customooxmlschemas.google.com/" roundtripDataSignature="AMtx7mgsDaeCNJ16L9OxYEdr5Z1v+Rvmpw==">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</go:docsCustomData>
</go:gDocsCustomXmlDataStorage>
</file>

<file path=customXml/itemProps1.xml><?xml version="1.0" encoding="utf-8"?>
<ds:datastoreItem xmlns:ds="http://schemas.openxmlformats.org/officeDocument/2006/customXml" ds:itemID="{93FFAB79-3CDF-41A7-8568-3C7FB4E28590}">
  <ds:schemaRefs>
    <ds:schemaRef ds:uri="http://schemas.openxmlformats.org/officeDocument/2006/bibliography"/>
  </ds:schemaRefs>
</ds:datastoreItem>
</file>

<file path=customXml/itemProps2.xml><?xml version="1.0" encoding="utf-8"?>
<ds:datastoreItem xmlns:ds="http://schemas.openxmlformats.org/officeDocument/2006/customXml" ds:itemID="{7147DDA1-0281-4772-BC22-E2C28F4191F0}"/>
</file>

<file path=customXml/itemProps3.xml><?xml version="1.0" encoding="utf-8"?>
<ds:datastoreItem xmlns:ds="http://schemas.openxmlformats.org/officeDocument/2006/customXml" ds:itemID="{3C1B8E89-DF98-414D-AB06-5099FD5711E7}">
  <ds:schemaRefs>
    <ds:schemaRef ds:uri="http://schemas.microsoft.com/sharepoint/v3/contenttype/forms"/>
  </ds:schemaRefs>
</ds:datastoreItem>
</file>

<file path=customXml/itemProps4.xml><?xml version="1.0" encoding="utf-8"?>
<ds:datastoreItem xmlns:ds="http://schemas.openxmlformats.org/officeDocument/2006/customXml" ds:itemID="{411D7950-2E39-4306-B1FA-850806123061}">
  <ds:schemaRefs>
    <ds:schemaRef ds:uri="http://schemas.microsoft.com/office/2006/metadata/properties"/>
    <ds:schemaRef ds:uri="http://schemas.microsoft.com/office/infopath/2007/PartnerControls"/>
    <ds:schemaRef ds:uri="6691804d-c530-47b1-9b8c-031a554c30cd"/>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10</Pages>
  <Words>49828</Words>
  <Characters>284026</Characters>
  <Application>Microsoft Office Word</Application>
  <DocSecurity>0</DocSecurity>
  <Lines>2366</Lines>
  <Paragraphs>666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333188</CharactersWithSpaces>
  <SharedDoc>false</SharedDoc>
  <HLinks>
    <vt:vector size="2610" baseType="variant">
      <vt:variant>
        <vt:i4>4456551</vt:i4>
      </vt:variant>
      <vt:variant>
        <vt:i4>6</vt:i4>
      </vt:variant>
      <vt:variant>
        <vt:i4>0</vt:i4>
      </vt:variant>
      <vt:variant>
        <vt:i4>5</vt:i4>
      </vt:variant>
      <vt:variant>
        <vt:lpwstr>https://twitter.com/hashtag/31Oct?src=hashtag_click</vt:lpwstr>
      </vt:variant>
      <vt:variant>
        <vt:lpwstr/>
      </vt:variant>
      <vt:variant>
        <vt:i4>6029372</vt:i4>
      </vt:variant>
      <vt:variant>
        <vt:i4>3</vt:i4>
      </vt:variant>
      <vt:variant>
        <vt:i4>0</vt:i4>
      </vt:variant>
      <vt:variant>
        <vt:i4>5</vt:i4>
      </vt:variant>
      <vt:variant>
        <vt:lpwstr>https://www.oas.org/es/cidh/decisiones/mc/2021/res_35-21_mc_284-18_mx_es.pdf</vt:lpwstr>
      </vt:variant>
      <vt:variant>
        <vt:lpwstr/>
      </vt:variant>
      <vt:variant>
        <vt:i4>5374031</vt:i4>
      </vt:variant>
      <vt:variant>
        <vt:i4>0</vt:i4>
      </vt:variant>
      <vt:variant>
        <vt:i4>0</vt:i4>
      </vt:variant>
      <vt:variant>
        <vt:i4>5</vt:i4>
      </vt:variant>
      <vt:variant>
        <vt:lpwstr>https://www.oas.org/es/cidh/decisiones/pdf/2018/15-18mc882-17-mx.pdf</vt:lpwstr>
      </vt:variant>
      <vt:variant>
        <vt:lpwstr/>
      </vt:variant>
      <vt:variant>
        <vt:i4>5111825</vt:i4>
      </vt:variant>
      <vt:variant>
        <vt:i4>1299</vt:i4>
      </vt:variant>
      <vt:variant>
        <vt:i4>0</vt:i4>
      </vt:variant>
      <vt:variant>
        <vt:i4>5</vt:i4>
      </vt:variant>
      <vt:variant>
        <vt:lpwstr>https://www.oas.org/es/cidh/expresion/docs/2018_06_18 CIDH-UN_FINAL_MX_report_SPA.PDF</vt:lpwstr>
      </vt:variant>
      <vt:variant>
        <vt:lpwstr/>
      </vt:variant>
      <vt:variant>
        <vt:i4>3014772</vt:i4>
      </vt:variant>
      <vt:variant>
        <vt:i4>1296</vt:i4>
      </vt:variant>
      <vt:variant>
        <vt:i4>0</vt:i4>
      </vt:variant>
      <vt:variant>
        <vt:i4>5</vt:i4>
      </vt:variant>
      <vt:variant>
        <vt:lpwstr>https://www.oas.org/es/cidh/expresion/showarticle.asp?artID=1202&amp;lID=2</vt:lpwstr>
      </vt:variant>
      <vt:variant>
        <vt:lpwstr/>
      </vt:variant>
      <vt:variant>
        <vt:i4>65613</vt:i4>
      </vt:variant>
      <vt:variant>
        <vt:i4>1293</vt:i4>
      </vt:variant>
      <vt:variant>
        <vt:i4>0</vt:i4>
      </vt:variant>
      <vt:variant>
        <vt:i4>5</vt:i4>
      </vt:variant>
      <vt:variant>
        <vt:lpwstr>https://www.oas.org/es/CIDH/informes/IA.asp?Year=2014</vt:lpwstr>
      </vt:variant>
      <vt:variant>
        <vt:lpwstr/>
      </vt:variant>
      <vt:variant>
        <vt:i4>3014772</vt:i4>
      </vt:variant>
      <vt:variant>
        <vt:i4>1290</vt:i4>
      </vt:variant>
      <vt:variant>
        <vt:i4>0</vt:i4>
      </vt:variant>
      <vt:variant>
        <vt:i4>5</vt:i4>
      </vt:variant>
      <vt:variant>
        <vt:lpwstr>https://www.oas.org/es/cidh/expresion/showarticle.asp?artID=1202&amp;lID=2</vt:lpwstr>
      </vt:variant>
      <vt:variant>
        <vt:lpwstr/>
      </vt:variant>
      <vt:variant>
        <vt:i4>1441881</vt:i4>
      </vt:variant>
      <vt:variant>
        <vt:i4>1287</vt:i4>
      </vt:variant>
      <vt:variant>
        <vt:i4>0</vt:i4>
      </vt:variant>
      <vt:variant>
        <vt:i4>5</vt:i4>
      </vt:variant>
      <vt:variant>
        <vt:lpwstr>http://www.oas.org/es/cidh/expresion/informes/DerechoInformacionSeguridadNacional.pdf</vt:lpwstr>
      </vt:variant>
      <vt:variant>
        <vt:lpwstr/>
      </vt:variant>
      <vt:variant>
        <vt:i4>6291509</vt:i4>
      </vt:variant>
      <vt:variant>
        <vt:i4>1284</vt:i4>
      </vt:variant>
      <vt:variant>
        <vt:i4>0</vt:i4>
      </vt:variant>
      <vt:variant>
        <vt:i4>5</vt:i4>
      </vt:variant>
      <vt:variant>
        <vt:lpwstr>https://www.animalpolitico.com/2021/10/guardia-nacional-datos-uso-fuerza-armamento/</vt:lpwstr>
      </vt:variant>
      <vt:variant>
        <vt:lpwstr/>
      </vt:variant>
      <vt:variant>
        <vt:i4>6422640</vt:i4>
      </vt:variant>
      <vt:variant>
        <vt:i4>1281</vt:i4>
      </vt:variant>
      <vt:variant>
        <vt:i4>0</vt:i4>
      </vt:variant>
      <vt:variant>
        <vt:i4>5</vt:i4>
      </vt:variant>
      <vt:variant>
        <vt:lpwstr>https://www.onu.org.mx/onu-dh-saluda-la-orden-a-la-guardia-nacional-de-hacer-publicos-sus-informes-sobre-uso-de-la-fuerza/</vt:lpwstr>
      </vt:variant>
      <vt:variant>
        <vt:lpwstr/>
      </vt:variant>
      <vt:variant>
        <vt:i4>7929895</vt:i4>
      </vt:variant>
      <vt:variant>
        <vt:i4>1278</vt:i4>
      </vt:variant>
      <vt:variant>
        <vt:i4>0</vt:i4>
      </vt:variant>
      <vt:variant>
        <vt:i4>5</vt:i4>
      </vt:variant>
      <vt:variant>
        <vt:lpwstr>https://centroprodh.org.mx/2021/09/30/reves-a-la-opacidad-de-la-gn/</vt:lpwstr>
      </vt:variant>
      <vt:variant>
        <vt:lpwstr/>
      </vt:variant>
      <vt:variant>
        <vt:i4>3866741</vt:i4>
      </vt:variant>
      <vt:variant>
        <vt:i4>1275</vt:i4>
      </vt:variant>
      <vt:variant>
        <vt:i4>0</vt:i4>
      </vt:variant>
      <vt:variant>
        <vt:i4>5</vt:i4>
      </vt:variant>
      <vt:variant>
        <vt:lpwstr>https://www.proceso.com.mx/nacional/2021/11/29/onu-dh-analiza-implicaciones-de-acuerdo-de-amlo-sobre-seguridad-nacional-276613.html</vt:lpwstr>
      </vt:variant>
      <vt:variant>
        <vt:lpwstr/>
      </vt:variant>
      <vt:variant>
        <vt:i4>6029335</vt:i4>
      </vt:variant>
      <vt:variant>
        <vt:i4>1272</vt:i4>
      </vt:variant>
      <vt:variant>
        <vt:i4>0</vt:i4>
      </vt:variant>
      <vt:variant>
        <vt:i4>5</vt:i4>
      </vt:variant>
      <vt:variant>
        <vt:lpwstr>https://politica.expansion.mx/mexico/2021/11/22/amlo-seguridad-nacional-proyectos-de-infraestructura</vt:lpwstr>
      </vt:variant>
      <vt:variant>
        <vt:lpwstr/>
      </vt:variant>
      <vt:variant>
        <vt:i4>6619182</vt:i4>
      </vt:variant>
      <vt:variant>
        <vt:i4>1269</vt:i4>
      </vt:variant>
      <vt:variant>
        <vt:i4>0</vt:i4>
      </vt:variant>
      <vt:variant>
        <vt:i4>5</vt:i4>
      </vt:variant>
      <vt:variant>
        <vt:lpwstr>https://www.infobae.com/america/mexico/2021/11/23/por-que-el-decreto-de-amlo-pone-en-riesgo-el-acceso-a-la-informacion-publica-lo-mas-delicado-es-incluir-la-expresion-seguridad-nacional/</vt:lpwstr>
      </vt:variant>
      <vt:variant>
        <vt:lpwstr/>
      </vt:variant>
      <vt:variant>
        <vt:i4>1769552</vt:i4>
      </vt:variant>
      <vt:variant>
        <vt:i4>1266</vt:i4>
      </vt:variant>
      <vt:variant>
        <vt:i4>0</vt:i4>
      </vt:variant>
      <vt:variant>
        <vt:i4>5</vt:i4>
      </vt:variant>
      <vt:variant>
        <vt:lpwstr>https://articulo19.org/impugnacion-de-la-consejeria-juridica-del-ejecutivo-federal-a-resolucion-del-inai-para-abrir-contratos-de-la-vacuna-sputnik-viola-el-derecho-a-la-informacion-de-la-sociedad/</vt:lpwstr>
      </vt:variant>
      <vt:variant>
        <vt:lpwstr/>
      </vt:variant>
      <vt:variant>
        <vt:i4>3539045</vt:i4>
      </vt:variant>
      <vt:variant>
        <vt:i4>1263</vt:i4>
      </vt:variant>
      <vt:variant>
        <vt:i4>0</vt:i4>
      </vt:variant>
      <vt:variant>
        <vt:i4>5</vt:i4>
      </vt:variant>
      <vt:variant>
        <vt:lpwstr>https://www.sopitas.com/noticias/scjn-transparencia-vacunas-covid-19-suprema-corte-justicia-nacion/</vt:lpwstr>
      </vt:variant>
      <vt:variant>
        <vt:lpwstr/>
      </vt:variant>
      <vt:variant>
        <vt:i4>983057</vt:i4>
      </vt:variant>
      <vt:variant>
        <vt:i4>1260</vt:i4>
      </vt:variant>
      <vt:variant>
        <vt:i4>0</vt:i4>
      </vt:variant>
      <vt:variant>
        <vt:i4>5</vt:i4>
      </vt:variant>
      <vt:variant>
        <vt:lpwstr>https://www.infobae.com/america/mexico/2021/12/03/scjn-bloquea-informacion-sobre-vacunas-contra-covid-19-por-seguridad-nacional/</vt:lpwstr>
      </vt:variant>
      <vt:variant>
        <vt:lpwstr/>
      </vt:variant>
      <vt:variant>
        <vt:i4>4980816</vt:i4>
      </vt:variant>
      <vt:variant>
        <vt:i4>1257</vt:i4>
      </vt:variant>
      <vt:variant>
        <vt:i4>0</vt:i4>
      </vt:variant>
      <vt:variant>
        <vt:i4>5</vt:i4>
      </vt:variant>
      <vt:variant>
        <vt:lpwstr>https://www.eluniversal.com.mx/nacion/scjn-suspende-transparentar-informacion-sobre-vacunas-anticovid</vt:lpwstr>
      </vt:variant>
      <vt:variant>
        <vt:lpwstr/>
      </vt:variant>
      <vt:variant>
        <vt:i4>3080241</vt:i4>
      </vt:variant>
      <vt:variant>
        <vt:i4>1254</vt:i4>
      </vt:variant>
      <vt:variant>
        <vt:i4>0</vt:i4>
      </vt:variant>
      <vt:variant>
        <vt:i4>5</vt:i4>
      </vt:variant>
      <vt:variant>
        <vt:lpwstr>https://www.reforma.com/aplicacioneslibre/preacceso/articulo/default.aspx?__rval=1&amp;urlredirect=https://www.reforma.com/bloquean-datos-sobre-vacunas/ar2308582?referer=--7d616165662f3a3a6262623b727a7a7279703b767a783a--</vt:lpwstr>
      </vt:variant>
      <vt:variant>
        <vt:lpwstr/>
      </vt:variant>
      <vt:variant>
        <vt:i4>7274618</vt:i4>
      </vt:variant>
      <vt:variant>
        <vt:i4>1251</vt:i4>
      </vt:variant>
      <vt:variant>
        <vt:i4>0</vt:i4>
      </vt:variant>
      <vt:variant>
        <vt:i4>5</vt:i4>
      </vt:variant>
      <vt:variant>
        <vt:lpwstr>https://articulo19.org/asesinatos-de-periodistas-en-mexico-resultado-de-la-ausencia-de-una-politica-publica-integral-de-proteccion/</vt:lpwstr>
      </vt:variant>
      <vt:variant>
        <vt:lpwstr/>
      </vt:variant>
      <vt:variant>
        <vt:i4>458822</vt:i4>
      </vt:variant>
      <vt:variant>
        <vt:i4>1248</vt:i4>
      </vt:variant>
      <vt:variant>
        <vt:i4>0</vt:i4>
      </vt:variant>
      <vt:variant>
        <vt:i4>5</vt:i4>
      </vt:variant>
      <vt:variant>
        <vt:lpwstr>https://cpj.org/es/2021/11/secuestran-y-matan-al-periodista-mexicano-alfredo-cardoso-echevarria-en-acapulco/</vt:lpwstr>
      </vt:variant>
      <vt:variant>
        <vt:lpwstr/>
      </vt:variant>
      <vt:variant>
        <vt:i4>5570628</vt:i4>
      </vt:variant>
      <vt:variant>
        <vt:i4>1245</vt:i4>
      </vt:variant>
      <vt:variant>
        <vt:i4>0</vt:i4>
      </vt:variant>
      <vt:variant>
        <vt:i4>5</vt:i4>
      </vt:variant>
      <vt:variant>
        <vt:lpwstr>https://www.efe.com/efe/america/mexico/la-impunidad-da-alas-a-los-crimenes-contra-periodistas-en-mexico/50000545-4666382</vt:lpwstr>
      </vt:variant>
      <vt:variant>
        <vt:lpwstr/>
      </vt:variant>
      <vt:variant>
        <vt:i4>8323114</vt:i4>
      </vt:variant>
      <vt:variant>
        <vt:i4>1242</vt:i4>
      </vt:variant>
      <vt:variant>
        <vt:i4>0</vt:i4>
      </vt:variant>
      <vt:variant>
        <vt:i4>5</vt:i4>
      </vt:variant>
      <vt:variant>
        <vt:lpwstr>https://www.animalpolitico.com/2021/09/presupuesto-fiscalias-torturas-ataques-periodistas-2022/</vt:lpwstr>
      </vt:variant>
      <vt:variant>
        <vt:lpwstr/>
      </vt:variant>
      <vt:variant>
        <vt:i4>7340159</vt:i4>
      </vt:variant>
      <vt:variant>
        <vt:i4>1239</vt:i4>
      </vt:variant>
      <vt:variant>
        <vt:i4>0</vt:i4>
      </vt:variant>
      <vt:variant>
        <vt:i4>5</vt:i4>
      </vt:variant>
      <vt:variant>
        <vt:lpwstr>https://www.eleconomista.com.mx/politica/Feadle-rechaza-indagar-71-de-asesinatos-de-periodistas-20211022-0010.html</vt:lpwstr>
      </vt:variant>
      <vt:variant>
        <vt:lpwstr/>
      </vt:variant>
      <vt:variant>
        <vt:i4>7798911</vt:i4>
      </vt:variant>
      <vt:variant>
        <vt:i4>1236</vt:i4>
      </vt:variant>
      <vt:variant>
        <vt:i4>0</vt:i4>
      </vt:variant>
      <vt:variant>
        <vt:i4>5</vt:i4>
      </vt:variant>
      <vt:variant>
        <vt:lpwstr>https://www.gob.mx/cms/uploads/attachment/file/672268/ESTADISTICAS_Sep_2021.pdf</vt:lpwstr>
      </vt:variant>
      <vt:variant>
        <vt:lpwstr/>
      </vt:variant>
      <vt:variant>
        <vt:i4>5111825</vt:i4>
      </vt:variant>
      <vt:variant>
        <vt:i4>1233</vt:i4>
      </vt:variant>
      <vt:variant>
        <vt:i4>0</vt:i4>
      </vt:variant>
      <vt:variant>
        <vt:i4>5</vt:i4>
      </vt:variant>
      <vt:variant>
        <vt:lpwstr>https://www.oas.org/es/cidh/expresion/docs/2018_06_18 CIDH-UN_FINAL_MX_report_SPA.PDF</vt:lpwstr>
      </vt:variant>
      <vt:variant>
        <vt:lpwstr/>
      </vt:variant>
      <vt:variant>
        <vt:i4>7274598</vt:i4>
      </vt:variant>
      <vt:variant>
        <vt:i4>1230</vt:i4>
      </vt:variant>
      <vt:variant>
        <vt:i4>0</vt:i4>
      </vt:variant>
      <vt:variant>
        <vt:i4>5</vt:i4>
      </vt:variant>
      <vt:variant>
        <vt:lpwstr>https://cpj.org/2021/06/cpj-welcomes-2nd-conviction-in-case-of-slain-mexican-journalist-javier-valdez-cardenas/</vt:lpwstr>
      </vt:variant>
      <vt:variant>
        <vt:lpwstr/>
      </vt:variant>
      <vt:variant>
        <vt:i4>2424939</vt:i4>
      </vt:variant>
      <vt:variant>
        <vt:i4>1227</vt:i4>
      </vt:variant>
      <vt:variant>
        <vt:i4>0</vt:i4>
      </vt:variant>
      <vt:variant>
        <vt:i4>5</vt:i4>
      </vt:variant>
      <vt:variant>
        <vt:lpwstr>https://elpais.com/mexico/2021-06-08/condenado-el-quillo-por-el-asesinato-del-periodista-javier-valdez.html</vt:lpwstr>
      </vt:variant>
      <vt:variant>
        <vt:lpwstr/>
      </vt:variant>
      <vt:variant>
        <vt:i4>3539006</vt:i4>
      </vt:variant>
      <vt:variant>
        <vt:i4>1224</vt:i4>
      </vt:variant>
      <vt:variant>
        <vt:i4>0</vt:i4>
      </vt:variant>
      <vt:variant>
        <vt:i4>5</vt:i4>
      </vt:variant>
      <vt:variant>
        <vt:lpwstr>https://propuestacivica.org.mx/noticia/fallo-condenatorio-para-juan-francisco-picos-barrueta-alias-el-quillo-por-su-participacion-en-el-asesinato-del-periodista-javier-valdez</vt:lpwstr>
      </vt:variant>
      <vt:variant>
        <vt:lpwstr/>
      </vt:variant>
      <vt:variant>
        <vt:i4>786436</vt:i4>
      </vt:variant>
      <vt:variant>
        <vt:i4>1221</vt:i4>
      </vt:variant>
      <vt:variant>
        <vt:i4>0</vt:i4>
      </vt:variant>
      <vt:variant>
        <vt:i4>5</vt:i4>
      </vt:variant>
      <vt:variant>
        <vt:lpwstr>https://www.elsoldemexico.com.mx/republica/justicia/dan-ocho-anos-de-prision-a-ex-alcalde-por-homicidio-de-periodista-miroslava-breach-chihuahua-6848447.html</vt:lpwstr>
      </vt:variant>
      <vt:variant>
        <vt:lpwstr/>
      </vt:variant>
      <vt:variant>
        <vt:i4>2359405</vt:i4>
      </vt:variant>
      <vt:variant>
        <vt:i4>1218</vt:i4>
      </vt:variant>
      <vt:variant>
        <vt:i4>0</vt:i4>
      </vt:variant>
      <vt:variant>
        <vt:i4>5</vt:i4>
      </vt:variant>
      <vt:variant>
        <vt:lpwstr>https://propuestacivica.org.mx/noticia/condenan-a-hugo-amed-schultz-alcaraz-por-el-homicidio-de-la-periodista-miroslava-breach-velducea</vt:lpwstr>
      </vt:variant>
      <vt:variant>
        <vt:lpwstr/>
      </vt:variant>
      <vt:variant>
        <vt:i4>3211312</vt:i4>
      </vt:variant>
      <vt:variant>
        <vt:i4>1215</vt:i4>
      </vt:variant>
      <vt:variant>
        <vt:i4>0</vt:i4>
      </vt:variant>
      <vt:variant>
        <vt:i4>5</vt:i4>
      </vt:variant>
      <vt:variant>
        <vt:lpwstr>https://www.animalpolitico.com/2021/06/sentencian-exalcalde-asesinato-periodista-miroslava-breach/</vt:lpwstr>
      </vt:variant>
      <vt:variant>
        <vt:lpwstr/>
      </vt:variant>
      <vt:variant>
        <vt:i4>4456537</vt:i4>
      </vt:variant>
      <vt:variant>
        <vt:i4>1212</vt:i4>
      </vt:variant>
      <vt:variant>
        <vt:i4>0</vt:i4>
      </vt:variant>
      <vt:variant>
        <vt:i4>5</vt:i4>
      </vt:variant>
      <vt:variant>
        <vt:lpwstr>https://es.unesco.org/news/condenas-recientes-resaltan-labor-fiscalia-mexico-dedicada-delitos-libertad-expresion</vt:lpwstr>
      </vt:variant>
      <vt:variant>
        <vt:lpwstr/>
      </vt:variant>
      <vt:variant>
        <vt:i4>7733310</vt:i4>
      </vt:variant>
      <vt:variant>
        <vt:i4>1209</vt:i4>
      </vt:variant>
      <vt:variant>
        <vt:i4>0</vt:i4>
      </vt:variant>
      <vt:variant>
        <vt:i4>5</vt:i4>
      </vt:variant>
      <vt:variant>
        <vt:lpwstr>https://www.youtube.com/watch?v=Wchwxr0D37M&amp;t=4186s</vt:lpwstr>
      </vt:variant>
      <vt:variant>
        <vt:lpwstr/>
      </vt:variant>
      <vt:variant>
        <vt:i4>7864370</vt:i4>
      </vt:variant>
      <vt:variant>
        <vt:i4>1206</vt:i4>
      </vt:variant>
      <vt:variant>
        <vt:i4>0</vt:i4>
      </vt:variant>
      <vt:variant>
        <vt:i4>5</vt:i4>
      </vt:variant>
      <vt:variant>
        <vt:lpwstr>https://www.eleconomista.com.mx/politica/Investigadores-de-desapariciones-forzadas-denuncian-espionaje-oficial-en-Mexico-20211124-0077.html</vt:lpwstr>
      </vt:variant>
      <vt:variant>
        <vt:lpwstr/>
      </vt:variant>
      <vt:variant>
        <vt:i4>2621539</vt:i4>
      </vt:variant>
      <vt:variant>
        <vt:i4>1203</vt:i4>
      </vt:variant>
      <vt:variant>
        <vt:i4>0</vt:i4>
      </vt:variant>
      <vt:variant>
        <vt:i4>5</vt:i4>
      </vt:variant>
      <vt:variant>
        <vt:lpwstr>https://elpais.com/mexico/2021-11-25/tres-investigadoras-de-la-masacre-de-san-fernando-denuncian-que-fueron-espiadas-por-el-gobierno-de-pena-nieto.html</vt:lpwstr>
      </vt:variant>
      <vt:variant>
        <vt:lpwstr/>
      </vt:variant>
      <vt:variant>
        <vt:i4>2228335</vt:i4>
      </vt:variant>
      <vt:variant>
        <vt:i4>1200</vt:i4>
      </vt:variant>
      <vt:variant>
        <vt:i4>0</vt:i4>
      </vt:variant>
      <vt:variant>
        <vt:i4>5</vt:i4>
      </vt:variant>
      <vt:variant>
        <vt:lpwstr>https://www.washingtonpost.com/world/2021/11/23/mexico-disappeared-organized-crime/</vt:lpwstr>
      </vt:variant>
      <vt:variant>
        <vt:lpwstr/>
      </vt:variant>
      <vt:variant>
        <vt:i4>4063328</vt:i4>
      </vt:variant>
      <vt:variant>
        <vt:i4>1197</vt:i4>
      </vt:variant>
      <vt:variant>
        <vt:i4>0</vt:i4>
      </vt:variant>
      <vt:variant>
        <vt:i4>5</vt:i4>
      </vt:variant>
      <vt:variant>
        <vt:lpwstr>https://www.washingtonpost.com/investigations/2021/07/18/takeaways-nso-pegasus-project/</vt:lpwstr>
      </vt:variant>
      <vt:variant>
        <vt:lpwstr/>
      </vt:variant>
      <vt:variant>
        <vt:i4>4128820</vt:i4>
      </vt:variant>
      <vt:variant>
        <vt:i4>1194</vt:i4>
      </vt:variant>
      <vt:variant>
        <vt:i4>0</vt:i4>
      </vt:variant>
      <vt:variant>
        <vt:i4>5</vt:i4>
      </vt:variant>
      <vt:variant>
        <vt:lpwstr>https://www.dw.com/en/pegasus-spyware-mexico-one-of-the-biggest-targets/a-58597847</vt:lpwstr>
      </vt:variant>
      <vt:variant>
        <vt:lpwstr/>
      </vt:variant>
      <vt:variant>
        <vt:i4>2818164</vt:i4>
      </vt:variant>
      <vt:variant>
        <vt:i4>1191</vt:i4>
      </vt:variant>
      <vt:variant>
        <vt:i4>0</vt:i4>
      </vt:variant>
      <vt:variant>
        <vt:i4>5</vt:i4>
      </vt:variant>
      <vt:variant>
        <vt:lpwstr>https://www.oas.org/es/cidh/expresion/showarticle.asp?artID=1207&amp;lID=2</vt:lpwstr>
      </vt:variant>
      <vt:variant>
        <vt:lpwstr/>
      </vt:variant>
      <vt:variant>
        <vt:i4>917607</vt:i4>
      </vt:variant>
      <vt:variant>
        <vt:i4>1188</vt:i4>
      </vt:variant>
      <vt:variant>
        <vt:i4>0</vt:i4>
      </vt:variant>
      <vt:variant>
        <vt:i4>5</vt:i4>
      </vt:variant>
      <vt:variant>
        <vt:lpwstr>https://twitter.com/Forbes_Mexico/status/1410599028320993284?s=20</vt:lpwstr>
      </vt:variant>
      <vt:variant>
        <vt:lpwstr/>
      </vt:variant>
      <vt:variant>
        <vt:i4>6881397</vt:i4>
      </vt:variant>
      <vt:variant>
        <vt:i4>1185</vt:i4>
      </vt:variant>
      <vt:variant>
        <vt:i4>0</vt:i4>
      </vt:variant>
      <vt:variant>
        <vt:i4>5</vt:i4>
      </vt:variant>
      <vt:variant>
        <vt:lpwstr>https://elpais.com/mexico/2021-06-30/el-presidente-estrena-su-espacio-contra-los-medios-de-comunicacion-llamandolos-corruptos-rastreros-e-integristas.html</vt:lpwstr>
      </vt:variant>
      <vt:variant>
        <vt:lpwstr/>
      </vt:variant>
      <vt:variant>
        <vt:i4>2097235</vt:i4>
      </vt:variant>
      <vt:variant>
        <vt:i4>1182</vt:i4>
      </vt:variant>
      <vt:variant>
        <vt:i4>0</vt:i4>
      </vt:variant>
      <vt:variant>
        <vt:i4>5</vt:i4>
      </vt:variant>
      <vt:variant>
        <vt:lpwstr>https://www.swissinfo.ch/spa/m%C3%A9xico-pol%C3%ADtica_l%C3%B3pez-obrador-anuncia-una-secci%C3%B3n-semanal-para-exhibir--noticias-falsas-/46729572</vt:lpwstr>
      </vt:variant>
      <vt:variant>
        <vt:lpwstr/>
      </vt:variant>
      <vt:variant>
        <vt:i4>524383</vt:i4>
      </vt:variant>
      <vt:variant>
        <vt:i4>1179</vt:i4>
      </vt:variant>
      <vt:variant>
        <vt:i4>0</vt:i4>
      </vt:variant>
      <vt:variant>
        <vt:i4>5</vt:i4>
      </vt:variant>
      <vt:variant>
        <vt:lpwstr>https://elpais.com/mexico/2021-06-24/el-quien-es-quien-de-lopez-obrador-o-la-nueva-ofensiva-contra-la-prensa.html</vt:lpwstr>
      </vt:variant>
      <vt:variant>
        <vt:lpwstr/>
      </vt:variant>
      <vt:variant>
        <vt:i4>6226006</vt:i4>
      </vt:variant>
      <vt:variant>
        <vt:i4>1176</vt:i4>
      </vt:variant>
      <vt:variant>
        <vt:i4>0</vt:i4>
      </vt:variant>
      <vt:variant>
        <vt:i4>5</vt:i4>
      </vt:variant>
      <vt:variant>
        <vt:lpwstr>https://www.animalpolitico.com/2021/08/roban-secuestro-amenazas-muerte-teresa-montano-periodista-edomex/</vt:lpwstr>
      </vt:variant>
      <vt:variant>
        <vt:lpwstr/>
      </vt:variant>
      <vt:variant>
        <vt:i4>4063291</vt:i4>
      </vt:variant>
      <vt:variant>
        <vt:i4>1173</vt:i4>
      </vt:variant>
      <vt:variant>
        <vt:i4>0</vt:i4>
      </vt:variant>
      <vt:variant>
        <vt:i4>5</vt:i4>
      </vt:variant>
      <vt:variant>
        <vt:lpwstr>https://cpj.org/es/2021/08/secuestran-amenazan-y-roban-a-la-periodista-mexicana-maria-teresa-montano-en-toluca/</vt:lpwstr>
      </vt:variant>
      <vt:variant>
        <vt:lpwstr/>
      </vt:variant>
      <vt:variant>
        <vt:i4>589918</vt:i4>
      </vt:variant>
      <vt:variant>
        <vt:i4>1170</vt:i4>
      </vt:variant>
      <vt:variant>
        <vt:i4>0</vt:i4>
      </vt:variant>
      <vt:variant>
        <vt:i4>5</vt:i4>
      </vt:variant>
      <vt:variant>
        <vt:lpwstr>https://aristeguinoticias.com/0908/mexico/amenaza-cartel-jalisco-a-la-periodista-azucena-uresti-gobierno-anuncia-medidas/</vt:lpwstr>
      </vt:variant>
      <vt:variant>
        <vt:lpwstr/>
      </vt:variant>
      <vt:variant>
        <vt:i4>65563</vt:i4>
      </vt:variant>
      <vt:variant>
        <vt:i4>1167</vt:i4>
      </vt:variant>
      <vt:variant>
        <vt:i4>0</vt:i4>
      </vt:variant>
      <vt:variant>
        <vt:i4>5</vt:i4>
      </vt:variant>
      <vt:variant>
        <vt:lpwstr>https://apnews.com/article/noticias-a607aa61481707be8c1e305f301c0ee4</vt:lpwstr>
      </vt:variant>
      <vt:variant>
        <vt:lpwstr/>
      </vt:variant>
      <vt:variant>
        <vt:i4>720897</vt:i4>
      </vt:variant>
      <vt:variant>
        <vt:i4>1164</vt:i4>
      </vt:variant>
      <vt:variant>
        <vt:i4>0</vt:i4>
      </vt:variant>
      <vt:variant>
        <vt:i4>5</vt:i4>
      </vt:variant>
      <vt:variant>
        <vt:lpwstr>https://www.sopitas.com/noticias/apunalan-reportero-luis-aguilera-exhibio-denuncia-contra-candidato-pvem-penjamo-guanajuato/</vt:lpwstr>
      </vt:variant>
      <vt:variant>
        <vt:lpwstr/>
      </vt:variant>
      <vt:variant>
        <vt:i4>655389</vt:i4>
      </vt:variant>
      <vt:variant>
        <vt:i4>1161</vt:i4>
      </vt:variant>
      <vt:variant>
        <vt:i4>0</vt:i4>
      </vt:variant>
      <vt:variant>
        <vt:i4>5</vt:i4>
      </vt:variant>
      <vt:variant>
        <vt:lpwstr>https://www.proceso.com.mx/nacional/estados/2021/5/22/apunalan-un-reportero-en-penjamo-guanajuato-264437.html</vt:lpwstr>
      </vt:variant>
      <vt:variant>
        <vt:lpwstr/>
      </vt:variant>
      <vt:variant>
        <vt:i4>655431</vt:i4>
      </vt:variant>
      <vt:variant>
        <vt:i4>1158</vt:i4>
      </vt:variant>
      <vt:variant>
        <vt:i4>0</vt:i4>
      </vt:variant>
      <vt:variant>
        <vt:i4>5</vt:i4>
      </vt:variant>
      <vt:variant>
        <vt:lpwstr>https://cpj.org/es/2021/06/el-periodista-mexicano-luis-aguilar-sobrevive-ataque-con-cuchillo-en-penjamo/</vt:lpwstr>
      </vt:variant>
      <vt:variant>
        <vt:lpwstr/>
      </vt:variant>
      <vt:variant>
        <vt:i4>6684691</vt:i4>
      </vt:variant>
      <vt:variant>
        <vt:i4>1155</vt:i4>
      </vt:variant>
      <vt:variant>
        <vt:i4>0</vt:i4>
      </vt:variant>
      <vt:variant>
        <vt:i4>5</vt:i4>
      </vt:variant>
      <vt:variant>
        <vt:lpwstr>https://twitter.com/FISCALIA_GobOax/status/1357152021908918276?s=20</vt:lpwstr>
      </vt:variant>
      <vt:variant>
        <vt:lpwstr/>
      </vt:variant>
      <vt:variant>
        <vt:i4>6160408</vt:i4>
      </vt:variant>
      <vt:variant>
        <vt:i4>1152</vt:i4>
      </vt:variant>
      <vt:variant>
        <vt:i4>0</vt:i4>
      </vt:variant>
      <vt:variant>
        <vt:i4>5</vt:i4>
      </vt:variant>
      <vt:variant>
        <vt:lpwstr>https://oaxaca.quadratin.com.mx/asesinan-a-balazos-a-2-mujeres-en-oaxaca/</vt:lpwstr>
      </vt:variant>
      <vt:variant>
        <vt:lpwstr/>
      </vt:variant>
      <vt:variant>
        <vt:i4>6160397</vt:i4>
      </vt:variant>
      <vt:variant>
        <vt:i4>1149</vt:i4>
      </vt:variant>
      <vt:variant>
        <vt:i4>0</vt:i4>
      </vt:variant>
      <vt:variant>
        <vt:i4>5</vt:i4>
      </vt:variant>
      <vt:variant>
        <vt:lpwstr>https://oaxacavialynoticias.com/dos-mujeres-ejecutadas-en-ocotlan-de-morelos-oaxaca/</vt:lpwstr>
      </vt:variant>
      <vt:variant>
        <vt:lpwstr/>
      </vt:variant>
      <vt:variant>
        <vt:i4>7405630</vt:i4>
      </vt:variant>
      <vt:variant>
        <vt:i4>1146</vt:i4>
      </vt:variant>
      <vt:variant>
        <vt:i4>0</vt:i4>
      </vt:variant>
      <vt:variant>
        <vt:i4>5</vt:i4>
      </vt:variant>
      <vt:variant>
        <vt:lpwstr>https://cpj.org/es/2021/02/el-periodista-mexicano-edgar-leyva-se-oculta-tras-atentado/</vt:lpwstr>
      </vt:variant>
      <vt:variant>
        <vt:lpwstr/>
      </vt:variant>
      <vt:variant>
        <vt:i4>7143523</vt:i4>
      </vt:variant>
      <vt:variant>
        <vt:i4>1143</vt:i4>
      </vt:variant>
      <vt:variant>
        <vt:i4>0</vt:i4>
      </vt:variant>
      <vt:variant>
        <vt:i4>5</vt:i4>
      </vt:variant>
      <vt:variant>
        <vt:lpwstr>https://elpais.com/mexico/2021-07-01/agresiones-y-detenciones-arbitrarias-la-cotidianidad-de-los-periodistas-en-mexico.html</vt:lpwstr>
      </vt:variant>
      <vt:variant>
        <vt:lpwstr/>
      </vt:variant>
      <vt:variant>
        <vt:i4>6357114</vt:i4>
      </vt:variant>
      <vt:variant>
        <vt:i4>1140</vt:i4>
      </vt:variant>
      <vt:variant>
        <vt:i4>0</vt:i4>
      </vt:variant>
      <vt:variant>
        <vt:i4>5</vt:i4>
      </vt:variant>
      <vt:variant>
        <vt:lpwstr>https://www.radioformula.com.mx/noticias/20211006/atacan-portal-emeequis-tras-publicar-reportaje-el-checador-detras-de-las-empresas-fantasmas-de-amlo/</vt:lpwstr>
      </vt:variant>
      <vt:variant>
        <vt:lpwstr/>
      </vt:variant>
      <vt:variant>
        <vt:i4>7864438</vt:i4>
      </vt:variant>
      <vt:variant>
        <vt:i4>1137</vt:i4>
      </vt:variant>
      <vt:variant>
        <vt:i4>0</vt:i4>
      </vt:variant>
      <vt:variant>
        <vt:i4>5</vt:i4>
      </vt:variant>
      <vt:variant>
        <vt:lpwstr>https://www.excelsior.com.mx/nacional/baja-a-chin-a-tu-ma-tus-mentiras-o-vas-a-ver-asi-amenaza-alcalde-a-reportero/1474831</vt:lpwstr>
      </vt:variant>
      <vt:variant>
        <vt:lpwstr/>
      </vt:variant>
      <vt:variant>
        <vt:i4>393229</vt:i4>
      </vt:variant>
      <vt:variant>
        <vt:i4>1134</vt:i4>
      </vt:variant>
      <vt:variant>
        <vt:i4>0</vt:i4>
      </vt:variant>
      <vt:variant>
        <vt:i4>5</vt:i4>
      </vt:variant>
      <vt:variant>
        <vt:lpwstr>https://rsf.org/es/noticias/mexico-autoridades-deben-proteger-al-periodista-jacob-morales-tras-intimidaciones-de-policias</vt:lpwstr>
      </vt:variant>
      <vt:variant>
        <vt:lpwstr/>
      </vt:variant>
      <vt:variant>
        <vt:i4>4128817</vt:i4>
      </vt:variant>
      <vt:variant>
        <vt:i4>1131</vt:i4>
      </vt:variant>
      <vt:variant>
        <vt:i4>0</vt:i4>
      </vt:variant>
      <vt:variant>
        <vt:i4>5</vt:i4>
      </vt:variant>
      <vt:variant>
        <vt:lpwstr>https://www.jornada.com.mx/notas/2021/07/07/estados/allanaron-policias-casa-del-director-del-diario-de-la-tarde-en-iguala/</vt:lpwstr>
      </vt:variant>
      <vt:variant>
        <vt:lpwstr/>
      </vt:variant>
      <vt:variant>
        <vt:i4>5898334</vt:i4>
      </vt:variant>
      <vt:variant>
        <vt:i4>1128</vt:i4>
      </vt:variant>
      <vt:variant>
        <vt:i4>0</vt:i4>
      </vt:variant>
      <vt:variant>
        <vt:i4>5</vt:i4>
      </vt:variant>
      <vt:variant>
        <vt:lpwstr>https://cpj.org/es/2021/11/sujetos-no-identificados-disparan-al-auto-de-la-periodista-mexicana-beatriz-flores-despues-de-que-esta-recibe-amenazas-por-via-telefonica/</vt:lpwstr>
      </vt:variant>
      <vt:variant>
        <vt:lpwstr/>
      </vt:variant>
      <vt:variant>
        <vt:i4>6094971</vt:i4>
      </vt:variant>
      <vt:variant>
        <vt:i4>1125</vt:i4>
      </vt:variant>
      <vt:variant>
        <vt:i4>0</vt:i4>
      </vt:variant>
      <vt:variant>
        <vt:i4>5</vt:i4>
      </vt:variant>
      <vt:variant>
        <vt:lpwstr>https://reaccioninformativa.com/noticias/sinaloa/colectivo-de-periodistas-condena-agresiones-contra-reporteros-de-escuinapa_1z6TOkz8tZWee0D9KgyUIq</vt:lpwstr>
      </vt:variant>
      <vt:variant>
        <vt:lpwstr/>
      </vt:variant>
      <vt:variant>
        <vt:i4>2752570</vt:i4>
      </vt:variant>
      <vt:variant>
        <vt:i4>1122</vt:i4>
      </vt:variant>
      <vt:variant>
        <vt:i4>0</vt:i4>
      </vt:variant>
      <vt:variant>
        <vt:i4>5</vt:i4>
      </vt:variant>
      <vt:variant>
        <vt:lpwstr>https://twitter.com/RompeMiedo/status/1401744744544452611?s=20</vt:lpwstr>
      </vt:variant>
      <vt:variant>
        <vt:lpwstr/>
      </vt:variant>
      <vt:variant>
        <vt:i4>983061</vt:i4>
      </vt:variant>
      <vt:variant>
        <vt:i4>1119</vt:i4>
      </vt:variant>
      <vt:variant>
        <vt:i4>0</vt:i4>
      </vt:variant>
      <vt:variant>
        <vt:i4>5</vt:i4>
      </vt:variant>
      <vt:variant>
        <vt:lpwstr>https://latinus.us/2021/12/01/mecanismo-proteccion-periodistas-defensores-derechos-humanos-insuficiente-reconoce-encinas/</vt:lpwstr>
      </vt:variant>
      <vt:variant>
        <vt:lpwstr/>
      </vt:variant>
      <vt:variant>
        <vt:i4>3735678</vt:i4>
      </vt:variant>
      <vt:variant>
        <vt:i4>1116</vt:i4>
      </vt:variant>
      <vt:variant>
        <vt:i4>0</vt:i4>
      </vt:variant>
      <vt:variant>
        <vt:i4>5</vt:i4>
      </vt:variant>
      <vt:variant>
        <vt:lpwstr>https://www.elsoldemexico.com.mx/mexico/sociedad/crecen-agresiones-contra-defensores-y-periodistas-durante-los-ultimos-tres-anos-segob-7300210.html</vt:lpwstr>
      </vt:variant>
      <vt:variant>
        <vt:lpwstr/>
      </vt:variant>
      <vt:variant>
        <vt:i4>3866741</vt:i4>
      </vt:variant>
      <vt:variant>
        <vt:i4>1113</vt:i4>
      </vt:variant>
      <vt:variant>
        <vt:i4>0</vt:i4>
      </vt:variant>
      <vt:variant>
        <vt:i4>5</vt:i4>
      </vt:variant>
      <vt:variant>
        <vt:lpwstr>https://hchr.org.mx/comunicados/la-onu-dh-llama-a-las-autoridades-a-garantizar-la-labor-de-las-mujeres-defensoras-de-derechos-humanos/</vt:lpwstr>
      </vt:variant>
      <vt:variant>
        <vt:lpwstr/>
      </vt:variant>
      <vt:variant>
        <vt:i4>6357046</vt:i4>
      </vt:variant>
      <vt:variant>
        <vt:i4>1110</vt:i4>
      </vt:variant>
      <vt:variant>
        <vt:i4>0</vt:i4>
      </vt:variant>
      <vt:variant>
        <vt:i4>5</vt:i4>
      </vt:variant>
      <vt:variant>
        <vt:lpwstr>https://twitter.com/CIDH/status/1412530397792161794</vt:lpwstr>
      </vt:variant>
      <vt:variant>
        <vt:lpwstr/>
      </vt:variant>
      <vt:variant>
        <vt:i4>5439552</vt:i4>
      </vt:variant>
      <vt:variant>
        <vt:i4>1107</vt:i4>
      </vt:variant>
      <vt:variant>
        <vt:i4>0</vt:i4>
      </vt:variant>
      <vt:variant>
        <vt:i4>5</vt:i4>
      </vt:variant>
      <vt:variant>
        <vt:lpwstr>https://www.proceso.com.mx/nacional/estados/2021/1/25/asesinan-fidel-heras-cruz-defensor-del-rio-verde-contra-megaproyectos-en-oaxaca-256956.html</vt:lpwstr>
      </vt:variant>
      <vt:variant>
        <vt:lpwstr/>
      </vt:variant>
      <vt:variant>
        <vt:i4>1245206</vt:i4>
      </vt:variant>
      <vt:variant>
        <vt:i4>1104</vt:i4>
      </vt:variant>
      <vt:variant>
        <vt:i4>0</vt:i4>
      </vt:variant>
      <vt:variant>
        <vt:i4>5</vt:i4>
      </vt:variant>
      <vt:variant>
        <vt:lpwstr>https://revistaespejo.com/2021/08/24/desplazas-a-rastreadoras-con-amenazas-de-muerte/</vt:lpwstr>
      </vt:variant>
      <vt:variant>
        <vt:lpwstr/>
      </vt:variant>
      <vt:variant>
        <vt:i4>5505102</vt:i4>
      </vt:variant>
      <vt:variant>
        <vt:i4>1101</vt:i4>
      </vt:variant>
      <vt:variant>
        <vt:i4>0</vt:i4>
      </vt:variant>
      <vt:variant>
        <vt:i4>5</vt:i4>
      </vt:variant>
      <vt:variant>
        <vt:lpwstr>https://www.proceso.com.mx/nacional/estados/2021/8/4/familiares-de-desaparecidos-denuncian-intimidacion-de-personal-naval-en-nuevo-laredo-269243.html</vt:lpwstr>
      </vt:variant>
      <vt:variant>
        <vt:lpwstr/>
      </vt:variant>
      <vt:variant>
        <vt:i4>5505045</vt:i4>
      </vt:variant>
      <vt:variant>
        <vt:i4>1098</vt:i4>
      </vt:variant>
      <vt:variant>
        <vt:i4>0</vt:i4>
      </vt:variant>
      <vt:variant>
        <vt:i4>5</vt:i4>
      </vt:variant>
      <vt:variant>
        <vt:lpwstr>https://www.animalpolitico.com/2021/06/reynosa-detenciones-arbitrarias-familiares-desaparecidos/</vt:lpwstr>
      </vt:variant>
      <vt:variant>
        <vt:lpwstr/>
      </vt:variant>
      <vt:variant>
        <vt:i4>1966107</vt:i4>
      </vt:variant>
      <vt:variant>
        <vt:i4>1095</vt:i4>
      </vt:variant>
      <vt:variant>
        <vt:i4>0</vt:i4>
      </vt:variant>
      <vt:variant>
        <vt:i4>5</vt:i4>
      </vt:variant>
      <vt:variant>
        <vt:lpwstr>https://www.publico.es/internacional/medio-ambiente-mexico-registra-veintiocho-asesinatos-defensores-ambientales-lideres-indigenas-2021.html</vt:lpwstr>
      </vt:variant>
      <vt:variant>
        <vt:lpwstr/>
      </vt:variant>
      <vt:variant>
        <vt:i4>1703959</vt:i4>
      </vt:variant>
      <vt:variant>
        <vt:i4>1092</vt:i4>
      </vt:variant>
      <vt:variant>
        <vt:i4>0</vt:i4>
      </vt:variant>
      <vt:variant>
        <vt:i4>5</vt:i4>
      </vt:variant>
      <vt:variant>
        <vt:lpwstr>https://www.gob.mx/segob/documentos/agravios-contra-personas-defensoras-de-derechos-humanos-y-periodistas</vt:lpwstr>
      </vt:variant>
      <vt:variant>
        <vt:lpwstr/>
      </vt:variant>
      <vt:variant>
        <vt:i4>24</vt:i4>
      </vt:variant>
      <vt:variant>
        <vt:i4>1089</vt:i4>
      </vt:variant>
      <vt:variant>
        <vt:i4>0</vt:i4>
      </vt:variant>
      <vt:variant>
        <vt:i4>5</vt:i4>
      </vt:variant>
      <vt:variant>
        <vt:lpwstr>https://hchr.org.mx/comunicados/la-onu-dh-condena-los-asesinatos-de-los-defensores-de-derechos-humanos-rodrigo-morales-vazquez-y-alejandro-garcia-zagal/</vt:lpwstr>
      </vt:variant>
      <vt:variant>
        <vt:lpwstr/>
      </vt:variant>
      <vt:variant>
        <vt:i4>1703959</vt:i4>
      </vt:variant>
      <vt:variant>
        <vt:i4>1086</vt:i4>
      </vt:variant>
      <vt:variant>
        <vt:i4>0</vt:i4>
      </vt:variant>
      <vt:variant>
        <vt:i4>5</vt:i4>
      </vt:variant>
      <vt:variant>
        <vt:lpwstr>https://www.gob.mx/segob/documentos/agravios-contra-personas-defensoras-de-derechos-humanos-y-periodistas</vt:lpwstr>
      </vt:variant>
      <vt:variant>
        <vt:lpwstr/>
      </vt:variant>
      <vt:variant>
        <vt:i4>7733297</vt:i4>
      </vt:variant>
      <vt:variant>
        <vt:i4>1083</vt:i4>
      </vt:variant>
      <vt:variant>
        <vt:i4>0</vt:i4>
      </vt:variant>
      <vt:variant>
        <vt:i4>5</vt:i4>
      </vt:variant>
      <vt:variant>
        <vt:lpwstr>http://www.oas.org/es/cidh/prensa/comunicados/2019/100.asp</vt:lpwstr>
      </vt:variant>
      <vt:variant>
        <vt:lpwstr/>
      </vt:variant>
      <vt:variant>
        <vt:i4>655376</vt:i4>
      </vt:variant>
      <vt:variant>
        <vt:i4>1080</vt:i4>
      </vt:variant>
      <vt:variant>
        <vt:i4>0</vt:i4>
      </vt:variant>
      <vt:variant>
        <vt:i4>5</vt:i4>
      </vt:variant>
      <vt:variant>
        <vt:lpwstr>https://mailchi.mp/cmdpdh/situacin-de-desplazamiento-interno-forzado-en-mxico</vt:lpwstr>
      </vt:variant>
      <vt:variant>
        <vt:lpwstr/>
      </vt:variant>
      <vt:variant>
        <vt:i4>4915238</vt:i4>
      </vt:variant>
      <vt:variant>
        <vt:i4>1077</vt:i4>
      </vt:variant>
      <vt:variant>
        <vt:i4>0</vt:i4>
      </vt:variant>
      <vt:variant>
        <vt:i4>5</vt:i4>
      </vt:variant>
      <vt:variant>
        <vt:lpwstr>https://www.internal-displacement.org/sites/default/files/publications/documents/grid2021_idmc.pdf</vt:lpwstr>
      </vt:variant>
      <vt:variant>
        <vt:lpwstr/>
      </vt:variant>
      <vt:variant>
        <vt:i4>7864332</vt:i4>
      </vt:variant>
      <vt:variant>
        <vt:i4>1074</vt:i4>
      </vt:variant>
      <vt:variant>
        <vt:i4>0</vt:i4>
      </vt:variant>
      <vt:variant>
        <vt:i4>5</vt:i4>
      </vt:variant>
      <vt:variant>
        <vt:lpwstr>https://www.internal-displacement.org/sites/default/files/publications/documents/grid2021_idmc.pdf</vt:lpwstr>
      </vt:variant>
      <vt:variant>
        <vt:lpwstr>page=7</vt:lpwstr>
      </vt:variant>
      <vt:variant>
        <vt:i4>5111824</vt:i4>
      </vt:variant>
      <vt:variant>
        <vt:i4>1071</vt:i4>
      </vt:variant>
      <vt:variant>
        <vt:i4>0</vt:i4>
      </vt:variant>
      <vt:variant>
        <vt:i4>5</vt:i4>
      </vt:variant>
      <vt:variant>
        <vt:lpwstr>https://www.ilo.org/wcmsp5/groups/public/---ed_protect/---protrav/---migrant/documents/publication/wcms_768856.pdf</vt:lpwstr>
      </vt:variant>
      <vt:variant>
        <vt:lpwstr/>
      </vt:variant>
      <vt:variant>
        <vt:i4>2752543</vt:i4>
      </vt:variant>
      <vt:variant>
        <vt:i4>1068</vt:i4>
      </vt:variant>
      <vt:variant>
        <vt:i4>0</vt:i4>
      </vt:variant>
      <vt:variant>
        <vt:i4>5</vt:i4>
      </vt:variant>
      <vt:variant>
        <vt:lpwstr>https://www.programamesoamerica.iom.int/sites/default/files/practicas_de_reclutamiento_0.pdf</vt:lpwstr>
      </vt:variant>
      <vt:variant>
        <vt:lpwstr/>
      </vt:variant>
      <vt:variant>
        <vt:i4>2752543</vt:i4>
      </vt:variant>
      <vt:variant>
        <vt:i4>1065</vt:i4>
      </vt:variant>
      <vt:variant>
        <vt:i4>0</vt:i4>
      </vt:variant>
      <vt:variant>
        <vt:i4>5</vt:i4>
      </vt:variant>
      <vt:variant>
        <vt:lpwstr>https://www.programamesoamerica.iom.int/sites/default/files/practicas_de_reclutamiento_0.pdf</vt:lpwstr>
      </vt:variant>
      <vt:variant>
        <vt:lpwstr/>
      </vt:variant>
      <vt:variant>
        <vt:i4>917574</vt:i4>
      </vt:variant>
      <vt:variant>
        <vt:i4>1062</vt:i4>
      </vt:variant>
      <vt:variant>
        <vt:i4>0</vt:i4>
      </vt:variant>
      <vt:variant>
        <vt:i4>5</vt:i4>
      </vt:variant>
      <vt:variant>
        <vt:lpwstr>https://www.oas.org/es/cidh/migrantes/docs/pdf/Informe-Migrantes-Mexico-2013.pdf</vt:lpwstr>
      </vt:variant>
      <vt:variant>
        <vt:lpwstr/>
      </vt:variant>
      <vt:variant>
        <vt:i4>5570590</vt:i4>
      </vt:variant>
      <vt:variant>
        <vt:i4>1059</vt:i4>
      </vt:variant>
      <vt:variant>
        <vt:i4>0</vt:i4>
      </vt:variant>
      <vt:variant>
        <vt:i4>5</vt:i4>
      </vt:variant>
      <vt:variant>
        <vt:lpwstr>https://www.onu.org.mx/cndh-y-onu-dh-llaman-a-garantizar-la-labor-de-quienes-documentan-la-situacion-en-chiapas/</vt:lpwstr>
      </vt:variant>
      <vt:variant>
        <vt:lpwstr/>
      </vt:variant>
      <vt:variant>
        <vt:i4>917574</vt:i4>
      </vt:variant>
      <vt:variant>
        <vt:i4>1056</vt:i4>
      </vt:variant>
      <vt:variant>
        <vt:i4>0</vt:i4>
      </vt:variant>
      <vt:variant>
        <vt:i4>5</vt:i4>
      </vt:variant>
      <vt:variant>
        <vt:lpwstr>https://www.oas.org/es/cidh/migrantes/docs/pdf/Informe-Migrantes-Mexico-2013.pdf</vt:lpwstr>
      </vt:variant>
      <vt:variant>
        <vt:lpwstr/>
      </vt:variant>
      <vt:variant>
        <vt:i4>5439488</vt:i4>
      </vt:variant>
      <vt:variant>
        <vt:i4>1053</vt:i4>
      </vt:variant>
      <vt:variant>
        <vt:i4>0</vt:i4>
      </vt:variant>
      <vt:variant>
        <vt:i4>5</vt:i4>
      </vt:variant>
      <vt:variant>
        <vt:lpwstr>http://www.oas.org/es/CIDH/jsForm/?File=/es/cidh/prensa/comunicados/2021/243.asp</vt:lpwstr>
      </vt:variant>
      <vt:variant>
        <vt:lpwstr/>
      </vt:variant>
      <vt:variant>
        <vt:i4>6881322</vt:i4>
      </vt:variant>
      <vt:variant>
        <vt:i4>1050</vt:i4>
      </vt:variant>
      <vt:variant>
        <vt:i4>0</vt:i4>
      </vt:variant>
      <vt:variant>
        <vt:i4>5</vt:i4>
      </vt:variant>
      <vt:variant>
        <vt:lpwstr>https://www.youtube.com/watch?v=uAujEJLnL90</vt:lpwstr>
      </vt:variant>
      <vt:variant>
        <vt:lpwstr/>
      </vt:variant>
      <vt:variant>
        <vt:i4>5439488</vt:i4>
      </vt:variant>
      <vt:variant>
        <vt:i4>1047</vt:i4>
      </vt:variant>
      <vt:variant>
        <vt:i4>0</vt:i4>
      </vt:variant>
      <vt:variant>
        <vt:i4>5</vt:i4>
      </vt:variant>
      <vt:variant>
        <vt:lpwstr>http://www.oas.org/es/CIDH/jsForm/?File=/es/cidh/prensa/comunicados/2021/243.asp</vt:lpwstr>
      </vt:variant>
      <vt:variant>
        <vt:lpwstr/>
      </vt:variant>
      <vt:variant>
        <vt:i4>7929966</vt:i4>
      </vt:variant>
      <vt:variant>
        <vt:i4>1044</vt:i4>
      </vt:variant>
      <vt:variant>
        <vt:i4>0</vt:i4>
      </vt:variant>
      <vt:variant>
        <vt:i4>5</vt:i4>
      </vt:variant>
      <vt:variant>
        <vt:lpwstr>https://boletinesredlac.com/wp-content/uploads/2021/06/BOLETIN14REDLAC_FINAL_1.pdf</vt:lpwstr>
      </vt:variant>
      <vt:variant>
        <vt:lpwstr/>
      </vt:variant>
      <vt:variant>
        <vt:i4>3604578</vt:i4>
      </vt:variant>
      <vt:variant>
        <vt:i4>1041</vt:i4>
      </vt:variant>
      <vt:variant>
        <vt:i4>0</vt:i4>
      </vt:variant>
      <vt:variant>
        <vt:i4>5</vt:i4>
      </vt:variant>
      <vt:variant>
        <vt:lpwstr>https://www.amnesty.org/es/wp-content/uploads/2021/07/AMR5142002021ENGLISH.pdf</vt:lpwstr>
      </vt:variant>
      <vt:variant>
        <vt:lpwstr/>
      </vt:variant>
      <vt:variant>
        <vt:i4>6422591</vt:i4>
      </vt:variant>
      <vt:variant>
        <vt:i4>1038</vt:i4>
      </vt:variant>
      <vt:variant>
        <vt:i4>0</vt:i4>
      </vt:variant>
      <vt:variant>
        <vt:i4>5</vt:i4>
      </vt:variant>
      <vt:variant>
        <vt:lpwstr>https://twitter.com/CIDH/status/1405187169484947456</vt:lpwstr>
      </vt:variant>
      <vt:variant>
        <vt:lpwstr/>
      </vt:variant>
      <vt:variant>
        <vt:i4>6422591</vt:i4>
      </vt:variant>
      <vt:variant>
        <vt:i4>1035</vt:i4>
      </vt:variant>
      <vt:variant>
        <vt:i4>0</vt:i4>
      </vt:variant>
      <vt:variant>
        <vt:i4>5</vt:i4>
      </vt:variant>
      <vt:variant>
        <vt:lpwstr>https://twitter.com/CIDH/status/1405187169484947456</vt:lpwstr>
      </vt:variant>
      <vt:variant>
        <vt:lpwstr/>
      </vt:variant>
      <vt:variant>
        <vt:i4>917574</vt:i4>
      </vt:variant>
      <vt:variant>
        <vt:i4>1032</vt:i4>
      </vt:variant>
      <vt:variant>
        <vt:i4>0</vt:i4>
      </vt:variant>
      <vt:variant>
        <vt:i4>5</vt:i4>
      </vt:variant>
      <vt:variant>
        <vt:lpwstr>https://www.oas.org/es/cidh/migrantes/docs/pdf/Informe-Migrantes-Mexico-2013.pdf</vt:lpwstr>
      </vt:variant>
      <vt:variant>
        <vt:lpwstr/>
      </vt:variant>
      <vt:variant>
        <vt:i4>1114136</vt:i4>
      </vt:variant>
      <vt:variant>
        <vt:i4>1029</vt:i4>
      </vt:variant>
      <vt:variant>
        <vt:i4>0</vt:i4>
      </vt:variant>
      <vt:variant>
        <vt:i4>5</vt:i4>
      </vt:variant>
      <vt:variant>
        <vt:lpwstr>https://www.oas.org/es/cidh/informes/pdfs/Principios DDHH migrantes - ES.pdf</vt:lpwstr>
      </vt:variant>
      <vt:variant>
        <vt:lpwstr/>
      </vt:variant>
      <vt:variant>
        <vt:i4>262239</vt:i4>
      </vt:variant>
      <vt:variant>
        <vt:i4>1026</vt:i4>
      </vt:variant>
      <vt:variant>
        <vt:i4>0</vt:i4>
      </vt:variant>
      <vt:variant>
        <vt:i4>5</vt:i4>
      </vt:variant>
      <vt:variant>
        <vt:lpwstr>https://www.cndh.org.mx/sites/default/files/documentos/2021-08/COM_2021_215.pdf</vt:lpwstr>
      </vt:variant>
      <vt:variant>
        <vt:lpwstr/>
      </vt:variant>
      <vt:variant>
        <vt:i4>524378</vt:i4>
      </vt:variant>
      <vt:variant>
        <vt:i4>1023</vt:i4>
      </vt:variant>
      <vt:variant>
        <vt:i4>0</vt:i4>
      </vt:variant>
      <vt:variant>
        <vt:i4>5</vt:i4>
      </vt:variant>
      <vt:variant>
        <vt:lpwstr>https://www.cndh.org.mx/sites/default/files/documentos/2021-03/COM_2021_062.pdf</vt:lpwstr>
      </vt:variant>
      <vt:variant>
        <vt:lpwstr/>
      </vt:variant>
      <vt:variant>
        <vt:i4>196688</vt:i4>
      </vt:variant>
      <vt:variant>
        <vt:i4>1020</vt:i4>
      </vt:variant>
      <vt:variant>
        <vt:i4>0</vt:i4>
      </vt:variant>
      <vt:variant>
        <vt:i4>5</vt:i4>
      </vt:variant>
      <vt:variant>
        <vt:lpwstr>https://www.cndh.org.mx/sites/default/files/documentos/2021-07/COM_2021_199.pdf</vt:lpwstr>
      </vt:variant>
      <vt:variant>
        <vt:lpwstr/>
      </vt:variant>
      <vt:variant>
        <vt:i4>131160</vt:i4>
      </vt:variant>
      <vt:variant>
        <vt:i4>1017</vt:i4>
      </vt:variant>
      <vt:variant>
        <vt:i4>0</vt:i4>
      </vt:variant>
      <vt:variant>
        <vt:i4>5</vt:i4>
      </vt:variant>
      <vt:variant>
        <vt:lpwstr>https://www.cndh.org.mx/sites/default/files/documentos/2021-07/COM_2021_181.pdf</vt:lpwstr>
      </vt:variant>
      <vt:variant>
        <vt:lpwstr/>
      </vt:variant>
      <vt:variant>
        <vt:i4>589917</vt:i4>
      </vt:variant>
      <vt:variant>
        <vt:i4>1014</vt:i4>
      </vt:variant>
      <vt:variant>
        <vt:i4>0</vt:i4>
      </vt:variant>
      <vt:variant>
        <vt:i4>5</vt:i4>
      </vt:variant>
      <vt:variant>
        <vt:lpwstr>https://www.cndh.org.mx/sites/default/files/documentos/2021-03/COM_2021_075.pdf</vt:lpwstr>
      </vt:variant>
      <vt:variant>
        <vt:lpwstr/>
      </vt:variant>
      <vt:variant>
        <vt:i4>524369</vt:i4>
      </vt:variant>
      <vt:variant>
        <vt:i4>1011</vt:i4>
      </vt:variant>
      <vt:variant>
        <vt:i4>0</vt:i4>
      </vt:variant>
      <vt:variant>
        <vt:i4>5</vt:i4>
      </vt:variant>
      <vt:variant>
        <vt:lpwstr>https://www.cndh.org.mx/sites/default/files/documentos/2021-03/COM_2021_069.pdf</vt:lpwstr>
      </vt:variant>
      <vt:variant>
        <vt:lpwstr/>
      </vt:variant>
      <vt:variant>
        <vt:i4>4128800</vt:i4>
      </vt:variant>
      <vt:variant>
        <vt:i4>1008</vt:i4>
      </vt:variant>
      <vt:variant>
        <vt:i4>0</vt:i4>
      </vt:variant>
      <vt:variant>
        <vt:i4>5</vt:i4>
      </vt:variant>
      <vt:variant>
        <vt:lpwstr>https://cdhfraymatias.org/wp-content/uploads/2021/06/25-06-2021-COMUNICADO-COMDHSM2.pdf</vt:lpwstr>
      </vt:variant>
      <vt:variant>
        <vt:lpwstr/>
      </vt:variant>
      <vt:variant>
        <vt:i4>5308423</vt:i4>
      </vt:variant>
      <vt:variant>
        <vt:i4>1005</vt:i4>
      </vt:variant>
      <vt:variant>
        <vt:i4>0</vt:i4>
      </vt:variant>
      <vt:variant>
        <vt:i4>5</vt:i4>
      </vt:variant>
      <vt:variant>
        <vt:lpwstr>http://www.oas.org/es/CIDH/jsForm/?File=/es/cidh/prensa/comunicados/2021/033.asp</vt:lpwstr>
      </vt:variant>
      <vt:variant>
        <vt:lpwstr/>
      </vt:variant>
      <vt:variant>
        <vt:i4>1114134</vt:i4>
      </vt:variant>
      <vt:variant>
        <vt:i4>1002</vt:i4>
      </vt:variant>
      <vt:variant>
        <vt:i4>0</vt:i4>
      </vt:variant>
      <vt:variant>
        <vt:i4>5</vt:i4>
      </vt:variant>
      <vt:variant>
        <vt:lpwstr>https://comunicacionsocial.senado.gob.mx/informacion/comisionp/cp-comunicados/474-demandan-en-la-permanente-garantizar-derechos-humanos-de-menores-migrantes</vt:lpwstr>
      </vt:variant>
      <vt:variant>
        <vt:lpwstr/>
      </vt:variant>
      <vt:variant>
        <vt:i4>4915208</vt:i4>
      </vt:variant>
      <vt:variant>
        <vt:i4>999</vt:i4>
      </vt:variant>
      <vt:variant>
        <vt:i4>0</vt:i4>
      </vt:variant>
      <vt:variant>
        <vt:i4>5</vt:i4>
      </vt:variant>
      <vt:variant>
        <vt:lpwstr>https://www.prensalibre.com/guatemala/migrantes/migrantes-sufren-por-hacinamiento-y-malas-condiciones-en-centros-de-detencion-de-mexico/</vt:lpwstr>
      </vt:variant>
      <vt:variant>
        <vt:lpwstr/>
      </vt:variant>
      <vt:variant>
        <vt:i4>7077932</vt:i4>
      </vt:variant>
      <vt:variant>
        <vt:i4>996</vt:i4>
      </vt:variant>
      <vt:variant>
        <vt:i4>0</vt:i4>
      </vt:variant>
      <vt:variant>
        <vt:i4>5</vt:i4>
      </vt:variant>
      <vt:variant>
        <vt:lpwstr>https://www.proceso.com.mx/nacional/2021/3/27/condenan-hacinamiento-en-centros-de-detencion-de-migrantes-en-la-frontera-sur-260907.html</vt:lpwstr>
      </vt:variant>
      <vt:variant>
        <vt:lpwstr/>
      </vt:variant>
      <vt:variant>
        <vt:i4>2293869</vt:i4>
      </vt:variant>
      <vt:variant>
        <vt:i4>993</vt:i4>
      </vt:variant>
      <vt:variant>
        <vt:i4>0</vt:i4>
      </vt:variant>
      <vt:variant>
        <vt:i4>5</vt:i4>
      </vt:variant>
      <vt:variant>
        <vt:lpwstr>http://www.politicamigratoria.gob.mx/es/PoliticaMigratoria/CuadrosBOLETIN?Anual=2021&amp;Secc=3</vt:lpwstr>
      </vt:variant>
      <vt:variant>
        <vt:lpwstr/>
      </vt:variant>
      <vt:variant>
        <vt:i4>458777</vt:i4>
      </vt:variant>
      <vt:variant>
        <vt:i4>990</vt:i4>
      </vt:variant>
      <vt:variant>
        <vt:i4>0</vt:i4>
      </vt:variant>
      <vt:variant>
        <vt:i4>5</vt:i4>
      </vt:variant>
      <vt:variant>
        <vt:lpwstr>http://www.oas.org/es/cidh/docs/anual/2020/capitulos/IA2020cap5.MX-es.pdf</vt:lpwstr>
      </vt:variant>
      <vt:variant>
        <vt:lpwstr/>
      </vt:variant>
      <vt:variant>
        <vt:i4>917574</vt:i4>
      </vt:variant>
      <vt:variant>
        <vt:i4>987</vt:i4>
      </vt:variant>
      <vt:variant>
        <vt:i4>0</vt:i4>
      </vt:variant>
      <vt:variant>
        <vt:i4>5</vt:i4>
      </vt:variant>
      <vt:variant>
        <vt:lpwstr>https://www.oas.org/es/cidh/migrantes/docs/pdf/Informe-Migrantes-Mexico-2013.pdf</vt:lpwstr>
      </vt:variant>
      <vt:variant>
        <vt:lpwstr/>
      </vt:variant>
      <vt:variant>
        <vt:i4>917574</vt:i4>
      </vt:variant>
      <vt:variant>
        <vt:i4>984</vt:i4>
      </vt:variant>
      <vt:variant>
        <vt:i4>0</vt:i4>
      </vt:variant>
      <vt:variant>
        <vt:i4>5</vt:i4>
      </vt:variant>
      <vt:variant>
        <vt:lpwstr>https://www.oas.org/es/cidh/migrantes/docs/pdf/Informe-Migrantes-Mexico-2013.pdf</vt:lpwstr>
      </vt:variant>
      <vt:variant>
        <vt:lpwstr/>
      </vt:variant>
      <vt:variant>
        <vt:i4>4259958</vt:i4>
      </vt:variant>
      <vt:variant>
        <vt:i4>981</vt:i4>
      </vt:variant>
      <vt:variant>
        <vt:i4>0</vt:i4>
      </vt:variant>
      <vt:variant>
        <vt:i4>5</vt:i4>
      </vt:variant>
      <vt:variant>
        <vt:lpwstr>https://www.dof.gob.mx/nota_detalle.php?codigo=5622105&amp;fecha=24/06/2021</vt:lpwstr>
      </vt:variant>
      <vt:variant>
        <vt:lpwstr/>
      </vt:variant>
      <vt:variant>
        <vt:i4>5570577</vt:i4>
      </vt:variant>
      <vt:variant>
        <vt:i4>978</vt:i4>
      </vt:variant>
      <vt:variant>
        <vt:i4>0</vt:i4>
      </vt:variant>
      <vt:variant>
        <vt:i4>5</vt:i4>
      </vt:variant>
      <vt:variant>
        <vt:lpwstr>https://www.gob.mx/sre/prensa/familias-mexicanas-migrantes-en-retorno-y-repatriadas-tiene-nuevas-opciones-de-apoyo-en-educacion-salud-y-desarrollo-economico?state=published</vt:lpwstr>
      </vt:variant>
      <vt:variant>
        <vt:lpwstr/>
      </vt:variant>
      <vt:variant>
        <vt:i4>917574</vt:i4>
      </vt:variant>
      <vt:variant>
        <vt:i4>975</vt:i4>
      </vt:variant>
      <vt:variant>
        <vt:i4>0</vt:i4>
      </vt:variant>
      <vt:variant>
        <vt:i4>5</vt:i4>
      </vt:variant>
      <vt:variant>
        <vt:lpwstr>https://www.oas.org/es/cidh/migrantes/docs/pdf/Informe-Migrantes-Mexico-2013.pdf</vt:lpwstr>
      </vt:variant>
      <vt:variant>
        <vt:lpwstr/>
      </vt:variant>
      <vt:variant>
        <vt:i4>3473464</vt:i4>
      </vt:variant>
      <vt:variant>
        <vt:i4>972</vt:i4>
      </vt:variant>
      <vt:variant>
        <vt:i4>0</vt:i4>
      </vt:variant>
      <vt:variant>
        <vt:i4>5</vt:i4>
      </vt:variant>
      <vt:variant>
        <vt:lpwstr>https://www.scjn.gob.mx/derechos-humanos/sites/default/files/protocolos/archivos/2021-06/Protocolo para juzgar casos que involucren personas migrantes.pdf</vt:lpwstr>
      </vt:variant>
      <vt:variant>
        <vt:lpwstr/>
      </vt:variant>
      <vt:variant>
        <vt:i4>917574</vt:i4>
      </vt:variant>
      <vt:variant>
        <vt:i4>969</vt:i4>
      </vt:variant>
      <vt:variant>
        <vt:i4>0</vt:i4>
      </vt:variant>
      <vt:variant>
        <vt:i4>5</vt:i4>
      </vt:variant>
      <vt:variant>
        <vt:lpwstr>https://www.oas.org/es/cidh/migrantes/docs/pdf/Informe-Migrantes-Mexico-2013.pdf</vt:lpwstr>
      </vt:variant>
      <vt:variant>
        <vt:lpwstr/>
      </vt:variant>
      <vt:variant>
        <vt:i4>3604578</vt:i4>
      </vt:variant>
      <vt:variant>
        <vt:i4>966</vt:i4>
      </vt:variant>
      <vt:variant>
        <vt:i4>0</vt:i4>
      </vt:variant>
      <vt:variant>
        <vt:i4>5</vt:i4>
      </vt:variant>
      <vt:variant>
        <vt:lpwstr>https://www.oacnudh.org.gt/index.php/sala-de-prensa/noticias-y-comunicados/415-indh-oacnudh-tamaulipas</vt:lpwstr>
      </vt:variant>
      <vt:variant>
        <vt:lpwstr/>
      </vt:variant>
      <vt:variant>
        <vt:i4>3473468</vt:i4>
      </vt:variant>
      <vt:variant>
        <vt:i4>963</vt:i4>
      </vt:variant>
      <vt:variant>
        <vt:i4>0</vt:i4>
      </vt:variant>
      <vt:variant>
        <vt:i4>5</vt:i4>
      </vt:variant>
      <vt:variant>
        <vt:lpwstr>https://hchr.org.mx/comunicados/onu-dh-alienta-a-continuar-avanzando-en-las-investigaciones-de-la-masacre-de-19-personas-en-tamaulipas-y-a-garantizar-los-derechos-de-las-familias-de-las-victimas/</vt:lpwstr>
      </vt:variant>
      <vt:variant>
        <vt:lpwstr/>
      </vt:variant>
      <vt:variant>
        <vt:i4>3866668</vt:i4>
      </vt:variant>
      <vt:variant>
        <vt:i4>960</vt:i4>
      </vt:variant>
      <vt:variant>
        <vt:i4>0</vt:i4>
      </vt:variant>
      <vt:variant>
        <vt:i4>5</vt:i4>
      </vt:variant>
      <vt:variant>
        <vt:lpwstr>https://www.eluniversal.com.mx/estados/se-indaga-personal-de-migracion-por-camioneta-hallada-con-19-calcinados-sanchez-cordero</vt:lpwstr>
      </vt:variant>
      <vt:variant>
        <vt:lpwstr/>
      </vt:variant>
      <vt:variant>
        <vt:i4>2359342</vt:i4>
      </vt:variant>
      <vt:variant>
        <vt:i4>957</vt:i4>
      </vt:variant>
      <vt:variant>
        <vt:i4>0</vt:i4>
      </vt:variant>
      <vt:variant>
        <vt:i4>5</vt:i4>
      </vt:variant>
      <vt:variant>
        <vt:lpwstr>https://www.eluniversal.com.mx/nacion/no-es-un-san-fernando-dice-sanchez-cordero-sobre-los-19-cuerpos-calcinados-encontrados-en</vt:lpwstr>
      </vt:variant>
      <vt:variant>
        <vt:lpwstr/>
      </vt:variant>
      <vt:variant>
        <vt:i4>852048</vt:i4>
      </vt:variant>
      <vt:variant>
        <vt:i4>954</vt:i4>
      </vt:variant>
      <vt:variant>
        <vt:i4>0</vt:i4>
      </vt:variant>
      <vt:variant>
        <vt:i4>5</vt:i4>
      </vt:variant>
      <vt:variant>
        <vt:lpwstr>https://www.cndh.org.mx/sites/default/files/documentos/2021-01/COM_2021_018.pdf</vt:lpwstr>
      </vt:variant>
      <vt:variant>
        <vt:lpwstr/>
      </vt:variant>
      <vt:variant>
        <vt:i4>917574</vt:i4>
      </vt:variant>
      <vt:variant>
        <vt:i4>951</vt:i4>
      </vt:variant>
      <vt:variant>
        <vt:i4>0</vt:i4>
      </vt:variant>
      <vt:variant>
        <vt:i4>5</vt:i4>
      </vt:variant>
      <vt:variant>
        <vt:lpwstr>https://www.oas.org/es/cidh/migrantes/docs/pdf/Informe-Migrantes-Mexico-2013.pdf</vt:lpwstr>
      </vt:variant>
      <vt:variant>
        <vt:lpwstr/>
      </vt:variant>
      <vt:variant>
        <vt:i4>589880</vt:i4>
      </vt:variant>
      <vt:variant>
        <vt:i4>948</vt:i4>
      </vt:variant>
      <vt:variant>
        <vt:i4>0</vt:i4>
      </vt:variant>
      <vt:variant>
        <vt:i4>5</vt:i4>
      </vt:variant>
      <vt:variant>
        <vt:lpwstr>https://www.youtube.com/watch?v=1JO6_yBIMAM&amp;list=PL5QlapyOGhXspIwSyEyr8vmZw4Um9S3D1&amp;index=22</vt:lpwstr>
      </vt:variant>
      <vt:variant>
        <vt:lpwstr/>
      </vt:variant>
      <vt:variant>
        <vt:i4>589880</vt:i4>
      </vt:variant>
      <vt:variant>
        <vt:i4>945</vt:i4>
      </vt:variant>
      <vt:variant>
        <vt:i4>0</vt:i4>
      </vt:variant>
      <vt:variant>
        <vt:i4>5</vt:i4>
      </vt:variant>
      <vt:variant>
        <vt:lpwstr>https://www.youtube.com/watch?v=1JO6_yBIMAM&amp;list=PL5QlapyOGhXspIwSyEyr8vmZw4Um9S3D1&amp;index=22</vt:lpwstr>
      </vt:variant>
      <vt:variant>
        <vt:lpwstr/>
      </vt:variant>
      <vt:variant>
        <vt:i4>1114136</vt:i4>
      </vt:variant>
      <vt:variant>
        <vt:i4>942</vt:i4>
      </vt:variant>
      <vt:variant>
        <vt:i4>0</vt:i4>
      </vt:variant>
      <vt:variant>
        <vt:i4>5</vt:i4>
      </vt:variant>
      <vt:variant>
        <vt:lpwstr>https://www.oas.org/es/cidh/informes/pdfs/Principios DDHH migrantes - ES.pdf</vt:lpwstr>
      </vt:variant>
      <vt:variant>
        <vt:lpwstr/>
      </vt:variant>
      <vt:variant>
        <vt:i4>786448</vt:i4>
      </vt:variant>
      <vt:variant>
        <vt:i4>939</vt:i4>
      </vt:variant>
      <vt:variant>
        <vt:i4>0</vt:i4>
      </vt:variant>
      <vt:variant>
        <vt:i4>5</vt:i4>
      </vt:variant>
      <vt:variant>
        <vt:lpwstr>http://www.oas.org/es/cidh/informes/pdfs/DebidoProceso-ES.pdf</vt:lpwstr>
      </vt:variant>
      <vt:variant>
        <vt:lpwstr/>
      </vt:variant>
      <vt:variant>
        <vt:i4>5570561</vt:i4>
      </vt:variant>
      <vt:variant>
        <vt:i4>936</vt:i4>
      </vt:variant>
      <vt:variant>
        <vt:i4>0</vt:i4>
      </vt:variant>
      <vt:variant>
        <vt:i4>5</vt:i4>
      </vt:variant>
      <vt:variant>
        <vt:lpwstr>http://www.oas.org/es/CIDH/jsForm/?File=/es/cidh/prensa/comunicados/2021/255.asp</vt:lpwstr>
      </vt:variant>
      <vt:variant>
        <vt:lpwstr/>
      </vt:variant>
      <vt:variant>
        <vt:i4>589831</vt:i4>
      </vt:variant>
      <vt:variant>
        <vt:i4>933</vt:i4>
      </vt:variant>
      <vt:variant>
        <vt:i4>0</vt:i4>
      </vt:variant>
      <vt:variant>
        <vt:i4>5</vt:i4>
      </vt:variant>
      <vt:variant>
        <vt:lpwstr>https://www.gob.mx/comar/prensa/optimiza-comar-procesos-de-atencion-en-tapachula-chiapas-277636?idiom=es</vt:lpwstr>
      </vt:variant>
      <vt:variant>
        <vt:lpwstr/>
      </vt:variant>
      <vt:variant>
        <vt:i4>6225991</vt:i4>
      </vt:variant>
      <vt:variant>
        <vt:i4>930</vt:i4>
      </vt:variant>
      <vt:variant>
        <vt:i4>0</vt:i4>
      </vt:variant>
      <vt:variant>
        <vt:i4>5</vt:i4>
      </vt:variant>
      <vt:variant>
        <vt:lpwstr>https://twitter.com/CIDH/status/1456262944593825804?s=20</vt:lpwstr>
      </vt:variant>
      <vt:variant>
        <vt:lpwstr/>
      </vt:variant>
      <vt:variant>
        <vt:i4>6225991</vt:i4>
      </vt:variant>
      <vt:variant>
        <vt:i4>927</vt:i4>
      </vt:variant>
      <vt:variant>
        <vt:i4>0</vt:i4>
      </vt:variant>
      <vt:variant>
        <vt:i4>5</vt:i4>
      </vt:variant>
      <vt:variant>
        <vt:lpwstr>https://twitter.com/CIDH/status/1456262944593825804?s=20</vt:lpwstr>
      </vt:variant>
      <vt:variant>
        <vt:lpwstr/>
      </vt:variant>
      <vt:variant>
        <vt:i4>4456551</vt:i4>
      </vt:variant>
      <vt:variant>
        <vt:i4>924</vt:i4>
      </vt:variant>
      <vt:variant>
        <vt:i4>0</vt:i4>
      </vt:variant>
      <vt:variant>
        <vt:i4>5</vt:i4>
      </vt:variant>
      <vt:variant>
        <vt:lpwstr>https://twitter.com/hashtag/31Oct?src=hashtag_click</vt:lpwstr>
      </vt:variant>
      <vt:variant>
        <vt:lpwstr/>
      </vt:variant>
      <vt:variant>
        <vt:i4>4456551</vt:i4>
      </vt:variant>
      <vt:variant>
        <vt:i4>921</vt:i4>
      </vt:variant>
      <vt:variant>
        <vt:i4>0</vt:i4>
      </vt:variant>
      <vt:variant>
        <vt:i4>5</vt:i4>
      </vt:variant>
      <vt:variant>
        <vt:lpwstr>https://twitter.com/hashtag/31Oct?src=hashtag_click</vt:lpwstr>
      </vt:variant>
      <vt:variant>
        <vt:lpwstr/>
      </vt:variant>
      <vt:variant>
        <vt:i4>852015</vt:i4>
      </vt:variant>
      <vt:variant>
        <vt:i4>918</vt:i4>
      </vt:variant>
      <vt:variant>
        <vt:i4>0</vt:i4>
      </vt:variant>
      <vt:variant>
        <vt:i4>5</vt:i4>
      </vt:variant>
      <vt:variant>
        <vt:lpwstr>https://twitter.com/hashtag/PersonasMigrantes?src=hashtag_click</vt:lpwstr>
      </vt:variant>
      <vt:variant>
        <vt:lpwstr/>
      </vt:variant>
      <vt:variant>
        <vt:i4>852015</vt:i4>
      </vt:variant>
      <vt:variant>
        <vt:i4>915</vt:i4>
      </vt:variant>
      <vt:variant>
        <vt:i4>0</vt:i4>
      </vt:variant>
      <vt:variant>
        <vt:i4>5</vt:i4>
      </vt:variant>
      <vt:variant>
        <vt:lpwstr>https://twitter.com/hashtag/PersonasMigrantes?src=hashtag_click</vt:lpwstr>
      </vt:variant>
      <vt:variant>
        <vt:lpwstr/>
      </vt:variant>
      <vt:variant>
        <vt:i4>2490386</vt:i4>
      </vt:variant>
      <vt:variant>
        <vt:i4>912</vt:i4>
      </vt:variant>
      <vt:variant>
        <vt:i4>0</vt:i4>
      </vt:variant>
      <vt:variant>
        <vt:i4>5</vt:i4>
      </vt:variant>
      <vt:variant>
        <vt:lpwstr>https://twitter.com/hashtag/CIDH?src=hashtag_click</vt:lpwstr>
      </vt:variant>
      <vt:variant>
        <vt:lpwstr/>
      </vt:variant>
      <vt:variant>
        <vt:i4>2490386</vt:i4>
      </vt:variant>
      <vt:variant>
        <vt:i4>909</vt:i4>
      </vt:variant>
      <vt:variant>
        <vt:i4>0</vt:i4>
      </vt:variant>
      <vt:variant>
        <vt:i4>5</vt:i4>
      </vt:variant>
      <vt:variant>
        <vt:lpwstr>https://twitter.com/hashtag/CIDH?src=hashtag_click</vt:lpwstr>
      </vt:variant>
      <vt:variant>
        <vt:lpwstr/>
      </vt:variant>
      <vt:variant>
        <vt:i4>5505091</vt:i4>
      </vt:variant>
      <vt:variant>
        <vt:i4>906</vt:i4>
      </vt:variant>
      <vt:variant>
        <vt:i4>0</vt:i4>
      </vt:variant>
      <vt:variant>
        <vt:i4>5</vt:i4>
      </vt:variant>
      <vt:variant>
        <vt:lpwstr>https://twitter.com/CIDH/status/1452992812191043593?s=20</vt:lpwstr>
      </vt:variant>
      <vt:variant>
        <vt:lpwstr/>
      </vt:variant>
      <vt:variant>
        <vt:i4>458842</vt:i4>
      </vt:variant>
      <vt:variant>
        <vt:i4>903</vt:i4>
      </vt:variant>
      <vt:variant>
        <vt:i4>0</vt:i4>
      </vt:variant>
      <vt:variant>
        <vt:i4>5</vt:i4>
      </vt:variant>
      <vt:variant>
        <vt:lpwstr>https://www.cndh.org.mx/sites/default/files/documentos/2021-08/COM_2021_220.pdf</vt:lpwstr>
      </vt:variant>
      <vt:variant>
        <vt:lpwstr/>
      </vt:variant>
      <vt:variant>
        <vt:i4>262236</vt:i4>
      </vt:variant>
      <vt:variant>
        <vt:i4>900</vt:i4>
      </vt:variant>
      <vt:variant>
        <vt:i4>0</vt:i4>
      </vt:variant>
      <vt:variant>
        <vt:i4>5</vt:i4>
      </vt:variant>
      <vt:variant>
        <vt:lpwstr>https://www.cndh.org.mx/sites/default/files/documentos/2021-08/COM_2021_216.pdf</vt:lpwstr>
      </vt:variant>
      <vt:variant>
        <vt:lpwstr/>
      </vt:variant>
      <vt:variant>
        <vt:i4>2949217</vt:i4>
      </vt:variant>
      <vt:variant>
        <vt:i4>897</vt:i4>
      </vt:variant>
      <vt:variant>
        <vt:i4>0</vt:i4>
      </vt:variant>
      <vt:variant>
        <vt:i4>5</vt:i4>
      </vt:variant>
      <vt:variant>
        <vt:lpwstr>https://hchr.org.mx/comunicados/acnur-oim-y-onu-dh-llaman-a-respetar-los-estandares-internacionales-en-el-uso-de-la-fuerza/</vt:lpwstr>
      </vt:variant>
      <vt:variant>
        <vt:lpwstr/>
      </vt:variant>
      <vt:variant>
        <vt:i4>7143465</vt:i4>
      </vt:variant>
      <vt:variant>
        <vt:i4>894</vt:i4>
      </vt:variant>
      <vt:variant>
        <vt:i4>0</vt:i4>
      </vt:variant>
      <vt:variant>
        <vt:i4>5</vt:i4>
      </vt:variant>
      <vt:variant>
        <vt:lpwstr>https://www.gob.mx/inm/prensa/inm-suspende-de-sus-funciones-a-dos-agentes-federales-281338?idiom=es</vt:lpwstr>
      </vt:variant>
      <vt:variant>
        <vt:lpwstr/>
      </vt:variant>
      <vt:variant>
        <vt:i4>5570561</vt:i4>
      </vt:variant>
      <vt:variant>
        <vt:i4>891</vt:i4>
      </vt:variant>
      <vt:variant>
        <vt:i4>0</vt:i4>
      </vt:variant>
      <vt:variant>
        <vt:i4>5</vt:i4>
      </vt:variant>
      <vt:variant>
        <vt:lpwstr>http://www.oas.org/es/CIDH/jsForm/?File=/es/cidh/prensa/comunicados/2021/255.asp</vt:lpwstr>
      </vt:variant>
      <vt:variant>
        <vt:lpwstr/>
      </vt:variant>
      <vt:variant>
        <vt:i4>589831</vt:i4>
      </vt:variant>
      <vt:variant>
        <vt:i4>888</vt:i4>
      </vt:variant>
      <vt:variant>
        <vt:i4>0</vt:i4>
      </vt:variant>
      <vt:variant>
        <vt:i4>5</vt:i4>
      </vt:variant>
      <vt:variant>
        <vt:lpwstr>https://www.gob.mx/comar/prensa/chiapas-concentra-72-por-ciento-de-las-solicitudes-de-refugio-en-el-pais-senala-alejandro-encinas-278059?idiom=es</vt:lpwstr>
      </vt:variant>
      <vt:variant>
        <vt:lpwstr/>
      </vt:variant>
      <vt:variant>
        <vt:i4>5242892</vt:i4>
      </vt:variant>
      <vt:variant>
        <vt:i4>885</vt:i4>
      </vt:variant>
      <vt:variant>
        <vt:i4>0</vt:i4>
      </vt:variant>
      <vt:variant>
        <vt:i4>5</vt:i4>
      </vt:variant>
      <vt:variant>
        <vt:lpwstr>http://www.oas.org/es/CIDH/jsForm/?File=/es/cidh/prensa/comunicados/2021/082.asp</vt:lpwstr>
      </vt:variant>
      <vt:variant>
        <vt:lpwstr/>
      </vt:variant>
      <vt:variant>
        <vt:i4>5308423</vt:i4>
      </vt:variant>
      <vt:variant>
        <vt:i4>882</vt:i4>
      </vt:variant>
      <vt:variant>
        <vt:i4>0</vt:i4>
      </vt:variant>
      <vt:variant>
        <vt:i4>5</vt:i4>
      </vt:variant>
      <vt:variant>
        <vt:lpwstr>http://www.oas.org/es/CIDH/jsForm/?File=/es/cidh/prensa/comunicados/2021/033.asp</vt:lpwstr>
      </vt:variant>
      <vt:variant>
        <vt:lpwstr/>
      </vt:variant>
      <vt:variant>
        <vt:i4>851976</vt:i4>
      </vt:variant>
      <vt:variant>
        <vt:i4>879</vt:i4>
      </vt:variant>
      <vt:variant>
        <vt:i4>0</vt:i4>
      </vt:variant>
      <vt:variant>
        <vt:i4>5</vt:i4>
      </vt:variant>
      <vt:variant>
        <vt:lpwstr>https://www.gob.mx/inm/prensa/identifica-inm-aumento-en-el-flujo-de-menores-de-edad-migrantes-irregulares-281446</vt:lpwstr>
      </vt:variant>
      <vt:variant>
        <vt:lpwstr/>
      </vt:variant>
      <vt:variant>
        <vt:i4>2293869</vt:i4>
      </vt:variant>
      <vt:variant>
        <vt:i4>876</vt:i4>
      </vt:variant>
      <vt:variant>
        <vt:i4>0</vt:i4>
      </vt:variant>
      <vt:variant>
        <vt:i4>5</vt:i4>
      </vt:variant>
      <vt:variant>
        <vt:lpwstr>http://www.politicamigratoria.gob.mx/es/PoliticaMigratoria/CuadrosBOLETIN?Anual=2021&amp;Secc=2</vt:lpwstr>
      </vt:variant>
      <vt:variant>
        <vt:lpwstr/>
      </vt:variant>
      <vt:variant>
        <vt:i4>5308423</vt:i4>
      </vt:variant>
      <vt:variant>
        <vt:i4>873</vt:i4>
      </vt:variant>
      <vt:variant>
        <vt:i4>0</vt:i4>
      </vt:variant>
      <vt:variant>
        <vt:i4>5</vt:i4>
      </vt:variant>
      <vt:variant>
        <vt:lpwstr>http://www.oas.org/es/CIDH/jsForm/?File=/es/cidh/prensa/comunicados/2021/033.asp</vt:lpwstr>
      </vt:variant>
      <vt:variant>
        <vt:lpwstr/>
      </vt:variant>
      <vt:variant>
        <vt:i4>4259907</vt:i4>
      </vt:variant>
      <vt:variant>
        <vt:i4>870</vt:i4>
      </vt:variant>
      <vt:variant>
        <vt:i4>0</vt:i4>
      </vt:variant>
      <vt:variant>
        <vt:i4>5</vt:i4>
      </vt:variant>
      <vt:variant>
        <vt:lpwstr>https://www.gob.mx/cms/uploads/attachment/file/667131/Cierre_Agosto-2021__1-Septiembre-2021_.pdf</vt:lpwstr>
      </vt:variant>
      <vt:variant>
        <vt:lpwstr/>
      </vt:variant>
      <vt:variant>
        <vt:i4>4259907</vt:i4>
      </vt:variant>
      <vt:variant>
        <vt:i4>867</vt:i4>
      </vt:variant>
      <vt:variant>
        <vt:i4>0</vt:i4>
      </vt:variant>
      <vt:variant>
        <vt:i4>5</vt:i4>
      </vt:variant>
      <vt:variant>
        <vt:lpwstr>https://www.gob.mx/cms/uploads/attachment/file/667131/Cierre_Agosto-2021__1-Septiembre-2021_.pdf</vt:lpwstr>
      </vt:variant>
      <vt:variant>
        <vt:lpwstr/>
      </vt:variant>
      <vt:variant>
        <vt:i4>5308423</vt:i4>
      </vt:variant>
      <vt:variant>
        <vt:i4>864</vt:i4>
      </vt:variant>
      <vt:variant>
        <vt:i4>0</vt:i4>
      </vt:variant>
      <vt:variant>
        <vt:i4>5</vt:i4>
      </vt:variant>
      <vt:variant>
        <vt:lpwstr>http://www.oas.org/es/CIDH/jsForm/?File=/es/cidh/prensa/comunicados/2021/033.asp</vt:lpwstr>
      </vt:variant>
      <vt:variant>
        <vt:lpwstr/>
      </vt:variant>
      <vt:variant>
        <vt:i4>8126585</vt:i4>
      </vt:variant>
      <vt:variant>
        <vt:i4>861</vt:i4>
      </vt:variant>
      <vt:variant>
        <vt:i4>0</vt:i4>
      </vt:variant>
      <vt:variant>
        <vt:i4>5</vt:i4>
      </vt:variant>
      <vt:variant>
        <vt:lpwstr>https://www.un.org/development/desa/pd/content/international-migrant-stock</vt:lpwstr>
      </vt:variant>
      <vt:variant>
        <vt:lpwstr/>
      </vt:variant>
      <vt:variant>
        <vt:i4>1835059</vt:i4>
      </vt:variant>
      <vt:variant>
        <vt:i4>858</vt:i4>
      </vt:variant>
      <vt:variant>
        <vt:i4>0</vt:i4>
      </vt:variant>
      <vt:variant>
        <vt:i4>5</vt:i4>
      </vt:variant>
      <vt:variant>
        <vt:lpwstr>https://publications.iom.int/system/files/pdf/wmr_2020.pdf</vt:lpwstr>
      </vt:variant>
      <vt:variant>
        <vt:lpwstr/>
      </vt:variant>
      <vt:variant>
        <vt:i4>917574</vt:i4>
      </vt:variant>
      <vt:variant>
        <vt:i4>855</vt:i4>
      </vt:variant>
      <vt:variant>
        <vt:i4>0</vt:i4>
      </vt:variant>
      <vt:variant>
        <vt:i4>5</vt:i4>
      </vt:variant>
      <vt:variant>
        <vt:lpwstr>https://www.oas.org/es/cidh/migrantes/docs/pdf/Informe-Migrantes-Mexico-2013.pdf</vt:lpwstr>
      </vt:variant>
      <vt:variant>
        <vt:lpwstr/>
      </vt:variant>
      <vt:variant>
        <vt:i4>5308423</vt:i4>
      </vt:variant>
      <vt:variant>
        <vt:i4>852</vt:i4>
      </vt:variant>
      <vt:variant>
        <vt:i4>0</vt:i4>
      </vt:variant>
      <vt:variant>
        <vt:i4>5</vt:i4>
      </vt:variant>
      <vt:variant>
        <vt:lpwstr>http://www.oas.org/es/CIDH/jsForm/?File=/es/cidh/prensa/comunicados/2021/033.asp</vt:lpwstr>
      </vt:variant>
      <vt:variant>
        <vt:lpwstr/>
      </vt:variant>
      <vt:variant>
        <vt:i4>5308423</vt:i4>
      </vt:variant>
      <vt:variant>
        <vt:i4>849</vt:i4>
      </vt:variant>
      <vt:variant>
        <vt:i4>0</vt:i4>
      </vt:variant>
      <vt:variant>
        <vt:i4>5</vt:i4>
      </vt:variant>
      <vt:variant>
        <vt:lpwstr>http://www.oas.org/es/CIDH/jsForm/?File=/es/cidh/prensa/comunicados/2021/033.asp</vt:lpwstr>
      </vt:variant>
      <vt:variant>
        <vt:lpwstr/>
      </vt:variant>
      <vt:variant>
        <vt:i4>917574</vt:i4>
      </vt:variant>
      <vt:variant>
        <vt:i4>846</vt:i4>
      </vt:variant>
      <vt:variant>
        <vt:i4>0</vt:i4>
      </vt:variant>
      <vt:variant>
        <vt:i4>5</vt:i4>
      </vt:variant>
      <vt:variant>
        <vt:lpwstr>https://www.oas.org/es/cidh/migrantes/docs/pdf/Informe-Migrantes-Mexico-2013.pdf</vt:lpwstr>
      </vt:variant>
      <vt:variant>
        <vt:lpwstr/>
      </vt:variant>
      <vt:variant>
        <vt:i4>458777</vt:i4>
      </vt:variant>
      <vt:variant>
        <vt:i4>843</vt:i4>
      </vt:variant>
      <vt:variant>
        <vt:i4>0</vt:i4>
      </vt:variant>
      <vt:variant>
        <vt:i4>5</vt:i4>
      </vt:variant>
      <vt:variant>
        <vt:lpwstr>http://www.oas.org/es/cidh/docs/anual/2020/capitulos/IA2020cap5.MX-es.pdf</vt:lpwstr>
      </vt:variant>
      <vt:variant>
        <vt:lpwstr/>
      </vt:variant>
      <vt:variant>
        <vt:i4>5373981</vt:i4>
      </vt:variant>
      <vt:variant>
        <vt:i4>840</vt:i4>
      </vt:variant>
      <vt:variant>
        <vt:i4>0</vt:i4>
      </vt:variant>
      <vt:variant>
        <vt:i4>5</vt:i4>
      </vt:variant>
      <vt:variant>
        <vt:lpwstr>http://gaceta.diputados.gob.mx/PDF/64/2021/ago/Amnistia-20210825.pdf</vt:lpwstr>
      </vt:variant>
      <vt:variant>
        <vt:lpwstr/>
      </vt:variant>
      <vt:variant>
        <vt:i4>5373981</vt:i4>
      </vt:variant>
      <vt:variant>
        <vt:i4>837</vt:i4>
      </vt:variant>
      <vt:variant>
        <vt:i4>0</vt:i4>
      </vt:variant>
      <vt:variant>
        <vt:i4>5</vt:i4>
      </vt:variant>
      <vt:variant>
        <vt:lpwstr>http://gaceta.diputados.gob.mx/PDF/64/2021/ago/Amnistia-20210825.pdf</vt:lpwstr>
      </vt:variant>
      <vt:variant>
        <vt:lpwstr/>
      </vt:variant>
      <vt:variant>
        <vt:i4>3997731</vt:i4>
      </vt:variant>
      <vt:variant>
        <vt:i4>834</vt:i4>
      </vt:variant>
      <vt:variant>
        <vt:i4>0</vt:i4>
      </vt:variant>
      <vt:variant>
        <vt:i4>5</vt:i4>
      </vt:variant>
      <vt:variant>
        <vt:lpwstr>https://www.gob.mx/cms/uploads/attachment/file/620658/CE_2021_01.pdf</vt:lpwstr>
      </vt:variant>
      <vt:variant>
        <vt:lpwstr/>
      </vt:variant>
      <vt:variant>
        <vt:i4>3735598</vt:i4>
      </vt:variant>
      <vt:variant>
        <vt:i4>831</vt:i4>
      </vt:variant>
      <vt:variant>
        <vt:i4>0</vt:i4>
      </vt:variant>
      <vt:variant>
        <vt:i4>5</vt:i4>
      </vt:variant>
      <vt:variant>
        <vt:lpwstr>https://www.gob.mx/cms/uploads/attachment/file/626744/CE_2021_02.pdf</vt:lpwstr>
      </vt:variant>
      <vt:variant>
        <vt:lpwstr/>
      </vt:variant>
      <vt:variant>
        <vt:i4>3407912</vt:i4>
      </vt:variant>
      <vt:variant>
        <vt:i4>828</vt:i4>
      </vt:variant>
      <vt:variant>
        <vt:i4>0</vt:i4>
      </vt:variant>
      <vt:variant>
        <vt:i4>5</vt:i4>
      </vt:variant>
      <vt:variant>
        <vt:lpwstr>https://www.gob.mx/cms/uploads/attachment/file/639470/CE_2021_03.pdf</vt:lpwstr>
      </vt:variant>
      <vt:variant>
        <vt:lpwstr/>
      </vt:variant>
      <vt:variant>
        <vt:i4>3473448</vt:i4>
      </vt:variant>
      <vt:variant>
        <vt:i4>825</vt:i4>
      </vt:variant>
      <vt:variant>
        <vt:i4>0</vt:i4>
      </vt:variant>
      <vt:variant>
        <vt:i4>5</vt:i4>
      </vt:variant>
      <vt:variant>
        <vt:lpwstr>https://www.gob.mx/cms/uploads/attachment/file/660081/CE_2021_04.pdf</vt:lpwstr>
      </vt:variant>
      <vt:variant>
        <vt:lpwstr/>
      </vt:variant>
      <vt:variant>
        <vt:i4>3407915</vt:i4>
      </vt:variant>
      <vt:variant>
        <vt:i4>822</vt:i4>
      </vt:variant>
      <vt:variant>
        <vt:i4>0</vt:i4>
      </vt:variant>
      <vt:variant>
        <vt:i4>5</vt:i4>
      </vt:variant>
      <vt:variant>
        <vt:lpwstr>https://www.gob.mx/cms/uploads/attachment/file/660082/CE_2021_05.pdf</vt:lpwstr>
      </vt:variant>
      <vt:variant>
        <vt:lpwstr/>
      </vt:variant>
      <vt:variant>
        <vt:i4>3604525</vt:i4>
      </vt:variant>
      <vt:variant>
        <vt:i4>819</vt:i4>
      </vt:variant>
      <vt:variant>
        <vt:i4>0</vt:i4>
      </vt:variant>
      <vt:variant>
        <vt:i4>5</vt:i4>
      </vt:variant>
      <vt:variant>
        <vt:lpwstr>https://www.gob.mx/cms/uploads/attachment/file/660084/CE_2021_06.pdf</vt:lpwstr>
      </vt:variant>
      <vt:variant>
        <vt:lpwstr/>
      </vt:variant>
      <vt:variant>
        <vt:i4>3735597</vt:i4>
      </vt:variant>
      <vt:variant>
        <vt:i4>816</vt:i4>
      </vt:variant>
      <vt:variant>
        <vt:i4>0</vt:i4>
      </vt:variant>
      <vt:variant>
        <vt:i4>5</vt:i4>
      </vt:variant>
      <vt:variant>
        <vt:lpwstr>https://www.gob.mx/cms/uploads/attachment/file/666317/CE_2021_07.pdf</vt:lpwstr>
      </vt:variant>
      <vt:variant>
        <vt:lpwstr/>
      </vt:variant>
      <vt:variant>
        <vt:i4>3473447</vt:i4>
      </vt:variant>
      <vt:variant>
        <vt:i4>813</vt:i4>
      </vt:variant>
      <vt:variant>
        <vt:i4>0</vt:i4>
      </vt:variant>
      <vt:variant>
        <vt:i4>5</vt:i4>
      </vt:variant>
      <vt:variant>
        <vt:lpwstr>https://www.gob.mx/cms/uploads/attachment/file/671659/CE_2021_08.pdf</vt:lpwstr>
      </vt:variant>
      <vt:variant>
        <vt:lpwstr/>
      </vt:variant>
      <vt:variant>
        <vt:i4>3211298</vt:i4>
      </vt:variant>
      <vt:variant>
        <vt:i4>810</vt:i4>
      </vt:variant>
      <vt:variant>
        <vt:i4>0</vt:i4>
      </vt:variant>
      <vt:variant>
        <vt:i4>5</vt:i4>
      </vt:variant>
      <vt:variant>
        <vt:lpwstr>https://www.gob.mx/cms/uploads/attachment/file/679288/CE_2021_09.pdf</vt:lpwstr>
      </vt:variant>
      <vt:variant>
        <vt:lpwstr/>
      </vt:variant>
      <vt:variant>
        <vt:i4>6357000</vt:i4>
      </vt:variant>
      <vt:variant>
        <vt:i4>807</vt:i4>
      </vt:variant>
      <vt:variant>
        <vt:i4>0</vt:i4>
      </vt:variant>
      <vt:variant>
        <vt:i4>5</vt:i4>
      </vt:variant>
      <vt:variant>
        <vt:lpwstr>https://elpais.bo/internacional/20210915_mexico-libera-a-682-presos-por-el-decreto-de-amlo.html</vt:lpwstr>
      </vt:variant>
      <vt:variant>
        <vt:lpwstr/>
      </vt:variant>
      <vt:variant>
        <vt:i4>6357000</vt:i4>
      </vt:variant>
      <vt:variant>
        <vt:i4>804</vt:i4>
      </vt:variant>
      <vt:variant>
        <vt:i4>0</vt:i4>
      </vt:variant>
      <vt:variant>
        <vt:i4>5</vt:i4>
      </vt:variant>
      <vt:variant>
        <vt:lpwstr>https://elpais.bo/internacional/20210915_mexico-libera-a-682-presos-por-el-decreto-de-amlo.html</vt:lpwstr>
      </vt:variant>
      <vt:variant>
        <vt:lpwstr/>
      </vt:variant>
      <vt:variant>
        <vt:i4>3801201</vt:i4>
      </vt:variant>
      <vt:variant>
        <vt:i4>801</vt:i4>
      </vt:variant>
      <vt:variant>
        <vt:i4>0</vt:i4>
      </vt:variant>
      <vt:variant>
        <vt:i4>5</vt:i4>
      </vt:variant>
      <vt:variant>
        <vt:lpwstr>https://www.elheraldodesaltillo.mx/2021/09/14/mexico-libera-los-primeros-682-presos-por-el-decreto-de-andres-lopez/</vt:lpwstr>
      </vt:variant>
      <vt:variant>
        <vt:lpwstr/>
      </vt:variant>
      <vt:variant>
        <vt:i4>3801201</vt:i4>
      </vt:variant>
      <vt:variant>
        <vt:i4>798</vt:i4>
      </vt:variant>
      <vt:variant>
        <vt:i4>0</vt:i4>
      </vt:variant>
      <vt:variant>
        <vt:i4>5</vt:i4>
      </vt:variant>
      <vt:variant>
        <vt:lpwstr>https://www.elheraldodesaltillo.mx/2021/09/14/mexico-libera-los-primeros-682-presos-por-el-decreto-de-andres-lopez/</vt:lpwstr>
      </vt:variant>
      <vt:variant>
        <vt:lpwstr/>
      </vt:variant>
      <vt:variant>
        <vt:i4>131140</vt:i4>
      </vt:variant>
      <vt:variant>
        <vt:i4>795</vt:i4>
      </vt:variant>
      <vt:variant>
        <vt:i4>0</vt:i4>
      </vt:variant>
      <vt:variant>
        <vt:i4>5</vt:i4>
      </vt:variant>
      <vt:variant>
        <vt:lpwstr>https://actualidad.rt.com/actualidad/403972-mexico-liberar-presos-torturados-enfermos-condena</vt:lpwstr>
      </vt:variant>
      <vt:variant>
        <vt:lpwstr/>
      </vt:variant>
      <vt:variant>
        <vt:i4>6357000</vt:i4>
      </vt:variant>
      <vt:variant>
        <vt:i4>792</vt:i4>
      </vt:variant>
      <vt:variant>
        <vt:i4>0</vt:i4>
      </vt:variant>
      <vt:variant>
        <vt:i4>5</vt:i4>
      </vt:variant>
      <vt:variant>
        <vt:lpwstr>https://elpais.bo/internacional/20210915_mexico-libera-a-682-presos-por-el-decreto-de-amlo.html</vt:lpwstr>
      </vt:variant>
      <vt:variant>
        <vt:lpwstr/>
      </vt:variant>
      <vt:variant>
        <vt:i4>6357000</vt:i4>
      </vt:variant>
      <vt:variant>
        <vt:i4>789</vt:i4>
      </vt:variant>
      <vt:variant>
        <vt:i4>0</vt:i4>
      </vt:variant>
      <vt:variant>
        <vt:i4>5</vt:i4>
      </vt:variant>
      <vt:variant>
        <vt:lpwstr>https://elpais.bo/internacional/20210915_mexico-libera-a-682-presos-por-el-decreto-de-amlo.html</vt:lpwstr>
      </vt:variant>
      <vt:variant>
        <vt:lpwstr/>
      </vt:variant>
      <vt:variant>
        <vt:i4>3801201</vt:i4>
      </vt:variant>
      <vt:variant>
        <vt:i4>786</vt:i4>
      </vt:variant>
      <vt:variant>
        <vt:i4>0</vt:i4>
      </vt:variant>
      <vt:variant>
        <vt:i4>5</vt:i4>
      </vt:variant>
      <vt:variant>
        <vt:lpwstr>https://www.elheraldodesaltillo.mx/2021/09/14/mexico-libera-los-primeros-682-presos-por-el-decreto-de-andres-lopez/</vt:lpwstr>
      </vt:variant>
      <vt:variant>
        <vt:lpwstr/>
      </vt:variant>
      <vt:variant>
        <vt:i4>3801201</vt:i4>
      </vt:variant>
      <vt:variant>
        <vt:i4>783</vt:i4>
      </vt:variant>
      <vt:variant>
        <vt:i4>0</vt:i4>
      </vt:variant>
      <vt:variant>
        <vt:i4>5</vt:i4>
      </vt:variant>
      <vt:variant>
        <vt:lpwstr>https://www.elheraldodesaltillo.mx/2021/09/14/mexico-libera-los-primeros-682-presos-por-el-decreto-de-andres-lopez/</vt:lpwstr>
      </vt:variant>
      <vt:variant>
        <vt:lpwstr/>
      </vt:variant>
      <vt:variant>
        <vt:i4>131140</vt:i4>
      </vt:variant>
      <vt:variant>
        <vt:i4>780</vt:i4>
      </vt:variant>
      <vt:variant>
        <vt:i4>0</vt:i4>
      </vt:variant>
      <vt:variant>
        <vt:i4>5</vt:i4>
      </vt:variant>
      <vt:variant>
        <vt:lpwstr>https://actualidad.rt.com/actualidad/403972-mexico-liberar-presos-torturados-enfermos-condena</vt:lpwstr>
      </vt:variant>
      <vt:variant>
        <vt:lpwstr/>
      </vt:variant>
      <vt:variant>
        <vt:i4>4784242</vt:i4>
      </vt:variant>
      <vt:variant>
        <vt:i4>777</vt:i4>
      </vt:variant>
      <vt:variant>
        <vt:i4>0</vt:i4>
      </vt:variant>
      <vt:variant>
        <vt:i4>5</vt:i4>
      </vt:variant>
      <vt:variant>
        <vt:lpwstr>https://www.dof.gob.mx/nota_detalle.php?codigo=5627705&amp;fecha=25/08/2021</vt:lpwstr>
      </vt:variant>
      <vt:variant>
        <vt:lpwstr/>
      </vt:variant>
      <vt:variant>
        <vt:i4>8192077</vt:i4>
      </vt:variant>
      <vt:variant>
        <vt:i4>774</vt:i4>
      </vt:variant>
      <vt:variant>
        <vt:i4>0</vt:i4>
      </vt:variant>
      <vt:variant>
        <vt:i4>5</vt:i4>
      </vt:variant>
      <vt:variant>
        <vt:lpwstr>https://www.cndh.org.mx/sites/default/files/documentos/2021-05/DNSP_2020.pdf</vt:lpwstr>
      </vt:variant>
      <vt:variant>
        <vt:lpwstr/>
      </vt:variant>
      <vt:variant>
        <vt:i4>8192077</vt:i4>
      </vt:variant>
      <vt:variant>
        <vt:i4>771</vt:i4>
      </vt:variant>
      <vt:variant>
        <vt:i4>0</vt:i4>
      </vt:variant>
      <vt:variant>
        <vt:i4>5</vt:i4>
      </vt:variant>
      <vt:variant>
        <vt:lpwstr>https://www.cndh.org.mx/sites/default/files/documentos/2021-05/DNSP_2020.pdf</vt:lpwstr>
      </vt:variant>
      <vt:variant>
        <vt:lpwstr/>
      </vt:variant>
      <vt:variant>
        <vt:i4>786459</vt:i4>
      </vt:variant>
      <vt:variant>
        <vt:i4>768</vt:i4>
      </vt:variant>
      <vt:variant>
        <vt:i4>0</vt:i4>
      </vt:variant>
      <vt:variant>
        <vt:i4>5</vt:i4>
      </vt:variant>
      <vt:variant>
        <vt:lpwstr>https://asilegal.org.mx/comunicados/maternidad-tras-las-rejas-una-realidad-de-miles-de-mujeres-en-el-sistema-penitenciario-mexicano/</vt:lpwstr>
      </vt:variant>
      <vt:variant>
        <vt:lpwstr/>
      </vt:variant>
      <vt:variant>
        <vt:i4>8192077</vt:i4>
      </vt:variant>
      <vt:variant>
        <vt:i4>765</vt:i4>
      </vt:variant>
      <vt:variant>
        <vt:i4>0</vt:i4>
      </vt:variant>
      <vt:variant>
        <vt:i4>5</vt:i4>
      </vt:variant>
      <vt:variant>
        <vt:lpwstr>https://www.cndh.org.mx/sites/default/files/documentos/2021-05/DNSP_2020.pdf</vt:lpwstr>
      </vt:variant>
      <vt:variant>
        <vt:lpwstr/>
      </vt:variant>
      <vt:variant>
        <vt:i4>8192077</vt:i4>
      </vt:variant>
      <vt:variant>
        <vt:i4>762</vt:i4>
      </vt:variant>
      <vt:variant>
        <vt:i4>0</vt:i4>
      </vt:variant>
      <vt:variant>
        <vt:i4>5</vt:i4>
      </vt:variant>
      <vt:variant>
        <vt:lpwstr>https://www.cndh.org.mx/sites/default/files/documentos/2021-05/DNSP_2020.pdf</vt:lpwstr>
      </vt:variant>
      <vt:variant>
        <vt:lpwstr/>
      </vt:variant>
      <vt:variant>
        <vt:i4>4849744</vt:i4>
      </vt:variant>
      <vt:variant>
        <vt:i4>759</vt:i4>
      </vt:variant>
      <vt:variant>
        <vt:i4>0</vt:i4>
      </vt:variant>
      <vt:variant>
        <vt:i4>5</vt:i4>
      </vt:variant>
      <vt:variant>
        <vt:lpwstr>https://www.gob.mx/sspc/prensa/se-instalan-subcomisiones-para-una-adecuada-reinsercion-social-y-servicios-postpenales</vt:lpwstr>
      </vt:variant>
      <vt:variant>
        <vt:lpwstr/>
      </vt:variant>
      <vt:variant>
        <vt:i4>2162812</vt:i4>
      </vt:variant>
      <vt:variant>
        <vt:i4>756</vt:i4>
      </vt:variant>
      <vt:variant>
        <vt:i4>0</vt:i4>
      </vt:variant>
      <vt:variant>
        <vt:i4>5</vt:i4>
      </vt:variant>
      <vt:variant>
        <vt:lpwstr>http://www.oas.org/es/cidh/ppl/informes/pdfs/Informe-PP-2013-es.pdf</vt:lpwstr>
      </vt:variant>
      <vt:variant>
        <vt:lpwstr/>
      </vt:variant>
      <vt:variant>
        <vt:i4>5308424</vt:i4>
      </vt:variant>
      <vt:variant>
        <vt:i4>753</vt:i4>
      </vt:variant>
      <vt:variant>
        <vt:i4>0</vt:i4>
      </vt:variant>
      <vt:variant>
        <vt:i4>5</vt:i4>
      </vt:variant>
      <vt:variant>
        <vt:lpwstr>http://www.oas.org/es/cidh/informes/pdfs/Honduras-es-2015.pdf</vt:lpwstr>
      </vt:variant>
      <vt:variant>
        <vt:lpwstr/>
      </vt:variant>
      <vt:variant>
        <vt:i4>2162812</vt:i4>
      </vt:variant>
      <vt:variant>
        <vt:i4>750</vt:i4>
      </vt:variant>
      <vt:variant>
        <vt:i4>0</vt:i4>
      </vt:variant>
      <vt:variant>
        <vt:i4>5</vt:i4>
      </vt:variant>
      <vt:variant>
        <vt:lpwstr>http://www.oas.org/es/cidh/ppl/informes/pdfs/Informe-PP-2013-es.pdf</vt:lpwstr>
      </vt:variant>
      <vt:variant>
        <vt:lpwstr/>
      </vt:variant>
      <vt:variant>
        <vt:i4>4063337</vt:i4>
      </vt:variant>
      <vt:variant>
        <vt:i4>747</vt:i4>
      </vt:variant>
      <vt:variant>
        <vt:i4>0</vt:i4>
      </vt:variant>
      <vt:variant>
        <vt:i4>5</vt:i4>
      </vt:variant>
      <vt:variant>
        <vt:lpwstr>http://www.oas.org/es/cidh/informes/pdfs/PrisionPreventiva.pdf</vt:lpwstr>
      </vt:variant>
      <vt:variant>
        <vt:lpwstr/>
      </vt:variant>
      <vt:variant>
        <vt:i4>5898347</vt:i4>
      </vt:variant>
      <vt:variant>
        <vt:i4>744</vt:i4>
      </vt:variant>
      <vt:variant>
        <vt:i4>0</vt:i4>
      </vt:variant>
      <vt:variant>
        <vt:i4>5</vt:i4>
      </vt:variant>
      <vt:variant>
        <vt:lpwstr>https://www.cndh.org.mx/sites/default/files/documentos/2021-04/Acc_Inc_2021_49.pdf</vt:lpwstr>
      </vt:variant>
      <vt:variant>
        <vt:lpwstr/>
      </vt:variant>
      <vt:variant>
        <vt:i4>4784206</vt:i4>
      </vt:variant>
      <vt:variant>
        <vt:i4>741</vt:i4>
      </vt:variant>
      <vt:variant>
        <vt:i4>0</vt:i4>
      </vt:variant>
      <vt:variant>
        <vt:i4>5</vt:i4>
      </vt:variant>
      <vt:variant>
        <vt:lpwstr>https://www.animalpolitico.com/2021/10/corte-invalida-prision-automatica-contrabando-defraudacion-fiscal-facturas-falsas/</vt:lpwstr>
      </vt:variant>
      <vt:variant>
        <vt:lpwstr/>
      </vt:variant>
      <vt:variant>
        <vt:i4>852043</vt:i4>
      </vt:variant>
      <vt:variant>
        <vt:i4>738</vt:i4>
      </vt:variant>
      <vt:variant>
        <vt:i4>0</vt:i4>
      </vt:variant>
      <vt:variant>
        <vt:i4>5</vt:i4>
      </vt:variant>
      <vt:variant>
        <vt:lpwstr>https://www.scjn.gob.mx/sites/default/files/versiones-taquigraficas/documento/2021-10-25/25 de octubre de 2021 - Versi%C3%B3n definitiva.pdf</vt:lpwstr>
      </vt:variant>
      <vt:variant>
        <vt:lpwstr/>
      </vt:variant>
      <vt:variant>
        <vt:i4>852043</vt:i4>
      </vt:variant>
      <vt:variant>
        <vt:i4>735</vt:i4>
      </vt:variant>
      <vt:variant>
        <vt:i4>0</vt:i4>
      </vt:variant>
      <vt:variant>
        <vt:i4>5</vt:i4>
      </vt:variant>
      <vt:variant>
        <vt:lpwstr>https://www.scjn.gob.mx/sites/default/files/versiones-taquigraficas/documento/2021-10-25/25 de octubre de 2021 - Versi%C3%B3n definitiva.pdf</vt:lpwstr>
      </vt:variant>
      <vt:variant>
        <vt:lpwstr/>
      </vt:variant>
      <vt:variant>
        <vt:i4>6946928</vt:i4>
      </vt:variant>
      <vt:variant>
        <vt:i4>732</vt:i4>
      </vt:variant>
      <vt:variant>
        <vt:i4>0</vt:i4>
      </vt:variant>
      <vt:variant>
        <vt:i4>5</vt:i4>
      </vt:variant>
      <vt:variant>
        <vt:lpwstr>https://www.cndh.org.mx/sites/default/files/documentos/2021-02/Pronunciamiento_Reformas_19feb.pdf</vt:lpwstr>
      </vt:variant>
      <vt:variant>
        <vt:lpwstr/>
      </vt:variant>
      <vt:variant>
        <vt:i4>6946928</vt:i4>
      </vt:variant>
      <vt:variant>
        <vt:i4>729</vt:i4>
      </vt:variant>
      <vt:variant>
        <vt:i4>0</vt:i4>
      </vt:variant>
      <vt:variant>
        <vt:i4>5</vt:i4>
      </vt:variant>
      <vt:variant>
        <vt:lpwstr>https://www.cndh.org.mx/sites/default/files/documentos/2021-02/Pronunciamiento_Reformas_19feb.pdf</vt:lpwstr>
      </vt:variant>
      <vt:variant>
        <vt:lpwstr/>
      </vt:variant>
      <vt:variant>
        <vt:i4>6946878</vt:i4>
      </vt:variant>
      <vt:variant>
        <vt:i4>726</vt:i4>
      </vt:variant>
      <vt:variant>
        <vt:i4>0</vt:i4>
      </vt:variant>
      <vt:variant>
        <vt:i4>5</vt:i4>
      </vt:variant>
      <vt:variant>
        <vt:lpwstr>http://comunicacion.senado.gob.mx/index.php/informacion/boletines/50315-aprueba-senado-ampliacion-del-catalogo-de-delitos-graves-para-prision-preventiva-oficiosa.html</vt:lpwstr>
      </vt:variant>
      <vt:variant>
        <vt:lpwstr/>
      </vt:variant>
      <vt:variant>
        <vt:i4>6946878</vt:i4>
      </vt:variant>
      <vt:variant>
        <vt:i4>723</vt:i4>
      </vt:variant>
      <vt:variant>
        <vt:i4>0</vt:i4>
      </vt:variant>
      <vt:variant>
        <vt:i4>5</vt:i4>
      </vt:variant>
      <vt:variant>
        <vt:lpwstr>http://comunicacion.senado.gob.mx/index.php/informacion/boletines/50315-aprueba-senado-ampliacion-del-catalogo-de-delitos-graves-para-prision-preventiva-oficiosa.html</vt:lpwstr>
      </vt:variant>
      <vt:variant>
        <vt:lpwstr/>
      </vt:variant>
      <vt:variant>
        <vt:i4>2097204</vt:i4>
      </vt:variant>
      <vt:variant>
        <vt:i4>720</vt:i4>
      </vt:variant>
      <vt:variant>
        <vt:i4>0</vt:i4>
      </vt:variant>
      <vt:variant>
        <vt:i4>5</vt:i4>
      </vt:variant>
      <vt:variant>
        <vt:lpwstr>http://www5.diputados.gob.mx/index.php/esl/Comunicacion/Agencia-de-Noticias/2021/Febrero/20/9197-Entran-en-vigor-reformas-secundarias-sobre-ampliacion-de-delitos-que-ameritan-prision-preventiva-oficiosa</vt:lpwstr>
      </vt:variant>
      <vt:variant>
        <vt:lpwstr/>
      </vt:variant>
      <vt:variant>
        <vt:i4>4653174</vt:i4>
      </vt:variant>
      <vt:variant>
        <vt:i4>717</vt:i4>
      </vt:variant>
      <vt:variant>
        <vt:i4>0</vt:i4>
      </vt:variant>
      <vt:variant>
        <vt:i4>5</vt:i4>
      </vt:variant>
      <vt:variant>
        <vt:lpwstr>https://www.dof.gob.mx/nota_detalle.php?codigo=5557700&amp;fecha=12/04/2019</vt:lpwstr>
      </vt:variant>
      <vt:variant>
        <vt:lpwstr/>
      </vt:variant>
      <vt:variant>
        <vt:i4>5046392</vt:i4>
      </vt:variant>
      <vt:variant>
        <vt:i4>714</vt:i4>
      </vt:variant>
      <vt:variant>
        <vt:i4>0</vt:i4>
      </vt:variant>
      <vt:variant>
        <vt:i4>5</vt:i4>
      </vt:variant>
      <vt:variant>
        <vt:lpwstr>https://www.dof.gob.mx/nota_detalle.php?codigo=5611905&amp;fecha=19/02/2021</vt:lpwstr>
      </vt:variant>
      <vt:variant>
        <vt:lpwstr/>
      </vt:variant>
      <vt:variant>
        <vt:i4>4653174</vt:i4>
      </vt:variant>
      <vt:variant>
        <vt:i4>711</vt:i4>
      </vt:variant>
      <vt:variant>
        <vt:i4>0</vt:i4>
      </vt:variant>
      <vt:variant>
        <vt:i4>5</vt:i4>
      </vt:variant>
      <vt:variant>
        <vt:lpwstr>https://www.dof.gob.mx/nota_detalle.php?codigo=5557700&amp;fecha=12/04/2019</vt:lpwstr>
      </vt:variant>
      <vt:variant>
        <vt:lpwstr/>
      </vt:variant>
      <vt:variant>
        <vt:i4>4063337</vt:i4>
      </vt:variant>
      <vt:variant>
        <vt:i4>708</vt:i4>
      </vt:variant>
      <vt:variant>
        <vt:i4>0</vt:i4>
      </vt:variant>
      <vt:variant>
        <vt:i4>5</vt:i4>
      </vt:variant>
      <vt:variant>
        <vt:lpwstr>http://www.oas.org/es/cidh/informes/pdfs/PrisionPreventiva.pdf</vt:lpwstr>
      </vt:variant>
      <vt:variant>
        <vt:lpwstr/>
      </vt:variant>
      <vt:variant>
        <vt:i4>3211298</vt:i4>
      </vt:variant>
      <vt:variant>
        <vt:i4>705</vt:i4>
      </vt:variant>
      <vt:variant>
        <vt:i4>0</vt:i4>
      </vt:variant>
      <vt:variant>
        <vt:i4>5</vt:i4>
      </vt:variant>
      <vt:variant>
        <vt:lpwstr>https://www.gob.mx/cms/uploads/attachment/file/679288/CE_2021_09.pdf</vt:lpwstr>
      </vt:variant>
      <vt:variant>
        <vt:lpwstr/>
      </vt:variant>
      <vt:variant>
        <vt:i4>6488102</vt:i4>
      </vt:variant>
      <vt:variant>
        <vt:i4>702</vt:i4>
      </vt:variant>
      <vt:variant>
        <vt:i4>0</vt:i4>
      </vt:variant>
      <vt:variant>
        <vt:i4>5</vt:i4>
      </vt:variant>
      <vt:variant>
        <vt:lpwstr>https://www.cemda.org.mx/organizaciones-y-colectivos-exhiben-violaciones-a-derechos-humanos-en-los-litigios-del-tren-maya/</vt:lpwstr>
      </vt:variant>
      <vt:variant>
        <vt:lpwstr/>
      </vt:variant>
      <vt:variant>
        <vt:i4>2359342</vt:i4>
      </vt:variant>
      <vt:variant>
        <vt:i4>699</vt:i4>
      </vt:variant>
      <vt:variant>
        <vt:i4>0</vt:i4>
      </vt:variant>
      <vt:variant>
        <vt:i4>5</vt:i4>
      </vt:variant>
      <vt:variant>
        <vt:lpwstr>https://politica.expansion.mx/mexico/2021/12/14/corte-suspende-parcialmente-acuerdo-sobre-obra-publica</vt:lpwstr>
      </vt:variant>
      <vt:variant>
        <vt:lpwstr/>
      </vt:variant>
      <vt:variant>
        <vt:i4>6094862</vt:i4>
      </vt:variant>
      <vt:variant>
        <vt:i4>696</vt:i4>
      </vt:variant>
      <vt:variant>
        <vt:i4>0</vt:i4>
      </vt:variant>
      <vt:variant>
        <vt:i4>5</vt:i4>
      </vt:variant>
      <vt:variant>
        <vt:lpwstr>https://www.elfinanciero.com.mx/nacional/2021/12/14/corte-suspende-decretazo-de-amlo-pero-solo-para-efectos-de-transparencia/</vt:lpwstr>
      </vt:variant>
      <vt:variant>
        <vt:lpwstr/>
      </vt:variant>
      <vt:variant>
        <vt:i4>6291515</vt:i4>
      </vt:variant>
      <vt:variant>
        <vt:i4>693</vt:i4>
      </vt:variant>
      <vt:variant>
        <vt:i4>0</vt:i4>
      </vt:variant>
      <vt:variant>
        <vt:i4>5</vt:i4>
      </vt:variant>
      <vt:variant>
        <vt:lpwstr>https://home.inai.org.mx/wp-content/documentos/SalaDePrensa/Comunicados/Comunicado INAI-435-21.pdf</vt:lpwstr>
      </vt:variant>
      <vt:variant>
        <vt:lpwstr/>
      </vt:variant>
      <vt:variant>
        <vt:i4>5177470</vt:i4>
      </vt:variant>
      <vt:variant>
        <vt:i4>690</vt:i4>
      </vt:variant>
      <vt:variant>
        <vt:i4>0</vt:i4>
      </vt:variant>
      <vt:variant>
        <vt:i4>5</vt:i4>
      </vt:variant>
      <vt:variant>
        <vt:lpwstr>https://www.dof.gob.mx/nota_detalle.php?codigo=5635985&amp;fecha=22/11/2021</vt:lpwstr>
      </vt:variant>
      <vt:variant>
        <vt:lpwstr/>
      </vt:variant>
      <vt:variant>
        <vt:i4>2359415</vt:i4>
      </vt:variant>
      <vt:variant>
        <vt:i4>687</vt:i4>
      </vt:variant>
      <vt:variant>
        <vt:i4>0</vt:i4>
      </vt:variant>
      <vt:variant>
        <vt:i4>5</vt:i4>
      </vt:variant>
      <vt:variant>
        <vt:lpwstr>https://www.internet2.scjn.gob.mx/red2/comunicados/noticia.asp?id=6354</vt:lpwstr>
      </vt:variant>
      <vt:variant>
        <vt:lpwstr/>
      </vt:variant>
      <vt:variant>
        <vt:i4>5570572</vt:i4>
      </vt:variant>
      <vt:variant>
        <vt:i4>684</vt:i4>
      </vt:variant>
      <vt:variant>
        <vt:i4>0</vt:i4>
      </vt:variant>
      <vt:variant>
        <vt:i4>5</vt:i4>
      </vt:variant>
      <vt:variant>
        <vt:lpwstr>https://comunicacionnoticias.diputados.gob.mx/comunicacion/index.php/boletines/la-camara-de-diputados-aprobo-en-lo-general-la-ley-general-de-consulta-de-los-pueblos-y-comunidades-indigenas-y-afromexicanas</vt:lpwstr>
      </vt:variant>
      <vt:variant>
        <vt:lpwstr>gsc.tab=0</vt:lpwstr>
      </vt:variant>
      <vt:variant>
        <vt:i4>1572938</vt:i4>
      </vt:variant>
      <vt:variant>
        <vt:i4>681</vt:i4>
      </vt:variant>
      <vt:variant>
        <vt:i4>0</vt:i4>
      </vt:variant>
      <vt:variant>
        <vt:i4>5</vt:i4>
      </vt:variant>
      <vt:variant>
        <vt:lpwstr>https://www.oas.org/es/CIDH/jsForm/?File=/es/cidh/prensa/comunicados/2021/340.asp</vt:lpwstr>
      </vt:variant>
      <vt:variant>
        <vt:lpwstr/>
      </vt:variant>
      <vt:variant>
        <vt:i4>3276916</vt:i4>
      </vt:variant>
      <vt:variant>
        <vt:i4>678</vt:i4>
      </vt:variant>
      <vt:variant>
        <vt:i4>0</vt:i4>
      </vt:variant>
      <vt:variant>
        <vt:i4>5</vt:i4>
      </vt:variant>
      <vt:variant>
        <vt:lpwstr>https://www.animalpolitico.com/2021/10/familiares-yaquis-desaparecidos-exigen-conocer-investigacion-prueba-adn/</vt:lpwstr>
      </vt:variant>
      <vt:variant>
        <vt:lpwstr/>
      </vt:variant>
      <vt:variant>
        <vt:i4>3604543</vt:i4>
      </vt:variant>
      <vt:variant>
        <vt:i4>675</vt:i4>
      </vt:variant>
      <vt:variant>
        <vt:i4>0</vt:i4>
      </vt:variant>
      <vt:variant>
        <vt:i4>5</vt:i4>
      </vt:variant>
      <vt:variant>
        <vt:lpwstr>https://www.jornada.com.mx/notas/2021/10/09/estados/identifican-restos-de-otros-dos-yaquis-desaparecidos-en-sonora/</vt:lpwstr>
      </vt:variant>
      <vt:variant>
        <vt:lpwstr/>
      </vt:variant>
      <vt:variant>
        <vt:i4>6881343</vt:i4>
      </vt:variant>
      <vt:variant>
        <vt:i4>672</vt:i4>
      </vt:variant>
      <vt:variant>
        <vt:i4>0</vt:i4>
      </vt:variant>
      <vt:variant>
        <vt:i4>5</vt:i4>
      </vt:variant>
      <vt:variant>
        <vt:lpwstr>https://twitter.com/CIDH/status/1443328901648879619</vt:lpwstr>
      </vt:variant>
      <vt:variant>
        <vt:lpwstr/>
      </vt:variant>
      <vt:variant>
        <vt:i4>7536758</vt:i4>
      </vt:variant>
      <vt:variant>
        <vt:i4>669</vt:i4>
      </vt:variant>
      <vt:variant>
        <vt:i4>0</vt:i4>
      </vt:variant>
      <vt:variant>
        <vt:i4>5</vt:i4>
      </vt:variant>
      <vt:variant>
        <vt:lpwstr>https://www.gob.mx/cms/uploads/attachment/file/661827/Segob_Impacto_pandemia_en_nin_as_y_nin_os__13ago21.pdf</vt:lpwstr>
      </vt:variant>
      <vt:variant>
        <vt:lpwstr/>
      </vt:variant>
      <vt:variant>
        <vt:i4>7798826</vt:i4>
      </vt:variant>
      <vt:variant>
        <vt:i4>666</vt:i4>
      </vt:variant>
      <vt:variant>
        <vt:i4>0</vt:i4>
      </vt:variant>
      <vt:variant>
        <vt:i4>5</vt:i4>
      </vt:variant>
      <vt:variant>
        <vt:lpwstr>https://dispensariodi.com/wp-content/uploads/2021/05/es-un-secreto-la-explotacion-sexual-infantil-en-escuelas-2.pdf</vt:lpwstr>
      </vt:variant>
      <vt:variant>
        <vt:lpwstr/>
      </vt:variant>
      <vt:variant>
        <vt:i4>2556003</vt:i4>
      </vt:variant>
      <vt:variant>
        <vt:i4>663</vt:i4>
      </vt:variant>
      <vt:variant>
        <vt:i4>0</vt:i4>
      </vt:variant>
      <vt:variant>
        <vt:i4>5</vt:i4>
      </vt:variant>
      <vt:variant>
        <vt:lpwstr>https://derechosinfancia.org.mx/v1/ninezdesaparecida-mexico-epidemia-invisible-por-adultocentrismo/</vt:lpwstr>
      </vt:variant>
      <vt:variant>
        <vt:lpwstr/>
      </vt:variant>
      <vt:variant>
        <vt:i4>7536758</vt:i4>
      </vt:variant>
      <vt:variant>
        <vt:i4>660</vt:i4>
      </vt:variant>
      <vt:variant>
        <vt:i4>0</vt:i4>
      </vt:variant>
      <vt:variant>
        <vt:i4>5</vt:i4>
      </vt:variant>
      <vt:variant>
        <vt:lpwstr>https://www.gob.mx/cms/uploads/attachment/file/661827/Segob_Impacto_pandemia_en_nin_as_y_nin_os__13ago21.pdf</vt:lpwstr>
      </vt:variant>
      <vt:variant>
        <vt:lpwstr/>
      </vt:variant>
      <vt:variant>
        <vt:i4>7536758</vt:i4>
      </vt:variant>
      <vt:variant>
        <vt:i4>657</vt:i4>
      </vt:variant>
      <vt:variant>
        <vt:i4>0</vt:i4>
      </vt:variant>
      <vt:variant>
        <vt:i4>5</vt:i4>
      </vt:variant>
      <vt:variant>
        <vt:lpwstr>https://www.gob.mx/cms/uploads/attachment/file/661827/Segob_Impacto_pandemia_en_nin_as_y_nin_os__13ago21.pdf</vt:lpwstr>
      </vt:variant>
      <vt:variant>
        <vt:lpwstr/>
      </vt:variant>
      <vt:variant>
        <vt:i4>7536758</vt:i4>
      </vt:variant>
      <vt:variant>
        <vt:i4>654</vt:i4>
      </vt:variant>
      <vt:variant>
        <vt:i4>0</vt:i4>
      </vt:variant>
      <vt:variant>
        <vt:i4>5</vt:i4>
      </vt:variant>
      <vt:variant>
        <vt:lpwstr>https://www.gob.mx/cms/uploads/attachment/file/661827/Segob_Impacto_pandemia_en_nin_as_y_nin_os__13ago21.pdf</vt:lpwstr>
      </vt:variant>
      <vt:variant>
        <vt:lpwstr/>
      </vt:variant>
      <vt:variant>
        <vt:i4>5963789</vt:i4>
      </vt:variant>
      <vt:variant>
        <vt:i4>651</vt:i4>
      </vt:variant>
      <vt:variant>
        <vt:i4>0</vt:i4>
      </vt:variant>
      <vt:variant>
        <vt:i4>5</vt:i4>
      </vt:variant>
      <vt:variant>
        <vt:lpwstr>http://www.oas.org/es/cidh/jsForm/?File=/es/cidh/prensa/comunicados/2021/099.asp</vt:lpwstr>
      </vt:variant>
      <vt:variant>
        <vt:lpwstr/>
      </vt:variant>
      <vt:variant>
        <vt:i4>131135</vt:i4>
      </vt:variant>
      <vt:variant>
        <vt:i4>648</vt:i4>
      </vt:variant>
      <vt:variant>
        <vt:i4>0</vt:i4>
      </vt:variant>
      <vt:variant>
        <vt:i4>5</vt:i4>
      </vt:variant>
      <vt:variant>
        <vt:lpwstr>https://twitter.com/LasPatronas_dh/status/1411548497757802503?s=20</vt:lpwstr>
      </vt:variant>
      <vt:variant>
        <vt:lpwstr/>
      </vt:variant>
      <vt:variant>
        <vt:i4>5242938</vt:i4>
      </vt:variant>
      <vt:variant>
        <vt:i4>645</vt:i4>
      </vt:variant>
      <vt:variant>
        <vt:i4>0</vt:i4>
      </vt:variant>
      <vt:variant>
        <vt:i4>5</vt:i4>
      </vt:variant>
      <vt:variant>
        <vt:lpwstr>https://twitter.com/M_OlgaSCordero</vt:lpwstr>
      </vt:variant>
      <vt:variant>
        <vt:lpwstr/>
      </vt:variant>
      <vt:variant>
        <vt:i4>655465</vt:i4>
      </vt:variant>
      <vt:variant>
        <vt:i4>642</vt:i4>
      </vt:variant>
      <vt:variant>
        <vt:i4>0</vt:i4>
      </vt:variant>
      <vt:variant>
        <vt:i4>5</vt:i4>
      </vt:variant>
      <vt:variant>
        <vt:lpwstr>https://twitter.com/HGutierrez_M</vt:lpwstr>
      </vt:variant>
      <vt:variant>
        <vt:lpwstr/>
      </vt:variant>
      <vt:variant>
        <vt:i4>7471157</vt:i4>
      </vt:variant>
      <vt:variant>
        <vt:i4>639</vt:i4>
      </vt:variant>
      <vt:variant>
        <vt:i4>0</vt:i4>
      </vt:variant>
      <vt:variant>
        <vt:i4>5</vt:i4>
      </vt:variant>
      <vt:variant>
        <vt:lpwstr>https://twitter.com/EDUARDOROJASCA9</vt:lpwstr>
      </vt:variant>
      <vt:variant>
        <vt:lpwstr/>
      </vt:variant>
      <vt:variant>
        <vt:i4>327773</vt:i4>
      </vt:variant>
      <vt:variant>
        <vt:i4>636</vt:i4>
      </vt:variant>
      <vt:variant>
        <vt:i4>0</vt:i4>
      </vt:variant>
      <vt:variant>
        <vt:i4>5</vt:i4>
      </vt:variant>
      <vt:variant>
        <vt:lpwstr>https://twitter.com/CuitlahuacGJ</vt:lpwstr>
      </vt:variant>
      <vt:variant>
        <vt:lpwstr/>
      </vt:variant>
      <vt:variant>
        <vt:i4>5832787</vt:i4>
      </vt:variant>
      <vt:variant>
        <vt:i4>633</vt:i4>
      </vt:variant>
      <vt:variant>
        <vt:i4>0</vt:i4>
      </vt:variant>
      <vt:variant>
        <vt:i4>5</vt:i4>
      </vt:variant>
      <vt:variant>
        <vt:lpwstr>https://oneamexico.org/2021/07/05/onea-mexico-se-suma-a-la-exigencia-de-justicia-por-el-homicidio-de-eduardo-jimenez-y-jonathan-herrera-en-veracruz/</vt:lpwstr>
      </vt:variant>
      <vt:variant>
        <vt:lpwstr/>
      </vt:variant>
      <vt:variant>
        <vt:i4>2687027</vt:i4>
      </vt:variant>
      <vt:variant>
        <vt:i4>630</vt:i4>
      </vt:variant>
      <vt:variant>
        <vt:i4>0</vt:i4>
      </vt:variant>
      <vt:variant>
        <vt:i4>5</vt:i4>
      </vt:variant>
      <vt:variant>
        <vt:lpwstr>https://cdhcm.org.mx/2021/01/presenta-cdhcm-el-informe-interacciones-entre-adolescentes-y-policias-en-la-ciudad-de-mexico/</vt:lpwstr>
      </vt:variant>
      <vt:variant>
        <vt:lpwstr/>
      </vt:variant>
      <vt:variant>
        <vt:i4>3276909</vt:i4>
      </vt:variant>
      <vt:variant>
        <vt:i4>627</vt:i4>
      </vt:variant>
      <vt:variant>
        <vt:i4>0</vt:i4>
      </vt:variant>
      <vt:variant>
        <vt:i4>5</vt:i4>
      </vt:variant>
      <vt:variant>
        <vt:lpwstr>https://www.gob.mx/sipinna/acciones-y-programas/protocolo-nacional-de-coordinacion-interinstitucional-para-la-proteccion-de-ninas-ninos-y-adolescentes-victimas-de-violencia-266864</vt:lpwstr>
      </vt:variant>
      <vt:variant>
        <vt:lpwstr/>
      </vt:variant>
      <vt:variant>
        <vt:i4>3997715</vt:i4>
      </vt:variant>
      <vt:variant>
        <vt:i4>624</vt:i4>
      </vt:variant>
      <vt:variant>
        <vt:i4>0</vt:i4>
      </vt:variant>
      <vt:variant>
        <vt:i4>5</vt:i4>
      </vt:variant>
      <vt:variant>
        <vt:lpwstr>http://sitios.dif.gob.mx/normateca/wp-content/uploads/2021/07/PROTOCOLO_NNAOF.pdf</vt:lpwstr>
      </vt:variant>
      <vt:variant>
        <vt:lpwstr/>
      </vt:variant>
      <vt:variant>
        <vt:i4>458777</vt:i4>
      </vt:variant>
      <vt:variant>
        <vt:i4>621</vt:i4>
      </vt:variant>
      <vt:variant>
        <vt:i4>0</vt:i4>
      </vt:variant>
      <vt:variant>
        <vt:i4>5</vt:i4>
      </vt:variant>
      <vt:variant>
        <vt:lpwstr>http://www.oas.org/es/cidh/docs/anual/2020/capitulos/IA2020cap5.MX-es.pdf</vt:lpwstr>
      </vt:variant>
      <vt:variant>
        <vt:lpwstr/>
      </vt:variant>
      <vt:variant>
        <vt:i4>1769549</vt:i4>
      </vt:variant>
      <vt:variant>
        <vt:i4>618</vt:i4>
      </vt:variant>
      <vt:variant>
        <vt:i4>0</vt:i4>
      </vt:variant>
      <vt:variant>
        <vt:i4>5</vt:i4>
      </vt:variant>
      <vt:variant>
        <vt:lpwstr>http://www.oas.org/es/cidh/informes/pdfs/mujeresindigenas.pdf</vt:lpwstr>
      </vt:variant>
      <vt:variant>
        <vt:lpwstr/>
      </vt:variant>
      <vt:variant>
        <vt:i4>3997759</vt:i4>
      </vt:variant>
      <vt:variant>
        <vt:i4>615</vt:i4>
      </vt:variant>
      <vt:variant>
        <vt:i4>0</vt:i4>
      </vt:variant>
      <vt:variant>
        <vt:i4>5</vt:i4>
      </vt:variant>
      <vt:variant>
        <vt:lpwstr>http://www.oas.org/es/cidh/informes/pdfs/violencia-discriminacion-mujeres-Anexo1-es.pdf</vt:lpwstr>
      </vt:variant>
      <vt:variant>
        <vt:lpwstr/>
      </vt:variant>
      <vt:variant>
        <vt:i4>3407984</vt:i4>
      </vt:variant>
      <vt:variant>
        <vt:i4>612</vt:i4>
      </vt:variant>
      <vt:variant>
        <vt:i4>0</vt:i4>
      </vt:variant>
      <vt:variant>
        <vt:i4>5</vt:i4>
      </vt:variant>
      <vt:variant>
        <vt:lpwstr>http://cuentame.inegi.org.mx/poblacion/default.aspx?tema=P</vt:lpwstr>
      </vt:variant>
      <vt:variant>
        <vt:lpwstr/>
      </vt:variant>
      <vt:variant>
        <vt:i4>6357108</vt:i4>
      </vt:variant>
      <vt:variant>
        <vt:i4>609</vt:i4>
      </vt:variant>
      <vt:variant>
        <vt:i4>0</vt:i4>
      </vt:variant>
      <vt:variant>
        <vt:i4>5</vt:i4>
      </vt:variant>
      <vt:variant>
        <vt:lpwstr>https://www.gob.mx/inpi/articulos/el-inpi-promueve-el-ejercicio-efectivo-de-los-derechos-de-las-mujeres-indigenas-y-afromexicanas?idiom=es</vt:lpwstr>
      </vt:variant>
      <vt:variant>
        <vt:lpwstr/>
      </vt:variant>
      <vt:variant>
        <vt:i4>5767247</vt:i4>
      </vt:variant>
      <vt:variant>
        <vt:i4>606</vt:i4>
      </vt:variant>
      <vt:variant>
        <vt:i4>0</vt:i4>
      </vt:variant>
      <vt:variant>
        <vt:i4>5</vt:i4>
      </vt:variant>
      <vt:variant>
        <vt:lpwstr>http://sindis.conapred.org.mx/wp-content/uploads/2020/01/Discriminacion_Empresas.Ax_.pdf</vt:lpwstr>
      </vt:variant>
      <vt:variant>
        <vt:lpwstr/>
      </vt:variant>
      <vt:variant>
        <vt:i4>4915320</vt:i4>
      </vt:variant>
      <vt:variant>
        <vt:i4>600</vt:i4>
      </vt:variant>
      <vt:variant>
        <vt:i4>0</vt:i4>
      </vt:variant>
      <vt:variant>
        <vt:i4>5</vt:i4>
      </vt:variant>
      <vt:variant>
        <vt:lpwstr>https://www.dof.gob.mx/nota_detalle.php?codigo=5625694&amp;fecha=04/08/2021</vt:lpwstr>
      </vt:variant>
      <vt:variant>
        <vt:lpwstr/>
      </vt:variant>
      <vt:variant>
        <vt:i4>7340137</vt:i4>
      </vt:variant>
      <vt:variant>
        <vt:i4>597</vt:i4>
      </vt:variant>
      <vt:variant>
        <vt:i4>0</vt:i4>
      </vt:variant>
      <vt:variant>
        <vt:i4>5</vt:i4>
      </vt:variant>
      <vt:variant>
        <vt:lpwstr>https://www.scjn.gob.mx/derechos-humanos/sites/default/files/protocolos/archivos/2020-11/Protocolo para juzgar con perspectiva de g%C3%A9nero %28191120%29.pdf</vt:lpwstr>
      </vt:variant>
      <vt:variant>
        <vt:lpwstr/>
      </vt:variant>
      <vt:variant>
        <vt:i4>2621500</vt:i4>
      </vt:variant>
      <vt:variant>
        <vt:i4>594</vt:i4>
      </vt:variant>
      <vt:variant>
        <vt:i4>0</vt:i4>
      </vt:variant>
      <vt:variant>
        <vt:i4>5</vt:i4>
      </vt:variant>
      <vt:variant>
        <vt:lpwstr>https://www.corteidh.or.cr/docs/casos/articulos/seriec_371_esp.pdf</vt:lpwstr>
      </vt:variant>
      <vt:variant>
        <vt:lpwstr/>
      </vt:variant>
      <vt:variant>
        <vt:i4>2949179</vt:i4>
      </vt:variant>
      <vt:variant>
        <vt:i4>591</vt:i4>
      </vt:variant>
      <vt:variant>
        <vt:i4>0</vt:i4>
      </vt:variant>
      <vt:variant>
        <vt:i4>5</vt:i4>
      </vt:variant>
      <vt:variant>
        <vt:lpwstr>https://www.corteidh.or.cr/docs/casos/articulos/seriec_205_esp.pdf</vt:lpwstr>
      </vt:variant>
      <vt:variant>
        <vt:lpwstr/>
      </vt:variant>
      <vt:variant>
        <vt:i4>1769489</vt:i4>
      </vt:variant>
      <vt:variant>
        <vt:i4>588</vt:i4>
      </vt:variant>
      <vt:variant>
        <vt:i4>0</vt:i4>
      </vt:variant>
      <vt:variant>
        <vt:i4>5</vt:i4>
      </vt:variant>
      <vt:variant>
        <vt:lpwstr>https://centroprodh.org.mx/2021/09/19/fiscalia-del-estado-de-mexico-debera-remitir-a-fgr-la-investigacion-del-caso-mujeres-de-atenco/</vt:lpwstr>
      </vt:variant>
      <vt:variant>
        <vt:lpwstr/>
      </vt:variant>
      <vt:variant>
        <vt:i4>6291516</vt:i4>
      </vt:variant>
      <vt:variant>
        <vt:i4>585</vt:i4>
      </vt:variant>
      <vt:variant>
        <vt:i4>0</vt:i4>
      </vt:variant>
      <vt:variant>
        <vt:i4>5</vt:i4>
      </vt:variant>
      <vt:variant>
        <vt:lpwstr>https://www.animalpolitico.com/la-lucha-cotidiana-de-los-derechos-humanos/la-deuda-de-estado-con-las-mujeres-de-atenco/</vt:lpwstr>
      </vt:variant>
      <vt:variant>
        <vt:lpwstr/>
      </vt:variant>
      <vt:variant>
        <vt:i4>6881330</vt:i4>
      </vt:variant>
      <vt:variant>
        <vt:i4>582</vt:i4>
      </vt:variant>
      <vt:variant>
        <vt:i4>0</vt:i4>
      </vt:variant>
      <vt:variant>
        <vt:i4>5</vt:i4>
      </vt:variant>
      <vt:variant>
        <vt:lpwstr>https://www.animalpolitico.com/2021/09/amlo-movimiento-feministas-es-conservador-busca-perjudicar-gobierno/</vt:lpwstr>
      </vt:variant>
      <vt:variant>
        <vt:lpwstr/>
      </vt:variant>
      <vt:variant>
        <vt:i4>5046291</vt:i4>
      </vt:variant>
      <vt:variant>
        <vt:i4>579</vt:i4>
      </vt:variant>
      <vt:variant>
        <vt:i4>0</vt:i4>
      </vt:variant>
      <vt:variant>
        <vt:i4>5</vt:i4>
      </vt:variant>
      <vt:variant>
        <vt:lpwstr>https://www.milenio.com/policia/detienen-mujer-bebe-brazos-guadalajara-jalisco-video</vt:lpwstr>
      </vt:variant>
      <vt:variant>
        <vt:lpwstr/>
      </vt:variant>
      <vt:variant>
        <vt:i4>1900617</vt:i4>
      </vt:variant>
      <vt:variant>
        <vt:i4>576</vt:i4>
      </vt:variant>
      <vt:variant>
        <vt:i4>0</vt:i4>
      </vt:variant>
      <vt:variant>
        <vt:i4>5</vt:i4>
      </vt:variant>
      <vt:variant>
        <vt:lpwstr>https://www.youtube.com/watch?v=dCrvpCzWeZw&amp;list=PL5QlapyOGhXuqJx3OkQeNy-yYH63qHIkW&amp;index=16</vt:lpwstr>
      </vt:variant>
      <vt:variant>
        <vt:lpwstr/>
      </vt:variant>
      <vt:variant>
        <vt:i4>4718691</vt:i4>
      </vt:variant>
      <vt:variant>
        <vt:i4>573</vt:i4>
      </vt:variant>
      <vt:variant>
        <vt:i4>0</vt:i4>
      </vt:variant>
      <vt:variant>
        <vt:i4>5</vt:i4>
      </vt:variant>
      <vt:variant>
        <vt:lpwstr>https://drive.google.com/file/d/1wk78wlFeeAO1ChG6MGsHlHGNE6CH_C8K/view</vt:lpwstr>
      </vt:variant>
      <vt:variant>
        <vt:lpwstr/>
      </vt:variant>
      <vt:variant>
        <vt:i4>6815866</vt:i4>
      </vt:variant>
      <vt:variant>
        <vt:i4>570</vt:i4>
      </vt:variant>
      <vt:variant>
        <vt:i4>0</vt:i4>
      </vt:variant>
      <vt:variant>
        <vt:i4>5</vt:i4>
      </vt:variant>
      <vt:variant>
        <vt:lpwstr>https://drive.google.com/file/d/1Gw6PrSAZNyX3vdd1SUD8EakMM8XWxo9B/view</vt:lpwstr>
      </vt:variant>
      <vt:variant>
        <vt:lpwstr/>
      </vt:variant>
      <vt:variant>
        <vt:i4>8257571</vt:i4>
      </vt:variant>
      <vt:variant>
        <vt:i4>567</vt:i4>
      </vt:variant>
      <vt:variant>
        <vt:i4>0</vt:i4>
      </vt:variant>
      <vt:variant>
        <vt:i4>5</vt:i4>
      </vt:variant>
      <vt:variant>
        <vt:lpwstr>http://www.congresochihuahua.gob.mx/detalleNota.php?id=5120</vt:lpwstr>
      </vt:variant>
      <vt:variant>
        <vt:lpwstr/>
      </vt:variant>
      <vt:variant>
        <vt:i4>1114232</vt:i4>
      </vt:variant>
      <vt:variant>
        <vt:i4>564</vt:i4>
      </vt:variant>
      <vt:variant>
        <vt:i4>0</vt:i4>
      </vt:variant>
      <vt:variant>
        <vt:i4>5</vt:i4>
      </vt:variant>
      <vt:variant>
        <vt:lpwstr>https://dof.gob.mx/nota_detalle.php?codigo=5619905&amp;fecha=01/06/2021</vt:lpwstr>
      </vt:variant>
      <vt:variant>
        <vt:lpwstr/>
      </vt:variant>
      <vt:variant>
        <vt:i4>1114232</vt:i4>
      </vt:variant>
      <vt:variant>
        <vt:i4>561</vt:i4>
      </vt:variant>
      <vt:variant>
        <vt:i4>0</vt:i4>
      </vt:variant>
      <vt:variant>
        <vt:i4>5</vt:i4>
      </vt:variant>
      <vt:variant>
        <vt:lpwstr>https://dof.gob.mx/nota_detalle.php?codigo=5619905&amp;fecha=01/06/2021</vt:lpwstr>
      </vt:variant>
      <vt:variant>
        <vt:lpwstr/>
      </vt:variant>
      <vt:variant>
        <vt:i4>2424917</vt:i4>
      </vt:variant>
      <vt:variant>
        <vt:i4>558</vt:i4>
      </vt:variant>
      <vt:variant>
        <vt:i4>0</vt:i4>
      </vt:variant>
      <vt:variant>
        <vt:i4>5</vt:i4>
      </vt:variant>
      <vt:variant>
        <vt:lpwstr>http://www.dof.gob.mx/nota_detalle.php?codigo=5613845&amp;fecha=18/03/2021</vt:lpwstr>
      </vt:variant>
      <vt:variant>
        <vt:lpwstr/>
      </vt:variant>
      <vt:variant>
        <vt:i4>7143523</vt:i4>
      </vt:variant>
      <vt:variant>
        <vt:i4>555</vt:i4>
      </vt:variant>
      <vt:variant>
        <vt:i4>0</vt:i4>
      </vt:variant>
      <vt:variant>
        <vt:i4>5</vt:i4>
      </vt:variant>
      <vt:variant>
        <vt:lpwstr>https://www.gob.mx/cms/uploads/attachment/file/209278/Ley_General_de_Acceso_de_las_Mujeres_a_una_Vida_Libre_de_Violencia.pdf</vt:lpwstr>
      </vt:variant>
      <vt:variant>
        <vt:lpwstr/>
      </vt:variant>
      <vt:variant>
        <vt:i4>4063284</vt:i4>
      </vt:variant>
      <vt:variant>
        <vt:i4>552</vt:i4>
      </vt:variant>
      <vt:variant>
        <vt:i4>0</vt:i4>
      </vt:variant>
      <vt:variant>
        <vt:i4>5</vt:i4>
      </vt:variant>
      <vt:variant>
        <vt:lpwstr>https://www.fgjcdmx.gob.mx/nuestros-servicios/en-linea/mp-virtual/centros-de-justicia-para-las-mujeres</vt:lpwstr>
      </vt:variant>
      <vt:variant>
        <vt:lpwstr/>
      </vt:variant>
      <vt:variant>
        <vt:i4>6946917</vt:i4>
      </vt:variant>
      <vt:variant>
        <vt:i4>549</vt:i4>
      </vt:variant>
      <vt:variant>
        <vt:i4>0</vt:i4>
      </vt:variant>
      <vt:variant>
        <vt:i4>5</vt:i4>
      </vt:variant>
      <vt:variant>
        <vt:lpwstr>https://www.gob.mx/conavim/prensa/se-inaugura-centro-de-justicia-integral-para-las-mujeres-en-uruapan-michoacan-285594?idiom=es</vt:lpwstr>
      </vt:variant>
      <vt:variant>
        <vt:lpwstr/>
      </vt:variant>
      <vt:variant>
        <vt:i4>4522015</vt:i4>
      </vt:variant>
      <vt:variant>
        <vt:i4>546</vt:i4>
      </vt:variant>
      <vt:variant>
        <vt:i4>0</vt:i4>
      </vt:variant>
      <vt:variant>
        <vt:i4>5</vt:i4>
      </vt:variant>
      <vt:variant>
        <vt:lpwstr>https://www.gob.mx/segob/prensa/inaugura-gobernacion-centro-de-justicia-para-las-mujeres-en-san-luis-potosi?idiom=es</vt:lpwstr>
      </vt:variant>
      <vt:variant>
        <vt:lpwstr/>
      </vt:variant>
      <vt:variant>
        <vt:i4>786500</vt:i4>
      </vt:variant>
      <vt:variant>
        <vt:i4>543</vt:i4>
      </vt:variant>
      <vt:variant>
        <vt:i4>0</vt:i4>
      </vt:variant>
      <vt:variant>
        <vt:i4>5</vt:i4>
      </vt:variant>
      <vt:variant>
        <vt:lpwstr>https://anodis.com/presenta-diputada-del-pri-iniciativa-sobre-cupo-laboral-trans-en-cdmx/</vt:lpwstr>
      </vt:variant>
      <vt:variant>
        <vt:lpwstr/>
      </vt:variant>
      <vt:variant>
        <vt:i4>5505042</vt:i4>
      </vt:variant>
      <vt:variant>
        <vt:i4>540</vt:i4>
      </vt:variant>
      <vt:variant>
        <vt:i4>0</vt:i4>
      </vt:variant>
      <vt:variant>
        <vt:i4>5</vt:i4>
      </vt:variant>
      <vt:variant>
        <vt:lpwstr>https://www.infobae.com/america/mexico/2021/10/20/congreso-de-tlaxcala-aprobo-castigar-con-carcel-las-terapias-de-conversion/</vt:lpwstr>
      </vt:variant>
      <vt:variant>
        <vt:lpwstr/>
      </vt:variant>
      <vt:variant>
        <vt:i4>1114177</vt:i4>
      </vt:variant>
      <vt:variant>
        <vt:i4>537</vt:i4>
      </vt:variant>
      <vt:variant>
        <vt:i4>0</vt:i4>
      </vt:variant>
      <vt:variant>
        <vt:i4>5</vt:i4>
      </vt:variant>
      <vt:variant>
        <vt:lpwstr>https://www.contramuro.com/legisla-colima-contra-las-terapias-de-conversion/</vt:lpwstr>
      </vt:variant>
      <vt:variant>
        <vt:lpwstr/>
      </vt:variant>
      <vt:variant>
        <vt:i4>6357042</vt:i4>
      </vt:variant>
      <vt:variant>
        <vt:i4>534</vt:i4>
      </vt:variant>
      <vt:variant>
        <vt:i4>0</vt:i4>
      </vt:variant>
      <vt:variant>
        <vt:i4>5</vt:i4>
      </vt:variant>
      <vt:variant>
        <vt:lpwstr>https://latertulia.com.mx/2021/08/30/zacatecas-prohibe-las-terapias-de-conversion-o-los-ecosig/</vt:lpwstr>
      </vt:variant>
      <vt:variant>
        <vt:lpwstr/>
      </vt:variant>
      <vt:variant>
        <vt:i4>6225997</vt:i4>
      </vt:variant>
      <vt:variant>
        <vt:i4>531</vt:i4>
      </vt:variant>
      <vt:variant>
        <vt:i4>0</vt:i4>
      </vt:variant>
      <vt:variant>
        <vt:i4>5</vt:i4>
      </vt:variant>
      <vt:variant>
        <vt:lpwstr>https://twitter.com/CIDH/status/1431265577419649029?s=20</vt:lpwstr>
      </vt:variant>
      <vt:variant>
        <vt:lpwstr/>
      </vt:variant>
      <vt:variant>
        <vt:i4>1638468</vt:i4>
      </vt:variant>
      <vt:variant>
        <vt:i4>528</vt:i4>
      </vt:variant>
      <vt:variant>
        <vt:i4>0</vt:i4>
      </vt:variant>
      <vt:variant>
        <vt:i4>5</vt:i4>
      </vt:variant>
      <vt:variant>
        <vt:lpwstr>https://politica.expansion.mx/estados/2021/08/25/el-congreso-de-yucatan-aprueba-el-matrimonio-igualitario</vt:lpwstr>
      </vt:variant>
      <vt:variant>
        <vt:lpwstr/>
      </vt:variant>
      <vt:variant>
        <vt:i4>7143476</vt:i4>
      </vt:variant>
      <vt:variant>
        <vt:i4>525</vt:i4>
      </vt:variant>
      <vt:variant>
        <vt:i4>0</vt:i4>
      </vt:variant>
      <vt:variant>
        <vt:i4>5</vt:i4>
      </vt:variant>
      <vt:variant>
        <vt:lpwstr>https://heraldodemexico.com.mx/nacional/2021/6/29/bcs-aprueba-ley-trans-tipifica-como-delito-las-terapias-de-conversion-311334.html</vt:lpwstr>
      </vt:variant>
      <vt:variant>
        <vt:lpwstr/>
      </vt:variant>
      <vt:variant>
        <vt:i4>3735595</vt:i4>
      </vt:variant>
      <vt:variant>
        <vt:i4>522</vt:i4>
      </vt:variant>
      <vt:variant>
        <vt:i4>0</vt:i4>
      </vt:variant>
      <vt:variant>
        <vt:i4>5</vt:i4>
      </vt:variant>
      <vt:variant>
        <vt:lpwstr>https://politica.expansion.mx/estados/2021/10/05/oaxaca-aprueba-ley-de-identidad-de-genero</vt:lpwstr>
      </vt:variant>
      <vt:variant>
        <vt:lpwstr/>
      </vt:variant>
      <vt:variant>
        <vt:i4>1310803</vt:i4>
      </vt:variant>
      <vt:variant>
        <vt:i4>519</vt:i4>
      </vt:variant>
      <vt:variant>
        <vt:i4>0</vt:i4>
      </vt:variant>
      <vt:variant>
        <vt:i4>5</vt:i4>
      </vt:variant>
      <vt:variant>
        <vt:lpwstr>https://www.24morelos.com/aprueban-ley-de-identidad-de-genero-en-congreso-de-morelos/</vt:lpwstr>
      </vt:variant>
      <vt:variant>
        <vt:lpwstr/>
      </vt:variant>
      <vt:variant>
        <vt:i4>6946921</vt:i4>
      </vt:variant>
      <vt:variant>
        <vt:i4>516</vt:i4>
      </vt:variant>
      <vt:variant>
        <vt:i4>0</vt:i4>
      </vt:variant>
      <vt:variant>
        <vt:i4>5</vt:i4>
      </vt:variant>
      <vt:variant>
        <vt:lpwstr>https://www.animalpolitico.com/2021/07/congreso-edomex-ley-trans-identidad/</vt:lpwstr>
      </vt:variant>
      <vt:variant>
        <vt:lpwstr/>
      </vt:variant>
      <vt:variant>
        <vt:i4>7143476</vt:i4>
      </vt:variant>
      <vt:variant>
        <vt:i4>513</vt:i4>
      </vt:variant>
      <vt:variant>
        <vt:i4>0</vt:i4>
      </vt:variant>
      <vt:variant>
        <vt:i4>5</vt:i4>
      </vt:variant>
      <vt:variant>
        <vt:lpwstr>https://heraldodemexico.com.mx/nacional/2021/6/29/bcs-aprueba-ley-trans-tipifica-como-delito-las-terapias-de-conversion-311334.html</vt:lpwstr>
      </vt:variant>
      <vt:variant>
        <vt:lpwstr/>
      </vt:variant>
      <vt:variant>
        <vt:i4>196689</vt:i4>
      </vt:variant>
      <vt:variant>
        <vt:i4>510</vt:i4>
      </vt:variant>
      <vt:variant>
        <vt:i4>0</vt:i4>
      </vt:variant>
      <vt:variant>
        <vt:i4>5</vt:i4>
      </vt:variant>
      <vt:variant>
        <vt:lpwstr>https://www.elfinanciero.com.mx/estados/congreso-de-puebla-aprueba-en-lo-general-ley-agnes-para-reconocer-identidad-de-genero-autopercibida/</vt:lpwstr>
      </vt:variant>
      <vt:variant>
        <vt:lpwstr/>
      </vt:variant>
      <vt:variant>
        <vt:i4>7602226</vt:i4>
      </vt:variant>
      <vt:variant>
        <vt:i4>507</vt:i4>
      </vt:variant>
      <vt:variant>
        <vt:i4>0</vt:i4>
      </vt:variant>
      <vt:variant>
        <vt:i4>5</vt:i4>
      </vt:variant>
      <vt:variant>
        <vt:lpwstr>https://www.infobae.com/america/mexico/2021/12/15/zacatecas-se-convirtio-en-el-estado-numero-25-en-reconocer-el-matrimonio-igualitario/</vt:lpwstr>
      </vt:variant>
      <vt:variant>
        <vt:lpwstr/>
      </vt:variant>
      <vt:variant>
        <vt:i4>1638468</vt:i4>
      </vt:variant>
      <vt:variant>
        <vt:i4>504</vt:i4>
      </vt:variant>
      <vt:variant>
        <vt:i4>0</vt:i4>
      </vt:variant>
      <vt:variant>
        <vt:i4>5</vt:i4>
      </vt:variant>
      <vt:variant>
        <vt:lpwstr>https://politica.expansion.mx/estados/2021/08/25/el-congreso-de-yucatan-aprueba-el-matrimonio-igualitario</vt:lpwstr>
      </vt:variant>
      <vt:variant>
        <vt:lpwstr/>
      </vt:variant>
      <vt:variant>
        <vt:i4>8323122</vt:i4>
      </vt:variant>
      <vt:variant>
        <vt:i4>501</vt:i4>
      </vt:variant>
      <vt:variant>
        <vt:i4>0</vt:i4>
      </vt:variant>
      <vt:variant>
        <vt:i4>5</vt:i4>
      </vt:variant>
      <vt:variant>
        <vt:lpwstr>https://politica.expansion.mx/estados/2021/09/23/el-congreso-de-sonora-le-dice-si-al-matrimonio-igualitario</vt:lpwstr>
      </vt:variant>
      <vt:variant>
        <vt:lpwstr/>
      </vt:variant>
      <vt:variant>
        <vt:i4>917515</vt:i4>
      </vt:variant>
      <vt:variant>
        <vt:i4>498</vt:i4>
      </vt:variant>
      <vt:variant>
        <vt:i4>0</vt:i4>
      </vt:variant>
      <vt:variant>
        <vt:i4>5</vt:i4>
      </vt:variant>
      <vt:variant>
        <vt:lpwstr>https://elpais.com/mexico/2021-09-23/el-conservador-estado-de-queretaro-aprueba-el-matrimonio-homosexual.html</vt:lpwstr>
      </vt:variant>
      <vt:variant>
        <vt:lpwstr/>
      </vt:variant>
      <vt:variant>
        <vt:i4>7209063</vt:i4>
      </vt:variant>
      <vt:variant>
        <vt:i4>495</vt:i4>
      </vt:variant>
      <vt:variant>
        <vt:i4>0</vt:i4>
      </vt:variant>
      <vt:variant>
        <vt:i4>5</vt:i4>
      </vt:variant>
      <vt:variant>
        <vt:lpwstr>https://www.animalpolitico.com/2021/06/baja-california-matrimonio-igualitario-congreso/</vt:lpwstr>
      </vt:variant>
      <vt:variant>
        <vt:lpwstr/>
      </vt:variant>
      <vt:variant>
        <vt:i4>655449</vt:i4>
      </vt:variant>
      <vt:variant>
        <vt:i4>492</vt:i4>
      </vt:variant>
      <vt:variant>
        <vt:i4>0</vt:i4>
      </vt:variant>
      <vt:variant>
        <vt:i4>5</vt:i4>
      </vt:variant>
      <vt:variant>
        <vt:lpwstr>https://www.congresosinaloa.gob.mx/comunicados/sinaloa-dice-si-al-matrimonio-igualitario-extiende-congreso-del-estado-matrimonio-y-concubinato-a-personas-del-mismo-sexo/</vt:lpwstr>
      </vt:variant>
      <vt:variant>
        <vt:lpwstr/>
      </vt:variant>
      <vt:variant>
        <vt:i4>6225997</vt:i4>
      </vt:variant>
      <vt:variant>
        <vt:i4>489</vt:i4>
      </vt:variant>
      <vt:variant>
        <vt:i4>0</vt:i4>
      </vt:variant>
      <vt:variant>
        <vt:i4>5</vt:i4>
      </vt:variant>
      <vt:variant>
        <vt:lpwstr>https://twitter.com/CIDH/status/1431265577419649029?s=20</vt:lpwstr>
      </vt:variant>
      <vt:variant>
        <vt:lpwstr/>
      </vt:variant>
      <vt:variant>
        <vt:i4>5505091</vt:i4>
      </vt:variant>
      <vt:variant>
        <vt:i4>486</vt:i4>
      </vt:variant>
      <vt:variant>
        <vt:i4>0</vt:i4>
      </vt:variant>
      <vt:variant>
        <vt:i4>5</vt:i4>
      </vt:variant>
      <vt:variant>
        <vt:lpwstr>https://twitter.com/CIDH/status/1441405408791334914?s=20</vt:lpwstr>
      </vt:variant>
      <vt:variant>
        <vt:lpwstr/>
      </vt:variant>
      <vt:variant>
        <vt:i4>7077926</vt:i4>
      </vt:variant>
      <vt:variant>
        <vt:i4>483</vt:i4>
      </vt:variant>
      <vt:variant>
        <vt:i4>0</vt:i4>
      </vt:variant>
      <vt:variant>
        <vt:i4>5</vt:i4>
      </vt:variant>
      <vt:variant>
        <vt:lpwstr>https://plumasatomicas.com/noticias/mexico/lgbt-muxes-fueron-golpeados-en-las-calles-de-oaxaca/</vt:lpwstr>
      </vt:variant>
      <vt:variant>
        <vt:lpwstr/>
      </vt:variant>
      <vt:variant>
        <vt:i4>6946854</vt:i4>
      </vt:variant>
      <vt:variant>
        <vt:i4>480</vt:i4>
      </vt:variant>
      <vt:variant>
        <vt:i4>0</vt:i4>
      </vt:variant>
      <vt:variant>
        <vt:i4>5</vt:i4>
      </vt:variant>
      <vt:variant>
        <vt:lpwstr>https://agenciapresentes.org/2021/09/23/atacan-a-comerciantes-lgbt-en-cdmx-nos-agredieron-a-palazos-y-con-navajas/</vt:lpwstr>
      </vt:variant>
      <vt:variant>
        <vt:lpwstr/>
      </vt:variant>
      <vt:variant>
        <vt:i4>65614</vt:i4>
      </vt:variant>
      <vt:variant>
        <vt:i4>477</vt:i4>
      </vt:variant>
      <vt:variant>
        <vt:i4>0</vt:i4>
      </vt:variant>
      <vt:variant>
        <vt:i4>5</vt:i4>
      </vt:variant>
      <vt:variant>
        <vt:lpwstr>https://elpopular.mx/comunidad/2021/09/23/comerciantes-agreden-con-palos-a-integrantes-de-la-comunidad-lgbt-que-trabajan-en-un-tianguis-disidente-de-la-cdmx</vt:lpwstr>
      </vt:variant>
      <vt:variant>
        <vt:lpwstr/>
      </vt:variant>
      <vt:variant>
        <vt:i4>3866675</vt:i4>
      </vt:variant>
      <vt:variant>
        <vt:i4>474</vt:i4>
      </vt:variant>
      <vt:variant>
        <vt:i4>0</vt:i4>
      </vt:variant>
      <vt:variant>
        <vt:i4>5</vt:i4>
      </vt:variant>
      <vt:variant>
        <vt:lpwstr>https://politica.expansion.mx/estados/2021/08/07/yucatan-fiscalia-indaga-el-posible-homicidio-de-un-joven-por-parte-de-policias</vt:lpwstr>
      </vt:variant>
      <vt:variant>
        <vt:lpwstr/>
      </vt:variant>
      <vt:variant>
        <vt:i4>2228325</vt:i4>
      </vt:variant>
      <vt:variant>
        <vt:i4>471</vt:i4>
      </vt:variant>
      <vt:variant>
        <vt:i4>0</vt:i4>
      </vt:variant>
      <vt:variant>
        <vt:i4>5</vt:i4>
      </vt:variant>
      <vt:variant>
        <vt:lpwstr>https://agenciapresentes.org/2021/10/25/otro-crimen-de-odio-en-veracruz-joven-chef-y-emprendedor-social-asesinado-de-20-punaladas/</vt:lpwstr>
      </vt:variant>
      <vt:variant>
        <vt:lpwstr/>
      </vt:variant>
      <vt:variant>
        <vt:i4>6160391</vt:i4>
      </vt:variant>
      <vt:variant>
        <vt:i4>468</vt:i4>
      </vt:variant>
      <vt:variant>
        <vt:i4>0</vt:i4>
      </vt:variant>
      <vt:variant>
        <vt:i4>5</vt:i4>
      </vt:variant>
      <vt:variant>
        <vt:lpwstr>https://agenciapresentes.org/2021/06/14/crimen-de-odio-a-joven-que-vivia-con-vih-los-activismos-mexicanos-alzan-la-voz-y-exigen-justicia/</vt:lpwstr>
      </vt:variant>
      <vt:variant>
        <vt:lpwstr/>
      </vt:variant>
      <vt:variant>
        <vt:i4>8061051</vt:i4>
      </vt:variant>
      <vt:variant>
        <vt:i4>465</vt:i4>
      </vt:variant>
      <vt:variant>
        <vt:i4>0</vt:i4>
      </vt:variant>
      <vt:variant>
        <vt:i4>5</vt:i4>
      </vt:variant>
      <vt:variant>
        <vt:lpwstr>https://www.elsoldepuebla.com.mx/local/por-crimenes-de-odio-en-puebla-comunidad-lgbt-exige-remocion-de-funcionaria-7034942.html</vt:lpwstr>
      </vt:variant>
      <vt:variant>
        <vt:lpwstr/>
      </vt:variant>
      <vt:variant>
        <vt:i4>2359358</vt:i4>
      </vt:variant>
      <vt:variant>
        <vt:i4>462</vt:i4>
      </vt:variant>
      <vt:variant>
        <vt:i4>0</vt:i4>
      </vt:variant>
      <vt:variant>
        <vt:i4>5</vt:i4>
      </vt:variant>
      <vt:variant>
        <vt:lpwstr>http://udgtv.com/noticias/asesinan-cinco-mujeres-trans-mes-mexico-dos-salto-tonala/</vt:lpwstr>
      </vt:variant>
      <vt:variant>
        <vt:lpwstr/>
      </vt:variant>
      <vt:variant>
        <vt:i4>3145828</vt:i4>
      </vt:variant>
      <vt:variant>
        <vt:i4>459</vt:i4>
      </vt:variant>
      <vt:variant>
        <vt:i4>0</vt:i4>
      </vt:variant>
      <vt:variant>
        <vt:i4>5</vt:i4>
      </vt:variant>
      <vt:variant>
        <vt:lpwstr>https://agenciapresentes.org/2021/09/09/asesinan-a-dos-activistas-trans-en-mexico-sus-comunidades-exigen-justicia-en-medio-de-la-violencia/</vt:lpwstr>
      </vt:variant>
      <vt:variant>
        <vt:lpwstr/>
      </vt:variant>
      <vt:variant>
        <vt:i4>3145828</vt:i4>
      </vt:variant>
      <vt:variant>
        <vt:i4>456</vt:i4>
      </vt:variant>
      <vt:variant>
        <vt:i4>0</vt:i4>
      </vt:variant>
      <vt:variant>
        <vt:i4>5</vt:i4>
      </vt:variant>
      <vt:variant>
        <vt:lpwstr>https://agenciapresentes.org/2021/09/09/asesinan-a-dos-activistas-trans-en-mexico-sus-comunidades-exigen-justicia-en-medio-de-la-violencia/</vt:lpwstr>
      </vt:variant>
      <vt:variant>
        <vt:lpwstr/>
      </vt:variant>
      <vt:variant>
        <vt:i4>5767260</vt:i4>
      </vt:variant>
      <vt:variant>
        <vt:i4>453</vt:i4>
      </vt:variant>
      <vt:variant>
        <vt:i4>0</vt:i4>
      </vt:variant>
      <vt:variant>
        <vt:i4>5</vt:i4>
      </vt:variant>
      <vt:variant>
        <vt:lpwstr>https://agenciapresentes.org/2021/07/06/transfeminicidio-en-cdmx-ivonne-fue-asesinada-en-su-estetica/</vt:lpwstr>
      </vt:variant>
      <vt:variant>
        <vt:lpwstr/>
      </vt:variant>
      <vt:variant>
        <vt:i4>2555963</vt:i4>
      </vt:variant>
      <vt:variant>
        <vt:i4>450</vt:i4>
      </vt:variant>
      <vt:variant>
        <vt:i4>0</vt:i4>
      </vt:variant>
      <vt:variant>
        <vt:i4>5</vt:i4>
      </vt:variant>
      <vt:variant>
        <vt:lpwstr>https://agenciapresentes.org/2021/07/09/transfeminicidio-en-colima-valeria-fue-asesinada-en-su-casa-y-tenia-signos-de-tortura/</vt:lpwstr>
      </vt:variant>
      <vt:variant>
        <vt:lpwstr/>
      </vt:variant>
      <vt:variant>
        <vt:i4>1769503</vt:i4>
      </vt:variant>
      <vt:variant>
        <vt:i4>447</vt:i4>
      </vt:variant>
      <vt:variant>
        <vt:i4>0</vt:i4>
      </vt:variant>
      <vt:variant>
        <vt:i4>5</vt:i4>
      </vt:variant>
      <vt:variant>
        <vt:lpwstr>https://www.animalpolitico.com/2021/07/matan-tres-mujeres-trans-una-semana-valeria-kendra-ivonne/</vt:lpwstr>
      </vt:variant>
      <vt:variant>
        <vt:lpwstr/>
      </vt:variant>
      <vt:variant>
        <vt:i4>393234</vt:i4>
      </vt:variant>
      <vt:variant>
        <vt:i4>444</vt:i4>
      </vt:variant>
      <vt:variant>
        <vt:i4>0</vt:i4>
      </vt:variant>
      <vt:variant>
        <vt:i4>5</vt:i4>
      </vt:variant>
      <vt:variant>
        <vt:lpwstr>https://agenciapresentes.org/2021/11/26/mujeres-trans-en-ensenada-le-temen-a-transfeminicidas-libres/</vt:lpwstr>
      </vt:variant>
      <vt:variant>
        <vt:lpwstr/>
      </vt:variant>
      <vt:variant>
        <vt:i4>5963807</vt:i4>
      </vt:variant>
      <vt:variant>
        <vt:i4>441</vt:i4>
      </vt:variant>
      <vt:variant>
        <vt:i4>0</vt:i4>
      </vt:variant>
      <vt:variant>
        <vt:i4>5</vt:i4>
      </vt:variant>
      <vt:variant>
        <vt:lpwstr>https://www.elimparcial.com/tijuana/ensenada/Comunidad-LGBT-exige-justicia-para-Tita--20211105-0022.html</vt:lpwstr>
      </vt:variant>
      <vt:variant>
        <vt:lpwstr/>
      </vt:variant>
      <vt:variant>
        <vt:i4>393234</vt:i4>
      </vt:variant>
      <vt:variant>
        <vt:i4>438</vt:i4>
      </vt:variant>
      <vt:variant>
        <vt:i4>0</vt:i4>
      </vt:variant>
      <vt:variant>
        <vt:i4>5</vt:i4>
      </vt:variant>
      <vt:variant>
        <vt:lpwstr>https://agenciapresentes.org/2021/11/26/mujeres-trans-en-ensenada-le-temen-a-transfeminicidas-libres/</vt:lpwstr>
      </vt:variant>
      <vt:variant>
        <vt:lpwstr/>
      </vt:variant>
      <vt:variant>
        <vt:i4>5636178</vt:i4>
      </vt:variant>
      <vt:variant>
        <vt:i4>435</vt:i4>
      </vt:variant>
      <vt:variant>
        <vt:i4>0</vt:i4>
      </vt:variant>
      <vt:variant>
        <vt:i4>5</vt:i4>
      </vt:variant>
      <vt:variant>
        <vt:lpwstr>https://www.elimparcial.com/tijuana/policiaca/En-Hacienda-los-Laureles-se-encuentra-sin-vida-a-Kendra-Medina-Mujer-Trans--20210708-0030.html</vt:lpwstr>
      </vt:variant>
      <vt:variant>
        <vt:lpwstr/>
      </vt:variant>
      <vt:variant>
        <vt:i4>8257574</vt:i4>
      </vt:variant>
      <vt:variant>
        <vt:i4>432</vt:i4>
      </vt:variant>
      <vt:variant>
        <vt:i4>0</vt:i4>
      </vt:variant>
      <vt:variant>
        <vt:i4>5</vt:i4>
      </vt:variant>
      <vt:variant>
        <vt:lpwstr>https://agenciapresentes.org/2021/07/26/en-mexico-exigen-justicia-por-transfeminicidios-de-aline-y-fabiola/</vt:lpwstr>
      </vt:variant>
      <vt:variant>
        <vt:lpwstr/>
      </vt:variant>
      <vt:variant>
        <vt:i4>852048</vt:i4>
      </vt:variant>
      <vt:variant>
        <vt:i4>429</vt:i4>
      </vt:variant>
      <vt:variant>
        <vt:i4>0</vt:i4>
      </vt:variant>
      <vt:variant>
        <vt:i4>5</vt:i4>
      </vt:variant>
      <vt:variant>
        <vt:lpwstr>https://agenciapresentes.org/2021/07/13/seis-transfemicidios-en-12-dias-en-mexico-una-trans-asesinada-cada-48-horas/</vt:lpwstr>
      </vt:variant>
      <vt:variant>
        <vt:lpwstr/>
      </vt:variant>
      <vt:variant>
        <vt:i4>1507332</vt:i4>
      </vt:variant>
      <vt:variant>
        <vt:i4>426</vt:i4>
      </vt:variant>
      <vt:variant>
        <vt:i4>0</vt:i4>
      </vt:variant>
      <vt:variant>
        <vt:i4>5</vt:i4>
      </vt:variant>
      <vt:variant>
        <vt:lpwstr>http://www.fundacionarcoiris.org.mx/agresiones/panel</vt:lpwstr>
      </vt:variant>
      <vt:variant>
        <vt:lpwstr/>
      </vt:variant>
      <vt:variant>
        <vt:i4>4194380</vt:i4>
      </vt:variant>
      <vt:variant>
        <vt:i4>423</vt:i4>
      </vt:variant>
      <vt:variant>
        <vt:i4>0</vt:i4>
      </vt:variant>
      <vt:variant>
        <vt:i4>5</vt:i4>
      </vt:variant>
      <vt:variant>
        <vt:lpwstr>https://visible.lgbt/</vt:lpwstr>
      </vt:variant>
      <vt:variant>
        <vt:lpwstr/>
      </vt:variant>
      <vt:variant>
        <vt:i4>6357101</vt:i4>
      </vt:variant>
      <vt:variant>
        <vt:i4>417</vt:i4>
      </vt:variant>
      <vt:variant>
        <vt:i4>0</vt:i4>
      </vt:variant>
      <vt:variant>
        <vt:i4>5</vt:i4>
      </vt:variant>
      <vt:variant>
        <vt:lpwstr>https://estamosaqui.mx/2021/09/04/crimenes-de-odio-se-castigaran-en-quintana-roo-congreso-aprueba-reformas-a-codigo-penal/</vt:lpwstr>
      </vt:variant>
      <vt:variant>
        <vt:lpwstr/>
      </vt:variant>
      <vt:variant>
        <vt:i4>6619249</vt:i4>
      </vt:variant>
      <vt:variant>
        <vt:i4>414</vt:i4>
      </vt:variant>
      <vt:variant>
        <vt:i4>0</vt:i4>
      </vt:variant>
      <vt:variant>
        <vt:i4>5</vt:i4>
      </vt:variant>
      <vt:variant>
        <vt:lpwstr>https://www.gob.mx/fgr/es/articulos/protocolo-nacional-de-actuacion-lgbti-para-garantizar-una-justicia-incluyente?idiom=es</vt:lpwstr>
      </vt:variant>
      <vt:variant>
        <vt:lpwstr/>
      </vt:variant>
      <vt:variant>
        <vt:i4>4259955</vt:i4>
      </vt:variant>
      <vt:variant>
        <vt:i4>411</vt:i4>
      </vt:variant>
      <vt:variant>
        <vt:i4>0</vt:i4>
      </vt:variant>
      <vt:variant>
        <vt:i4>5</vt:i4>
      </vt:variant>
      <vt:variant>
        <vt:lpwstr>https://www.corteidh.or.cr/docs/supervisiones/cabreragarciaymontiel_24_06_20.pdf</vt:lpwstr>
      </vt:variant>
      <vt:variant>
        <vt:lpwstr/>
      </vt:variant>
      <vt:variant>
        <vt:i4>3735562</vt:i4>
      </vt:variant>
      <vt:variant>
        <vt:i4>408</vt:i4>
      </vt:variant>
      <vt:variant>
        <vt:i4>0</vt:i4>
      </vt:variant>
      <vt:variant>
        <vt:i4>5</vt:i4>
      </vt:variant>
      <vt:variant>
        <vt:lpwstr>https://www.corteidh.or.cr/docs/supervisiones/radilla_17_04_15.pdf</vt:lpwstr>
      </vt:variant>
      <vt:variant>
        <vt:lpwstr/>
      </vt:variant>
      <vt:variant>
        <vt:i4>6226006</vt:i4>
      </vt:variant>
      <vt:variant>
        <vt:i4>405</vt:i4>
      </vt:variant>
      <vt:variant>
        <vt:i4>0</vt:i4>
      </vt:variant>
      <vt:variant>
        <vt:i4>5</vt:i4>
      </vt:variant>
      <vt:variant>
        <vt:lpwstr>http://www.oas.org/es/cidh/docs/anual/2017/docs/IA2017cap.5MX-es.pdf</vt:lpwstr>
      </vt:variant>
      <vt:variant>
        <vt:lpwstr/>
      </vt:variant>
      <vt:variant>
        <vt:i4>3539063</vt:i4>
      </vt:variant>
      <vt:variant>
        <vt:i4>402</vt:i4>
      </vt:variant>
      <vt:variant>
        <vt:i4>0</vt:i4>
      </vt:variant>
      <vt:variant>
        <vt:i4>5</vt:i4>
      </vt:variant>
      <vt:variant>
        <vt:lpwstr>http://www.oas.org/es/cidh/docs/anual/2019/docs/IA2019cap5MX-es.pdf</vt:lpwstr>
      </vt:variant>
      <vt:variant>
        <vt:lpwstr/>
      </vt:variant>
      <vt:variant>
        <vt:i4>6750316</vt:i4>
      </vt:variant>
      <vt:variant>
        <vt:i4>399</vt:i4>
      </vt:variant>
      <vt:variant>
        <vt:i4>0</vt:i4>
      </vt:variant>
      <vt:variant>
        <vt:i4>5</vt:i4>
      </vt:variant>
      <vt:variant>
        <vt:lpwstr>https://www.oas.org/es/cidh/docs/anual/2020/capitulos/IA2020cap5.MX-es.pdf</vt:lpwstr>
      </vt:variant>
      <vt:variant>
        <vt:lpwstr/>
      </vt:variant>
      <vt:variant>
        <vt:i4>2228338</vt:i4>
      </vt:variant>
      <vt:variant>
        <vt:i4>396</vt:i4>
      </vt:variant>
      <vt:variant>
        <vt:i4>0</vt:i4>
      </vt:variant>
      <vt:variant>
        <vt:i4>5</vt:i4>
      </vt:variant>
      <vt:variant>
        <vt:lpwstr>https://www.excelsior.com.mx/nacional/mecanismo-de-proteccion-a-periodistas-esta-rebasado-y-es-insuficiente-encinas/1485544</vt:lpwstr>
      </vt:variant>
      <vt:variant>
        <vt:lpwstr/>
      </vt:variant>
      <vt:variant>
        <vt:i4>6881376</vt:i4>
      </vt:variant>
      <vt:variant>
        <vt:i4>393</vt:i4>
      </vt:variant>
      <vt:variant>
        <vt:i4>0</vt:i4>
      </vt:variant>
      <vt:variant>
        <vt:i4>5</vt:i4>
      </vt:variant>
      <vt:variant>
        <vt:lpwstr>https://www.gob.mx/segob/prensa/se-crea-comision-para-acceso-a-la-verdad-y-justicia-por-violaciones-graves-a-derechos-humanos-durante-guerra-sucia?idiom=es</vt:lpwstr>
      </vt:variant>
      <vt:variant>
        <vt:lpwstr/>
      </vt:variant>
      <vt:variant>
        <vt:i4>5111884</vt:i4>
      </vt:variant>
      <vt:variant>
        <vt:i4>390</vt:i4>
      </vt:variant>
      <vt:variant>
        <vt:i4>0</vt:i4>
      </vt:variant>
      <vt:variant>
        <vt:i4>5</vt:i4>
      </vt:variant>
      <vt:variant>
        <vt:lpwstr>https://www.animalpolitico.com/justicia-transicional-en-mexico/el-mecanismo-extraordinario-para-la-guerra-sucia-luces-y-sombras/</vt:lpwstr>
      </vt:variant>
      <vt:variant>
        <vt:lpwstr/>
      </vt:variant>
      <vt:variant>
        <vt:i4>5046384</vt:i4>
      </vt:variant>
      <vt:variant>
        <vt:i4>387</vt:i4>
      </vt:variant>
      <vt:variant>
        <vt:i4>0</vt:i4>
      </vt:variant>
      <vt:variant>
        <vt:i4>5</vt:i4>
      </vt:variant>
      <vt:variant>
        <vt:lpwstr>https://www.dof.gob.mx/nota_detalle.php?codigo=5631865&amp;fecha=06/10/2021</vt:lpwstr>
      </vt:variant>
      <vt:variant>
        <vt:lpwstr/>
      </vt:variant>
      <vt:variant>
        <vt:i4>1179652</vt:i4>
      </vt:variant>
      <vt:variant>
        <vt:i4>384</vt:i4>
      </vt:variant>
      <vt:variant>
        <vt:i4>0</vt:i4>
      </vt:variant>
      <vt:variant>
        <vt:i4>5</vt:i4>
      </vt:variant>
      <vt:variant>
        <vt:lpwstr>http://comunicacion.senado.gob.mx/index.php/informacion/boletines/50271-proponen-aumentar-requisitos-para-presidir-la-ceav.html</vt:lpwstr>
      </vt:variant>
      <vt:variant>
        <vt:lpwstr>:~:text=Carlos%20Andr%C3%A9s%20V%C3%A1zquez%20Murillo%20fue,como%20encargada%20de%20la%20Comisi%C3%B3n.</vt:lpwstr>
      </vt:variant>
      <vt:variant>
        <vt:i4>3997738</vt:i4>
      </vt:variant>
      <vt:variant>
        <vt:i4>381</vt:i4>
      </vt:variant>
      <vt:variant>
        <vt:i4>0</vt:i4>
      </vt:variant>
      <vt:variant>
        <vt:i4>5</vt:i4>
      </vt:variant>
      <vt:variant>
        <vt:lpwstr>https://www.jornada.com.mx/notas/2021/10/03/politica/colectivos-y-familiares-urgen-al-senado-a-que-nombre-titular-de-ceav/</vt:lpwstr>
      </vt:variant>
      <vt:variant>
        <vt:lpwstr/>
      </vt:variant>
      <vt:variant>
        <vt:i4>7798835</vt:i4>
      </vt:variant>
      <vt:variant>
        <vt:i4>378</vt:i4>
      </vt:variant>
      <vt:variant>
        <vt:i4>0</vt:i4>
      </vt:variant>
      <vt:variant>
        <vt:i4>5</vt:i4>
      </vt:variant>
      <vt:variant>
        <vt:lpwstr>https://www.animalpolitico.com/2021/12/ceav-2022-deficit-peligran-pagos-contrataciones/</vt:lpwstr>
      </vt:variant>
      <vt:variant>
        <vt:lpwstr/>
      </vt:variant>
      <vt:variant>
        <vt:i4>4063295</vt:i4>
      </vt:variant>
      <vt:variant>
        <vt:i4>375</vt:i4>
      </vt:variant>
      <vt:variant>
        <vt:i4>0</vt:i4>
      </vt:variant>
      <vt:variant>
        <vt:i4>5</vt:i4>
      </vt:variant>
      <vt:variant>
        <vt:lpwstr>https://www.milenio.com/policia/uriel-villegas-ortiz-jueces-magistrados-ven-impunidad-asesinato</vt:lpwstr>
      </vt:variant>
      <vt:variant>
        <vt:lpwstr/>
      </vt:variant>
      <vt:variant>
        <vt:i4>1441818</vt:i4>
      </vt:variant>
      <vt:variant>
        <vt:i4>372</vt:i4>
      </vt:variant>
      <vt:variant>
        <vt:i4>0</vt:i4>
      </vt:variant>
      <vt:variant>
        <vt:i4>5</vt:i4>
      </vt:variant>
      <vt:variant>
        <vt:lpwstr>http://www.oas.org/es/CIDH/informes/IA.asp?Year=2020</vt:lpwstr>
      </vt:variant>
      <vt:variant>
        <vt:lpwstr/>
      </vt:variant>
      <vt:variant>
        <vt:i4>4784222</vt:i4>
      </vt:variant>
      <vt:variant>
        <vt:i4>369</vt:i4>
      </vt:variant>
      <vt:variant>
        <vt:i4>0</vt:i4>
      </vt:variant>
      <vt:variant>
        <vt:i4>5</vt:i4>
      </vt:variant>
      <vt:variant>
        <vt:lpwstr>https://poderlatam.org/2021/11/los-expedientes-ocultos-de-la-fgr-sobre-el-caso-odebrecht-son-solo-seis-contratos/</vt:lpwstr>
      </vt:variant>
      <vt:variant>
        <vt:lpwstr/>
      </vt:variant>
      <vt:variant>
        <vt:i4>2293810</vt:i4>
      </vt:variant>
      <vt:variant>
        <vt:i4>366</vt:i4>
      </vt:variant>
      <vt:variant>
        <vt:i4>0</vt:i4>
      </vt:variant>
      <vt:variant>
        <vt:i4>5</vt:i4>
      </vt:variant>
      <vt:variant>
        <vt:lpwstr>https://www.milenio.com/policia/masacre-san-fernando-acusan-investigacion-3-mujeres</vt:lpwstr>
      </vt:variant>
      <vt:variant>
        <vt:lpwstr/>
      </vt:variant>
      <vt:variant>
        <vt:i4>6291515</vt:i4>
      </vt:variant>
      <vt:variant>
        <vt:i4>363</vt:i4>
      </vt:variant>
      <vt:variant>
        <vt:i4>0</vt:i4>
      </vt:variant>
      <vt:variant>
        <vt:i4>5</vt:i4>
      </vt:variant>
      <vt:variant>
        <vt:lpwstr>https://twitter.com/cidh/status/1400139116340260866</vt:lpwstr>
      </vt:variant>
      <vt:variant>
        <vt:lpwstr/>
      </vt:variant>
      <vt:variant>
        <vt:i4>7995491</vt:i4>
      </vt:variant>
      <vt:variant>
        <vt:i4>360</vt:i4>
      </vt:variant>
      <vt:variant>
        <vt:i4>0</vt:i4>
      </vt:variant>
      <vt:variant>
        <vt:i4>5</vt:i4>
      </vt:variant>
      <vt:variant>
        <vt:lpwstr>https://www.eleconomista.com.mx/opinion/El-Inai-permitio-la-vigilancia-telefonica-tres-investigadoras-de-la-masacre-de-San-Fernando-fueron-espiadas-20211205-0002.html</vt:lpwstr>
      </vt:variant>
      <vt:variant>
        <vt:lpwstr/>
      </vt:variant>
      <vt:variant>
        <vt:i4>65605</vt:i4>
      </vt:variant>
      <vt:variant>
        <vt:i4>357</vt:i4>
      </vt:variant>
      <vt:variant>
        <vt:i4>0</vt:i4>
      </vt:variant>
      <vt:variant>
        <vt:i4>5</vt:i4>
      </vt:variant>
      <vt:variant>
        <vt:lpwstr>https://la-lista.com/derechos-humanos/2021/12/06/violencia-y-corrupcion-hacen-que-personas-sigan-desapareciendo-en-mexico-encinas</vt:lpwstr>
      </vt:variant>
      <vt:variant>
        <vt:lpwstr/>
      </vt:variant>
      <vt:variant>
        <vt:i4>16</vt:i4>
      </vt:variant>
      <vt:variant>
        <vt:i4>354</vt:i4>
      </vt:variant>
      <vt:variant>
        <vt:i4>0</vt:i4>
      </vt:variant>
      <vt:variant>
        <vt:i4>5</vt:i4>
      </vt:variant>
      <vt:variant>
        <vt:lpwstr>https://www.proceso.com.mx/nacional/2021/11/25/onu-dh-condena-persecucion-de-estado-contra-marcela-turati-ana-lorena-delgadillo-mercedes-doretti-276460.html</vt:lpwstr>
      </vt:variant>
      <vt:variant>
        <vt:lpwstr/>
      </vt:variant>
      <vt:variant>
        <vt:i4>6225997</vt:i4>
      </vt:variant>
      <vt:variant>
        <vt:i4>351</vt:i4>
      </vt:variant>
      <vt:variant>
        <vt:i4>0</vt:i4>
      </vt:variant>
      <vt:variant>
        <vt:i4>5</vt:i4>
      </vt:variant>
      <vt:variant>
        <vt:lpwstr>https://twitter.com/CIDH/status/1458462923702128643?s=20</vt:lpwstr>
      </vt:variant>
      <vt:variant>
        <vt:lpwstr/>
      </vt:variant>
      <vt:variant>
        <vt:i4>1900623</vt:i4>
      </vt:variant>
      <vt:variant>
        <vt:i4>348</vt:i4>
      </vt:variant>
      <vt:variant>
        <vt:i4>0</vt:i4>
      </vt:variant>
      <vt:variant>
        <vt:i4>5</vt:i4>
      </vt:variant>
      <vt:variant>
        <vt:lpwstr>https://www.facebook.com/1553993178067600/videos/1081983472572564</vt:lpwstr>
      </vt:variant>
      <vt:variant>
        <vt:lpwstr/>
      </vt:variant>
      <vt:variant>
        <vt:i4>7995494</vt:i4>
      </vt:variant>
      <vt:variant>
        <vt:i4>345</vt:i4>
      </vt:variant>
      <vt:variant>
        <vt:i4>0</vt:i4>
      </vt:variant>
      <vt:variant>
        <vt:i4>5</vt:i4>
      </vt:variant>
      <vt:variant>
        <vt:lpwstr>https://www.gob.mx/segob/prensa/218336</vt:lpwstr>
      </vt:variant>
      <vt:variant>
        <vt:lpwstr/>
      </vt:variant>
      <vt:variant>
        <vt:i4>6881397</vt:i4>
      </vt:variant>
      <vt:variant>
        <vt:i4>342</vt:i4>
      </vt:variant>
      <vt:variant>
        <vt:i4>0</vt:i4>
      </vt:variant>
      <vt:variant>
        <vt:i4>5</vt:i4>
      </vt:variant>
      <vt:variant>
        <vt:lpwstr>http://www.oas.org/es/cidh/informes/pdfs/Mexico2016-es.pdf</vt:lpwstr>
      </vt:variant>
      <vt:variant>
        <vt:lpwstr/>
      </vt:variant>
      <vt:variant>
        <vt:i4>983114</vt:i4>
      </vt:variant>
      <vt:variant>
        <vt:i4>339</vt:i4>
      </vt:variant>
      <vt:variant>
        <vt:i4>0</vt:i4>
      </vt:variant>
      <vt:variant>
        <vt:i4>5</vt:i4>
      </vt:variant>
      <vt:variant>
        <vt:lpwstr>https://movndmx.org/mas-de-52-mil-personas-fallecidas-sin-identificar-en-mexico/</vt:lpwstr>
      </vt:variant>
      <vt:variant>
        <vt:lpwstr/>
      </vt:variant>
      <vt:variant>
        <vt:i4>1310727</vt:i4>
      </vt:variant>
      <vt:variant>
        <vt:i4>336</vt:i4>
      </vt:variant>
      <vt:variant>
        <vt:i4>0</vt:i4>
      </vt:variant>
      <vt:variant>
        <vt:i4>5</vt:i4>
      </vt:variant>
      <vt:variant>
        <vt:lpwstr>https://www.excelsior.com.mx/nacional/senado-hara-sugerencias-en-materia-de-seguridad-publica-se-reunira-con-el-gabinete/1485021</vt:lpwstr>
      </vt:variant>
      <vt:variant>
        <vt:lpwstr/>
      </vt:variant>
      <vt:variant>
        <vt:i4>7208995</vt:i4>
      </vt:variant>
      <vt:variant>
        <vt:i4>333</vt:i4>
      </vt:variant>
      <vt:variant>
        <vt:i4>0</vt:i4>
      </vt:variant>
      <vt:variant>
        <vt:i4>5</vt:i4>
      </vt:variant>
      <vt:variant>
        <vt:lpwstr>https://www.diariojuridico.com/mexico-registro-nacional-del-delito-de-tortura/</vt:lpwstr>
      </vt:variant>
      <vt:variant>
        <vt:lpwstr/>
      </vt:variant>
      <vt:variant>
        <vt:i4>1638488</vt:i4>
      </vt:variant>
      <vt:variant>
        <vt:i4>330</vt:i4>
      </vt:variant>
      <vt:variant>
        <vt:i4>0</vt:i4>
      </vt:variant>
      <vt:variant>
        <vt:i4>5</vt:i4>
      </vt:variant>
      <vt:variant>
        <vt:lpwstr>https://www.onu.org.mx/el-estado-debe-garantizar-el-derecho-a-la-verdad-sobre-la-incidencia-de-la-tortura-onu-dh/</vt:lpwstr>
      </vt:variant>
      <vt:variant>
        <vt:lpwstr/>
      </vt:variant>
      <vt:variant>
        <vt:i4>2818166</vt:i4>
      </vt:variant>
      <vt:variant>
        <vt:i4>327</vt:i4>
      </vt:variant>
      <vt:variant>
        <vt:i4>0</vt:i4>
      </vt:variant>
      <vt:variant>
        <vt:i4>5</vt:i4>
      </vt:variant>
      <vt:variant>
        <vt:lpwstr>https://www.inegi.org.mx/contenidos/programas/enpol/2021/doc/enpol2021_presentacion_nacional.pdf</vt:lpwstr>
      </vt:variant>
      <vt:variant>
        <vt:lpwstr/>
      </vt:variant>
      <vt:variant>
        <vt:i4>7733264</vt:i4>
      </vt:variant>
      <vt:variant>
        <vt:i4>324</vt:i4>
      </vt:variant>
      <vt:variant>
        <vt:i4>0</vt:i4>
      </vt:variant>
      <vt:variant>
        <vt:i4>5</vt:i4>
      </vt:variant>
      <vt:variant>
        <vt:lpwstr>https://www.facebook.com/watch/live/?ref=watch_permalink&amp;v=821229925367532</vt:lpwstr>
      </vt:variant>
      <vt:variant>
        <vt:lpwstr/>
      </vt:variant>
      <vt:variant>
        <vt:i4>2818166</vt:i4>
      </vt:variant>
      <vt:variant>
        <vt:i4>321</vt:i4>
      </vt:variant>
      <vt:variant>
        <vt:i4>0</vt:i4>
      </vt:variant>
      <vt:variant>
        <vt:i4>5</vt:i4>
      </vt:variant>
      <vt:variant>
        <vt:lpwstr>https://www.inegi.org.mx/contenidos/programas/enpol/2021/doc/enpol2021_presentacion_nacional.pdf</vt:lpwstr>
      </vt:variant>
      <vt:variant>
        <vt:lpwstr/>
      </vt:variant>
      <vt:variant>
        <vt:i4>7929970</vt:i4>
      </vt:variant>
      <vt:variant>
        <vt:i4>318</vt:i4>
      </vt:variant>
      <vt:variant>
        <vt:i4>0</vt:i4>
      </vt:variant>
      <vt:variant>
        <vt:i4>5</vt:i4>
      </vt:variant>
      <vt:variant>
        <vt:lpwstr>https://www.omct.org/site-resources/legacy/Informe-Tortura-y-Covid-19_Mexico_2021.pdf</vt:lpwstr>
      </vt:variant>
      <vt:variant>
        <vt:lpwstr/>
      </vt:variant>
      <vt:variant>
        <vt:i4>458777</vt:i4>
      </vt:variant>
      <vt:variant>
        <vt:i4>315</vt:i4>
      </vt:variant>
      <vt:variant>
        <vt:i4>0</vt:i4>
      </vt:variant>
      <vt:variant>
        <vt:i4>5</vt:i4>
      </vt:variant>
      <vt:variant>
        <vt:lpwstr>http://www.oas.org/es/cidh/docs/anual/2020/capitulos/IA2020cap5.MX-es.pdf</vt:lpwstr>
      </vt:variant>
      <vt:variant>
        <vt:lpwstr/>
      </vt:variant>
      <vt:variant>
        <vt:i4>3997740</vt:i4>
      </vt:variant>
      <vt:variant>
        <vt:i4>312</vt:i4>
      </vt:variant>
      <vt:variant>
        <vt:i4>0</vt:i4>
      </vt:variant>
      <vt:variant>
        <vt:i4>5</vt:i4>
      </vt:variant>
      <vt:variant>
        <vt:lpwstr>https://www.cndh.org.mx/documento/accion-de-inconstitucionalidad-632019</vt:lpwstr>
      </vt:variant>
      <vt:variant>
        <vt:lpwstr/>
      </vt:variant>
      <vt:variant>
        <vt:i4>852037</vt:i4>
      </vt:variant>
      <vt:variant>
        <vt:i4>309</vt:i4>
      </vt:variant>
      <vt:variant>
        <vt:i4>0</vt:i4>
      </vt:variant>
      <vt:variant>
        <vt:i4>5</vt:i4>
      </vt:variant>
      <vt:variant>
        <vt:lpwstr>https://slp.gob.mx/sitionuevo/Paginas/Noticias/2021/ABRIL 2021/240421/SECESP-fortalece-la-capacitaci%C3%B3n-sobre-el-Registro-Nacional-de-Detenciones-en-SLP.aspx</vt:lpwstr>
      </vt:variant>
      <vt:variant>
        <vt:lpwstr/>
      </vt:variant>
      <vt:variant>
        <vt:i4>1966080</vt:i4>
      </vt:variant>
      <vt:variant>
        <vt:i4>306</vt:i4>
      </vt:variant>
      <vt:variant>
        <vt:i4>0</vt:i4>
      </vt:variant>
      <vt:variant>
        <vt:i4>5</vt:i4>
      </vt:variant>
      <vt:variant>
        <vt:lpwstr>https://consultasdetenciones.sspc.gob.mx/</vt:lpwstr>
      </vt:variant>
      <vt:variant>
        <vt:lpwstr/>
      </vt:variant>
      <vt:variant>
        <vt:i4>786448</vt:i4>
      </vt:variant>
      <vt:variant>
        <vt:i4>303</vt:i4>
      </vt:variant>
      <vt:variant>
        <vt:i4>0</vt:i4>
      </vt:variant>
      <vt:variant>
        <vt:i4>5</vt:i4>
      </vt:variant>
      <vt:variant>
        <vt:lpwstr>https://www.gob.mx/sspc/prensa/el-primero-de-abril-inicia-registro-nacional-de-detenciones-por-faltas-administrativas-268290?idiom=es</vt:lpwstr>
      </vt:variant>
      <vt:variant>
        <vt:lpwstr/>
      </vt:variant>
      <vt:variant>
        <vt:i4>458777</vt:i4>
      </vt:variant>
      <vt:variant>
        <vt:i4>300</vt:i4>
      </vt:variant>
      <vt:variant>
        <vt:i4>0</vt:i4>
      </vt:variant>
      <vt:variant>
        <vt:i4>5</vt:i4>
      </vt:variant>
      <vt:variant>
        <vt:lpwstr>http://www.oas.org/es/cidh/docs/anual/2020/capitulos/IA2020cap5.MX-es.pdf</vt:lpwstr>
      </vt:variant>
      <vt:variant>
        <vt:lpwstr/>
      </vt:variant>
      <vt:variant>
        <vt:i4>458777</vt:i4>
      </vt:variant>
      <vt:variant>
        <vt:i4>297</vt:i4>
      </vt:variant>
      <vt:variant>
        <vt:i4>0</vt:i4>
      </vt:variant>
      <vt:variant>
        <vt:i4>5</vt:i4>
      </vt:variant>
      <vt:variant>
        <vt:lpwstr>http://www.oas.org/es/cidh/docs/anual/2020/capitulos/IA2020cap5.MX-es.pdf</vt:lpwstr>
      </vt:variant>
      <vt:variant>
        <vt:lpwstr/>
      </vt:variant>
      <vt:variant>
        <vt:i4>7929970</vt:i4>
      </vt:variant>
      <vt:variant>
        <vt:i4>294</vt:i4>
      </vt:variant>
      <vt:variant>
        <vt:i4>0</vt:i4>
      </vt:variant>
      <vt:variant>
        <vt:i4>5</vt:i4>
      </vt:variant>
      <vt:variant>
        <vt:lpwstr>https://www.omct.org/site-resources/legacy/Informe-Tortura-y-Covid-19_Mexico_2021.pdf</vt:lpwstr>
      </vt:variant>
      <vt:variant>
        <vt:lpwstr/>
      </vt:variant>
      <vt:variant>
        <vt:i4>2818166</vt:i4>
      </vt:variant>
      <vt:variant>
        <vt:i4>291</vt:i4>
      </vt:variant>
      <vt:variant>
        <vt:i4>0</vt:i4>
      </vt:variant>
      <vt:variant>
        <vt:i4>5</vt:i4>
      </vt:variant>
      <vt:variant>
        <vt:lpwstr>https://www.inegi.org.mx/contenidos/programas/enpol/2021/doc/enpol2021_presentacion_nacional.pdf</vt:lpwstr>
      </vt:variant>
      <vt:variant>
        <vt:lpwstr/>
      </vt:variant>
      <vt:variant>
        <vt:i4>458777</vt:i4>
      </vt:variant>
      <vt:variant>
        <vt:i4>288</vt:i4>
      </vt:variant>
      <vt:variant>
        <vt:i4>0</vt:i4>
      </vt:variant>
      <vt:variant>
        <vt:i4>5</vt:i4>
      </vt:variant>
      <vt:variant>
        <vt:lpwstr>http://www.oas.org/es/cidh/docs/anual/2020/capitulos/IA2020cap5.MX-es.pdf</vt:lpwstr>
      </vt:variant>
      <vt:variant>
        <vt:lpwstr/>
      </vt:variant>
      <vt:variant>
        <vt:i4>4325450</vt:i4>
      </vt:variant>
      <vt:variant>
        <vt:i4>285</vt:i4>
      </vt:variant>
      <vt:variant>
        <vt:i4>0</vt:i4>
      </vt:variant>
      <vt:variant>
        <vt:i4>5</vt:i4>
      </vt:variant>
      <vt:variant>
        <vt:lpwstr>https://www.animalpolitico.com/res-publica/es-suficiente-un-decreto-para-erradicar-la-tortura-en-mexico/</vt:lpwstr>
      </vt:variant>
      <vt:variant>
        <vt:lpwstr/>
      </vt:variant>
      <vt:variant>
        <vt:i4>7929970</vt:i4>
      </vt:variant>
      <vt:variant>
        <vt:i4>282</vt:i4>
      </vt:variant>
      <vt:variant>
        <vt:i4>0</vt:i4>
      </vt:variant>
      <vt:variant>
        <vt:i4>5</vt:i4>
      </vt:variant>
      <vt:variant>
        <vt:lpwstr>https://www.omct.org/site-resources/legacy/Informe-Tortura-y-Covid-19_Mexico_2021.pdf</vt:lpwstr>
      </vt:variant>
      <vt:variant>
        <vt:lpwstr/>
      </vt:variant>
      <vt:variant>
        <vt:i4>2424945</vt:i4>
      </vt:variant>
      <vt:variant>
        <vt:i4>279</vt:i4>
      </vt:variant>
      <vt:variant>
        <vt:i4>0</vt:i4>
      </vt:variant>
      <vt:variant>
        <vt:i4>5</vt:i4>
      </vt:variant>
      <vt:variant>
        <vt:lpwstr>https://www.internet2.scjn.gob.mx/red2/comunicados/noticia.asp?id=6630</vt:lpwstr>
      </vt:variant>
      <vt:variant>
        <vt:lpwstr/>
      </vt:variant>
      <vt:variant>
        <vt:i4>1638488</vt:i4>
      </vt:variant>
      <vt:variant>
        <vt:i4>276</vt:i4>
      </vt:variant>
      <vt:variant>
        <vt:i4>0</vt:i4>
      </vt:variant>
      <vt:variant>
        <vt:i4>5</vt:i4>
      </vt:variant>
      <vt:variant>
        <vt:lpwstr>https://www.onu.org.mx/el-estado-debe-garantizar-el-derecho-a-la-verdad-sobre-la-incidencia-de-la-tortura-onu-dh/</vt:lpwstr>
      </vt:variant>
      <vt:variant>
        <vt:lpwstr/>
      </vt:variant>
      <vt:variant>
        <vt:i4>4325450</vt:i4>
      </vt:variant>
      <vt:variant>
        <vt:i4>273</vt:i4>
      </vt:variant>
      <vt:variant>
        <vt:i4>0</vt:i4>
      </vt:variant>
      <vt:variant>
        <vt:i4>5</vt:i4>
      </vt:variant>
      <vt:variant>
        <vt:lpwstr>https://www.animalpolitico.com/res-publica/es-suficiente-un-decreto-para-erradicar-la-tortura-en-mexico/</vt:lpwstr>
      </vt:variant>
      <vt:variant>
        <vt:lpwstr/>
      </vt:variant>
      <vt:variant>
        <vt:i4>7929970</vt:i4>
      </vt:variant>
      <vt:variant>
        <vt:i4>270</vt:i4>
      </vt:variant>
      <vt:variant>
        <vt:i4>0</vt:i4>
      </vt:variant>
      <vt:variant>
        <vt:i4>5</vt:i4>
      </vt:variant>
      <vt:variant>
        <vt:lpwstr>https://www.omct.org/site-resources/legacy/Informe-Tortura-y-Covid-19_Mexico_2021.pdf</vt:lpwstr>
      </vt:variant>
      <vt:variant>
        <vt:lpwstr/>
      </vt:variant>
      <vt:variant>
        <vt:i4>5767244</vt:i4>
      </vt:variant>
      <vt:variant>
        <vt:i4>267</vt:i4>
      </vt:variant>
      <vt:variant>
        <vt:i4>0</vt:i4>
      </vt:variant>
      <vt:variant>
        <vt:i4>5</vt:i4>
      </vt:variant>
      <vt:variant>
        <vt:lpwstr>https://cdhcm.org.mx/2021/06/en-el-marco-del-dia-internacional-de-apoyo-a-las-victimas-de-la-tortura-la-cdhcm-insta-a-que-se-publique-e-implemente-el-programa-nacional/</vt:lpwstr>
      </vt:variant>
      <vt:variant>
        <vt:lpwstr/>
      </vt:variant>
      <vt:variant>
        <vt:i4>1638488</vt:i4>
      </vt:variant>
      <vt:variant>
        <vt:i4>264</vt:i4>
      </vt:variant>
      <vt:variant>
        <vt:i4>0</vt:i4>
      </vt:variant>
      <vt:variant>
        <vt:i4>5</vt:i4>
      </vt:variant>
      <vt:variant>
        <vt:lpwstr>https://www.onu.org.mx/el-estado-debe-garantizar-el-derecho-a-la-verdad-sobre-la-incidencia-de-la-tortura-onu-dh/</vt:lpwstr>
      </vt:variant>
      <vt:variant>
        <vt:lpwstr/>
      </vt:variant>
      <vt:variant>
        <vt:i4>6226006</vt:i4>
      </vt:variant>
      <vt:variant>
        <vt:i4>261</vt:i4>
      </vt:variant>
      <vt:variant>
        <vt:i4>0</vt:i4>
      </vt:variant>
      <vt:variant>
        <vt:i4>5</vt:i4>
      </vt:variant>
      <vt:variant>
        <vt:lpwstr>http://www.oas.org/es/cidh/docs/anual/2018/docs/IA2018cap.5MX-es.pdf</vt:lpwstr>
      </vt:variant>
      <vt:variant>
        <vt:lpwstr/>
      </vt:variant>
      <vt:variant>
        <vt:i4>4587602</vt:i4>
      </vt:variant>
      <vt:variant>
        <vt:i4>258</vt:i4>
      </vt:variant>
      <vt:variant>
        <vt:i4>0</vt:i4>
      </vt:variant>
      <vt:variant>
        <vt:i4>5</vt:i4>
      </vt:variant>
      <vt:variant>
        <vt:lpwstr>http://www.oas.org/es/cidh/docs/anual/2019/indice.asp</vt:lpwstr>
      </vt:variant>
      <vt:variant>
        <vt:lpwstr/>
      </vt:variant>
      <vt:variant>
        <vt:i4>6094919</vt:i4>
      </vt:variant>
      <vt:variant>
        <vt:i4>255</vt:i4>
      </vt:variant>
      <vt:variant>
        <vt:i4>0</vt:i4>
      </vt:variant>
      <vt:variant>
        <vt:i4>5</vt:i4>
      </vt:variant>
      <vt:variant>
        <vt:lpwstr>https://twitter.com/CIDH/status/1404972382930997248?s=20</vt:lpwstr>
      </vt:variant>
      <vt:variant>
        <vt:lpwstr/>
      </vt:variant>
      <vt:variant>
        <vt:i4>5111897</vt:i4>
      </vt:variant>
      <vt:variant>
        <vt:i4>252</vt:i4>
      </vt:variant>
      <vt:variant>
        <vt:i4>0</vt:i4>
      </vt:variant>
      <vt:variant>
        <vt:i4>5</vt:i4>
      </vt:variant>
      <vt:variant>
        <vt:lpwstr>https://www.gob.mx/presidencia/es/articulos/comision-presidencial-para-el-caso-ayotzinapa-confirma-hallazgos-de-restos-de-normalistas-obtenidos-en-barranca-de-la-carniceria?idiom=es</vt:lpwstr>
      </vt:variant>
      <vt:variant>
        <vt:lpwstr/>
      </vt:variant>
      <vt:variant>
        <vt:i4>1638483</vt:i4>
      </vt:variant>
      <vt:variant>
        <vt:i4>249</vt:i4>
      </vt:variant>
      <vt:variant>
        <vt:i4>0</vt:i4>
      </vt:variant>
      <vt:variant>
        <vt:i4>5</vt:i4>
      </vt:variant>
      <vt:variant>
        <vt:lpwstr>https://www.reporteindigo.com/reporte/caso-ayotzinapa-envian-16-restos-humanos-a-universidad-de-innsbruck-para-analisis/</vt:lpwstr>
      </vt:variant>
      <vt:variant>
        <vt:lpwstr>:~:text=Tras%20una%20reuni%C3%B3n%20de%20dos,caso%20Iguala%20para%20su%20identificaci%C3%B3n.</vt:lpwstr>
      </vt:variant>
      <vt:variant>
        <vt:i4>7667821</vt:i4>
      </vt:variant>
      <vt:variant>
        <vt:i4>246</vt:i4>
      </vt:variant>
      <vt:variant>
        <vt:i4>0</vt:i4>
      </vt:variant>
      <vt:variant>
        <vt:i4>5</vt:i4>
      </vt:variant>
      <vt:variant>
        <vt:lpwstr>https://www.animalpolitico.com/2021/02/mexico-innsbruck-restos-caso-ayotzinapa/</vt:lpwstr>
      </vt:variant>
      <vt:variant>
        <vt:lpwstr/>
      </vt:variant>
      <vt:variant>
        <vt:i4>524312</vt:i4>
      </vt:variant>
      <vt:variant>
        <vt:i4>243</vt:i4>
      </vt:variant>
      <vt:variant>
        <vt:i4>0</vt:i4>
      </vt:variant>
      <vt:variant>
        <vt:i4>5</vt:i4>
      </vt:variant>
      <vt:variant>
        <vt:lpwstr>https://www.proceso.com.mx/nacional/2021/10/1/tras-criticas-por-opacidad-encinas-publica-informacion-relevante-sobre-caso-ayotzinapa-273151.html</vt:lpwstr>
      </vt:variant>
      <vt:variant>
        <vt:lpwstr/>
      </vt:variant>
      <vt:variant>
        <vt:i4>6684723</vt:i4>
      </vt:variant>
      <vt:variant>
        <vt:i4>240</vt:i4>
      </vt:variant>
      <vt:variant>
        <vt:i4>0</vt:i4>
      </vt:variant>
      <vt:variant>
        <vt:i4>5</vt:i4>
      </vt:variant>
      <vt:variant>
        <vt:lpwstr>https://aristeguinoticias.com/1310/mexico/dos-peritos-del-caso-ayotzinapa-son-vinculados-a-proceso/</vt:lpwstr>
      </vt:variant>
      <vt:variant>
        <vt:lpwstr/>
      </vt:variant>
      <vt:variant>
        <vt:i4>1900665</vt:i4>
      </vt:variant>
      <vt:variant>
        <vt:i4>237</vt:i4>
      </vt:variant>
      <vt:variant>
        <vt:i4>0</vt:i4>
      </vt:variant>
      <vt:variant>
        <vt:i4>5</vt:i4>
      </vt:variant>
      <vt:variant>
        <vt:lpwstr>https://dof.gob.mx/nota_detalle.php?codigo=5564187&amp;fecha=26/06/2019</vt:lpwstr>
      </vt:variant>
      <vt:variant>
        <vt:lpwstr/>
      </vt:variant>
      <vt:variant>
        <vt:i4>5308416</vt:i4>
      </vt:variant>
      <vt:variant>
        <vt:i4>234</vt:i4>
      </vt:variant>
      <vt:variant>
        <vt:i4>0</vt:i4>
      </vt:variant>
      <vt:variant>
        <vt:i4>5</vt:i4>
      </vt:variant>
      <vt:variant>
        <vt:lpwstr>http://www.oas.org/es/CIDH/jsForm/?File=/es/cidh/prensa/comunicados/2021/241.asp</vt:lpwstr>
      </vt:variant>
      <vt:variant>
        <vt:lpwstr/>
      </vt:variant>
      <vt:variant>
        <vt:i4>4456522</vt:i4>
      </vt:variant>
      <vt:variant>
        <vt:i4>231</vt:i4>
      </vt:variant>
      <vt:variant>
        <vt:i4>0</vt:i4>
      </vt:variant>
      <vt:variant>
        <vt:i4>5</vt:i4>
      </vt:variant>
      <vt:variant>
        <vt:lpwstr>https://twitter.com/kiquinta/status/1463944328791875589?s=20</vt:lpwstr>
      </vt:variant>
      <vt:variant>
        <vt:lpwstr/>
      </vt:variant>
      <vt:variant>
        <vt:i4>7340145</vt:i4>
      </vt:variant>
      <vt:variant>
        <vt:i4>228</vt:i4>
      </vt:variant>
      <vt:variant>
        <vt:i4>0</vt:i4>
      </vt:variant>
      <vt:variant>
        <vt:i4>5</vt:i4>
      </vt:variant>
      <vt:variant>
        <vt:lpwstr>https://versionpublicarnpdno.segob.gob.mx/Dashboard/ContextoGeneral</vt:lpwstr>
      </vt:variant>
      <vt:variant>
        <vt:lpwstr/>
      </vt:variant>
      <vt:variant>
        <vt:i4>1441818</vt:i4>
      </vt:variant>
      <vt:variant>
        <vt:i4>225</vt:i4>
      </vt:variant>
      <vt:variant>
        <vt:i4>0</vt:i4>
      </vt:variant>
      <vt:variant>
        <vt:i4>5</vt:i4>
      </vt:variant>
      <vt:variant>
        <vt:lpwstr>http://www.oas.org/es/CIDH/informes/IA.asp?Year=2020</vt:lpwstr>
      </vt:variant>
      <vt:variant>
        <vt:lpwstr/>
      </vt:variant>
      <vt:variant>
        <vt:i4>1900623</vt:i4>
      </vt:variant>
      <vt:variant>
        <vt:i4>222</vt:i4>
      </vt:variant>
      <vt:variant>
        <vt:i4>0</vt:i4>
      </vt:variant>
      <vt:variant>
        <vt:i4>5</vt:i4>
      </vt:variant>
      <vt:variant>
        <vt:lpwstr>https://www.facebook.com/1553993178067600/videos/1081983472572564</vt:lpwstr>
      </vt:variant>
      <vt:variant>
        <vt:lpwstr/>
      </vt:variant>
      <vt:variant>
        <vt:i4>1900623</vt:i4>
      </vt:variant>
      <vt:variant>
        <vt:i4>219</vt:i4>
      </vt:variant>
      <vt:variant>
        <vt:i4>0</vt:i4>
      </vt:variant>
      <vt:variant>
        <vt:i4>5</vt:i4>
      </vt:variant>
      <vt:variant>
        <vt:lpwstr>https://www.facebook.com/1553993178067600/videos/1081983472572564</vt:lpwstr>
      </vt:variant>
      <vt:variant>
        <vt:lpwstr/>
      </vt:variant>
      <vt:variant>
        <vt:i4>5177462</vt:i4>
      </vt:variant>
      <vt:variant>
        <vt:i4>216</vt:i4>
      </vt:variant>
      <vt:variant>
        <vt:i4>0</vt:i4>
      </vt:variant>
      <vt:variant>
        <vt:i4>5</vt:i4>
      </vt:variant>
      <vt:variant>
        <vt:lpwstr>https://www.dof.gob.mx/nota_detalle.php?codigo=5601905&amp;fecha=06/10/2020</vt:lpwstr>
      </vt:variant>
      <vt:variant>
        <vt:lpwstr/>
      </vt:variant>
      <vt:variant>
        <vt:i4>131149</vt:i4>
      </vt:variant>
      <vt:variant>
        <vt:i4>213</vt:i4>
      </vt:variant>
      <vt:variant>
        <vt:i4>0</vt:i4>
      </vt:variant>
      <vt:variant>
        <vt:i4>5</vt:i4>
      </vt:variant>
      <vt:variant>
        <vt:lpwstr>https://www.oas.org/es/cidh/informes/IA.asp?Year=2020</vt:lpwstr>
      </vt:variant>
      <vt:variant>
        <vt:lpwstr/>
      </vt:variant>
      <vt:variant>
        <vt:i4>1441819</vt:i4>
      </vt:variant>
      <vt:variant>
        <vt:i4>210</vt:i4>
      </vt:variant>
      <vt:variant>
        <vt:i4>0</vt:i4>
      </vt:variant>
      <vt:variant>
        <vt:i4>5</vt:i4>
      </vt:variant>
      <vt:variant>
        <vt:lpwstr>https://versionpublicarnpdno.segob.gob.mx/Dashboard/Index</vt:lpwstr>
      </vt:variant>
      <vt:variant>
        <vt:lpwstr/>
      </vt:variant>
      <vt:variant>
        <vt:i4>2031641</vt:i4>
      </vt:variant>
      <vt:variant>
        <vt:i4>207</vt:i4>
      </vt:variant>
      <vt:variant>
        <vt:i4>0</vt:i4>
      </vt:variant>
      <vt:variant>
        <vt:i4>5</vt:i4>
      </vt:variant>
      <vt:variant>
        <vt:lpwstr>http://www.oas.org/es/CIDH/informes/IA.asp?Year=2019</vt:lpwstr>
      </vt:variant>
      <vt:variant>
        <vt:lpwstr/>
      </vt:variant>
      <vt:variant>
        <vt:i4>1441818</vt:i4>
      </vt:variant>
      <vt:variant>
        <vt:i4>204</vt:i4>
      </vt:variant>
      <vt:variant>
        <vt:i4>0</vt:i4>
      </vt:variant>
      <vt:variant>
        <vt:i4>5</vt:i4>
      </vt:variant>
      <vt:variant>
        <vt:lpwstr>http://www.oas.org/es/CIDH/informes/IA.asp?Year=2020</vt:lpwstr>
      </vt:variant>
      <vt:variant>
        <vt:lpwstr/>
      </vt:variant>
      <vt:variant>
        <vt:i4>1441818</vt:i4>
      </vt:variant>
      <vt:variant>
        <vt:i4>201</vt:i4>
      </vt:variant>
      <vt:variant>
        <vt:i4>0</vt:i4>
      </vt:variant>
      <vt:variant>
        <vt:i4>5</vt:i4>
      </vt:variant>
      <vt:variant>
        <vt:lpwstr>http://www.oas.org/es/CIDH/informes/IA.asp?Year=2020</vt:lpwstr>
      </vt:variant>
      <vt:variant>
        <vt:lpwstr/>
      </vt:variant>
      <vt:variant>
        <vt:i4>786448</vt:i4>
      </vt:variant>
      <vt:variant>
        <vt:i4>198</vt:i4>
      </vt:variant>
      <vt:variant>
        <vt:i4>0</vt:i4>
      </vt:variant>
      <vt:variant>
        <vt:i4>5</vt:i4>
      </vt:variant>
      <vt:variant>
        <vt:lpwstr>https://www.gob.mx/sspc/prensa/el-primero-de-abril-inicia-registro-nacional-de-detenciones-por-faltas-administrativas-268290?idiom=es</vt:lpwstr>
      </vt:variant>
      <vt:variant>
        <vt:lpwstr/>
      </vt:variant>
      <vt:variant>
        <vt:i4>1900623</vt:i4>
      </vt:variant>
      <vt:variant>
        <vt:i4>195</vt:i4>
      </vt:variant>
      <vt:variant>
        <vt:i4>0</vt:i4>
      </vt:variant>
      <vt:variant>
        <vt:i4>5</vt:i4>
      </vt:variant>
      <vt:variant>
        <vt:lpwstr>https://www.facebook.com/1553993178067600/videos/1081983472572564</vt:lpwstr>
      </vt:variant>
      <vt:variant>
        <vt:lpwstr/>
      </vt:variant>
      <vt:variant>
        <vt:i4>3539063</vt:i4>
      </vt:variant>
      <vt:variant>
        <vt:i4>192</vt:i4>
      </vt:variant>
      <vt:variant>
        <vt:i4>0</vt:i4>
      </vt:variant>
      <vt:variant>
        <vt:i4>5</vt:i4>
      </vt:variant>
      <vt:variant>
        <vt:lpwstr>http://www.oas.org/es/cidh/docs/anual/2019/docs/IA2019cap5MX-es.pdf</vt:lpwstr>
      </vt:variant>
      <vt:variant>
        <vt:lpwstr/>
      </vt:variant>
      <vt:variant>
        <vt:i4>1441818</vt:i4>
      </vt:variant>
      <vt:variant>
        <vt:i4>189</vt:i4>
      </vt:variant>
      <vt:variant>
        <vt:i4>0</vt:i4>
      </vt:variant>
      <vt:variant>
        <vt:i4>5</vt:i4>
      </vt:variant>
      <vt:variant>
        <vt:lpwstr>http://www.oas.org/es/CIDH/informes/IA.asp?Year=2020</vt:lpwstr>
      </vt:variant>
      <vt:variant>
        <vt:lpwstr/>
      </vt:variant>
      <vt:variant>
        <vt:i4>1900623</vt:i4>
      </vt:variant>
      <vt:variant>
        <vt:i4>186</vt:i4>
      </vt:variant>
      <vt:variant>
        <vt:i4>0</vt:i4>
      </vt:variant>
      <vt:variant>
        <vt:i4>5</vt:i4>
      </vt:variant>
      <vt:variant>
        <vt:lpwstr>https://www.facebook.com/1553993178067600/videos/1081983472572564</vt:lpwstr>
      </vt:variant>
      <vt:variant>
        <vt:lpwstr/>
      </vt:variant>
      <vt:variant>
        <vt:i4>1900623</vt:i4>
      </vt:variant>
      <vt:variant>
        <vt:i4>183</vt:i4>
      </vt:variant>
      <vt:variant>
        <vt:i4>0</vt:i4>
      </vt:variant>
      <vt:variant>
        <vt:i4>5</vt:i4>
      </vt:variant>
      <vt:variant>
        <vt:lpwstr>https://www.facebook.com/1553993178067600/videos/1081983472572564</vt:lpwstr>
      </vt:variant>
      <vt:variant>
        <vt:lpwstr/>
      </vt:variant>
      <vt:variant>
        <vt:i4>1048666</vt:i4>
      </vt:variant>
      <vt:variant>
        <vt:i4>180</vt:i4>
      </vt:variant>
      <vt:variant>
        <vt:i4>0</vt:i4>
      </vt:variant>
      <vt:variant>
        <vt:i4>5</vt:i4>
      </vt:variant>
      <vt:variant>
        <vt:lpwstr>https://twitter.com/CCiudadanoSNB/status/1464264317600251919?s=20</vt:lpwstr>
      </vt:variant>
      <vt:variant>
        <vt:lpwstr/>
      </vt:variant>
      <vt:variant>
        <vt:i4>1900623</vt:i4>
      </vt:variant>
      <vt:variant>
        <vt:i4>177</vt:i4>
      </vt:variant>
      <vt:variant>
        <vt:i4>0</vt:i4>
      </vt:variant>
      <vt:variant>
        <vt:i4>5</vt:i4>
      </vt:variant>
      <vt:variant>
        <vt:lpwstr>https://www.facebook.com/1553993178067600/videos/1081983472572564</vt:lpwstr>
      </vt:variant>
      <vt:variant>
        <vt:lpwstr/>
      </vt:variant>
      <vt:variant>
        <vt:i4>7077987</vt:i4>
      </vt:variant>
      <vt:variant>
        <vt:i4>174</vt:i4>
      </vt:variant>
      <vt:variant>
        <vt:i4>0</vt:i4>
      </vt:variant>
      <vt:variant>
        <vt:i4>5</vt:i4>
      </vt:variant>
      <vt:variant>
        <vt:lpwstr>https://www.youtube.com/watch?v=m6GDvBAq1RA</vt:lpwstr>
      </vt:variant>
      <vt:variant>
        <vt:lpwstr/>
      </vt:variant>
      <vt:variant>
        <vt:i4>1507410</vt:i4>
      </vt:variant>
      <vt:variant>
        <vt:i4>171</vt:i4>
      </vt:variant>
      <vt:variant>
        <vt:i4>0</vt:i4>
      </vt:variant>
      <vt:variant>
        <vt:i4>5</vt:i4>
      </vt:variant>
      <vt:variant>
        <vt:lpwstr>http://comunicacion.senado.gob.mx/index.php/informacion/boletines/50526-designa-senado-a-integrantes-del-consejo-ciudadano-del-sistema-nacional-de-busqueda-de-personas.html</vt:lpwstr>
      </vt:variant>
      <vt:variant>
        <vt:lpwstr/>
      </vt:variant>
      <vt:variant>
        <vt:i4>1441818</vt:i4>
      </vt:variant>
      <vt:variant>
        <vt:i4>168</vt:i4>
      </vt:variant>
      <vt:variant>
        <vt:i4>0</vt:i4>
      </vt:variant>
      <vt:variant>
        <vt:i4>5</vt:i4>
      </vt:variant>
      <vt:variant>
        <vt:lpwstr>http://www.oas.org/es/CIDH/informes/IA.asp?Year=2020</vt:lpwstr>
      </vt:variant>
      <vt:variant>
        <vt:lpwstr/>
      </vt:variant>
      <vt:variant>
        <vt:i4>1900623</vt:i4>
      </vt:variant>
      <vt:variant>
        <vt:i4>165</vt:i4>
      </vt:variant>
      <vt:variant>
        <vt:i4>0</vt:i4>
      </vt:variant>
      <vt:variant>
        <vt:i4>5</vt:i4>
      </vt:variant>
      <vt:variant>
        <vt:lpwstr>https://www.facebook.com/1553993178067600/videos/1081983472572564</vt:lpwstr>
      </vt:variant>
      <vt:variant>
        <vt:lpwstr/>
      </vt:variant>
      <vt:variant>
        <vt:i4>6750254</vt:i4>
      </vt:variant>
      <vt:variant>
        <vt:i4>162</vt:i4>
      </vt:variant>
      <vt:variant>
        <vt:i4>0</vt:i4>
      </vt:variant>
      <vt:variant>
        <vt:i4>5</vt:i4>
      </vt:variant>
      <vt:variant>
        <vt:lpwstr>http://www.youtube.com/watch?v=8fYDhciXvpU</vt:lpwstr>
      </vt:variant>
      <vt:variant>
        <vt:lpwstr/>
      </vt:variant>
      <vt:variant>
        <vt:i4>6750254</vt:i4>
      </vt:variant>
      <vt:variant>
        <vt:i4>159</vt:i4>
      </vt:variant>
      <vt:variant>
        <vt:i4>0</vt:i4>
      </vt:variant>
      <vt:variant>
        <vt:i4>5</vt:i4>
      </vt:variant>
      <vt:variant>
        <vt:lpwstr>http://www.youtube.com/watch?v=8fYDhciXvpU</vt:lpwstr>
      </vt:variant>
      <vt:variant>
        <vt:lpwstr/>
      </vt:variant>
      <vt:variant>
        <vt:i4>5439556</vt:i4>
      </vt:variant>
      <vt:variant>
        <vt:i4>156</vt:i4>
      </vt:variant>
      <vt:variant>
        <vt:i4>0</vt:i4>
      </vt:variant>
      <vt:variant>
        <vt:i4>5</vt:i4>
      </vt:variant>
      <vt:variant>
        <vt:lpwstr>https://twitter.com/CIDH/status/1432705884673749022?s=20</vt:lpwstr>
      </vt:variant>
      <vt:variant>
        <vt:lpwstr/>
      </vt:variant>
      <vt:variant>
        <vt:i4>6094853</vt:i4>
      </vt:variant>
      <vt:variant>
        <vt:i4>153</vt:i4>
      </vt:variant>
      <vt:variant>
        <vt:i4>0</vt:i4>
      </vt:variant>
      <vt:variant>
        <vt:i4>5</vt:i4>
      </vt:variant>
      <vt:variant>
        <vt:lpwstr>https://www.gob.mx/segob/prensa/se-presenta-a-personas-integrantes-del-grupo-coordinador-del-mecanismo-extraordinario-de-identificacion-forense?idiom=es</vt:lpwstr>
      </vt:variant>
      <vt:variant>
        <vt:lpwstr/>
      </vt:variant>
      <vt:variant>
        <vt:i4>1048591</vt:i4>
      </vt:variant>
      <vt:variant>
        <vt:i4>150</vt:i4>
      </vt:variant>
      <vt:variant>
        <vt:i4>0</vt:i4>
      </vt:variant>
      <vt:variant>
        <vt:i4>5</vt:i4>
      </vt:variant>
      <vt:variant>
        <vt:lpwstr>https://www.informador.mx/jalisco/Gobierno-de-Jalisco-Proyectan-29.3-MDP-para-Centro-de-Identificacion-Humana-20211102-0053.html</vt:lpwstr>
      </vt:variant>
      <vt:variant>
        <vt:lpwstr/>
      </vt:variant>
      <vt:variant>
        <vt:i4>65547</vt:i4>
      </vt:variant>
      <vt:variant>
        <vt:i4>147</vt:i4>
      </vt:variant>
      <vt:variant>
        <vt:i4>0</vt:i4>
      </vt:variant>
      <vt:variant>
        <vt:i4>5</vt:i4>
      </vt:variant>
      <vt:variant>
        <vt:lpwstr>https://www.jalisco.gob.mx/es/prensa/noticias/136375</vt:lpwstr>
      </vt:variant>
      <vt:variant>
        <vt:lpwstr/>
      </vt:variant>
      <vt:variant>
        <vt:i4>6422636</vt:i4>
      </vt:variant>
      <vt:variant>
        <vt:i4>144</vt:i4>
      </vt:variant>
      <vt:variant>
        <vt:i4>0</vt:i4>
      </vt:variant>
      <vt:variant>
        <vt:i4>5</vt:i4>
      </vt:variant>
      <vt:variant>
        <vt:lpwstr>https://hchr.org.mx/comunicados/conferencia-de-prensa-tras-la-visita-del-comite-de-la-onu-contra-la-desaparicion-forzada-a-mexico/</vt:lpwstr>
      </vt:variant>
      <vt:variant>
        <vt:lpwstr/>
      </vt:variant>
      <vt:variant>
        <vt:i4>3407983</vt:i4>
      </vt:variant>
      <vt:variant>
        <vt:i4>141</vt:i4>
      </vt:variant>
      <vt:variant>
        <vt:i4>0</vt:i4>
      </vt:variant>
      <vt:variant>
        <vt:i4>5</vt:i4>
      </vt:variant>
      <vt:variant>
        <vt:lpwstr>https://www.gob.mx/sre/prensa/comite-contra-la-desaparicion-forzada-de-la-organizacion-de-las-naciones-unidas-realizara-visita-a-mexico</vt:lpwstr>
      </vt:variant>
      <vt:variant>
        <vt:lpwstr/>
      </vt:variant>
      <vt:variant>
        <vt:i4>1441904</vt:i4>
      </vt:variant>
      <vt:variant>
        <vt:i4>138</vt:i4>
      </vt:variant>
      <vt:variant>
        <vt:i4>0</vt:i4>
      </vt:variant>
      <vt:variant>
        <vt:i4>5</vt:i4>
      </vt:variant>
      <vt:variant>
        <vt:lpwstr>https://sjf.scjn.gob.mx/SJFSem/Paginas/DetalleGeneralV2.aspx?Epoca=&amp;Apendice=&amp;Expresion=desaparici%25C3%25B3n%2520&amp;Dominio=Rubro,Texto&amp;TA_TJ=&amp;Orden=3&amp;Clase=DetalleSemanarioBusquedaBL&amp;Tablero=-100|2&amp;NumTE=4&amp;Epp=20&amp;Desde=-100&amp;Hasta=-100&amp;Index=0&amp;SemanaId=202146&amp;ID=2023816&amp;Hit=1&amp;IDs=2023816,2023815,2023814,2023813</vt:lpwstr>
      </vt:variant>
      <vt:variant>
        <vt:lpwstr/>
      </vt:variant>
      <vt:variant>
        <vt:i4>5439554</vt:i4>
      </vt:variant>
      <vt:variant>
        <vt:i4>135</vt:i4>
      </vt:variant>
      <vt:variant>
        <vt:i4>0</vt:i4>
      </vt:variant>
      <vt:variant>
        <vt:i4>5</vt:i4>
      </vt:variant>
      <vt:variant>
        <vt:lpwstr>https://twitter.com/CIDH/status/1405663981948309505?s=20</vt:lpwstr>
      </vt:variant>
      <vt:variant>
        <vt:lpwstr/>
      </vt:variant>
      <vt:variant>
        <vt:i4>1900623</vt:i4>
      </vt:variant>
      <vt:variant>
        <vt:i4>132</vt:i4>
      </vt:variant>
      <vt:variant>
        <vt:i4>0</vt:i4>
      </vt:variant>
      <vt:variant>
        <vt:i4>5</vt:i4>
      </vt:variant>
      <vt:variant>
        <vt:lpwstr>https://www.facebook.com/1553993178067600/videos/1081983472572564</vt:lpwstr>
      </vt:variant>
      <vt:variant>
        <vt:lpwstr/>
      </vt:variant>
      <vt:variant>
        <vt:i4>7995494</vt:i4>
      </vt:variant>
      <vt:variant>
        <vt:i4>129</vt:i4>
      </vt:variant>
      <vt:variant>
        <vt:i4>0</vt:i4>
      </vt:variant>
      <vt:variant>
        <vt:i4>5</vt:i4>
      </vt:variant>
      <vt:variant>
        <vt:lpwstr>https://www.gob.mx/segob/prensa/218336</vt:lpwstr>
      </vt:variant>
      <vt:variant>
        <vt:lpwstr/>
      </vt:variant>
      <vt:variant>
        <vt:i4>6225997</vt:i4>
      </vt:variant>
      <vt:variant>
        <vt:i4>126</vt:i4>
      </vt:variant>
      <vt:variant>
        <vt:i4>0</vt:i4>
      </vt:variant>
      <vt:variant>
        <vt:i4>5</vt:i4>
      </vt:variant>
      <vt:variant>
        <vt:lpwstr>https://twitter.com/CIDH/status/1458462923702128643?s=20</vt:lpwstr>
      </vt:variant>
      <vt:variant>
        <vt:lpwstr/>
      </vt:variant>
      <vt:variant>
        <vt:i4>4980800</vt:i4>
      </vt:variant>
      <vt:variant>
        <vt:i4>123</vt:i4>
      </vt:variant>
      <vt:variant>
        <vt:i4>0</vt:i4>
      </vt:variant>
      <vt:variant>
        <vt:i4>5</vt:i4>
      </vt:variant>
      <vt:variant>
        <vt:lpwstr>https://www.youtube.com/watch?v=4oYKXCUVojA&amp;t=13430s</vt:lpwstr>
      </vt:variant>
      <vt:variant>
        <vt:lpwstr/>
      </vt:variant>
      <vt:variant>
        <vt:i4>5963842</vt:i4>
      </vt:variant>
      <vt:variant>
        <vt:i4>120</vt:i4>
      </vt:variant>
      <vt:variant>
        <vt:i4>0</vt:i4>
      </vt:variant>
      <vt:variant>
        <vt:i4>5</vt:i4>
      </vt:variant>
      <vt:variant>
        <vt:lpwstr>https://twitter.com/CIDH/status/1415804689493413897?s=20</vt:lpwstr>
      </vt:variant>
      <vt:variant>
        <vt:lpwstr/>
      </vt:variant>
      <vt:variant>
        <vt:i4>2752607</vt:i4>
      </vt:variant>
      <vt:variant>
        <vt:i4>117</vt:i4>
      </vt:variant>
      <vt:variant>
        <vt:i4>0</vt:i4>
      </vt:variant>
      <vt:variant>
        <vt:i4>5</vt:i4>
      </vt:variant>
      <vt:variant>
        <vt:lpwstr>http://www.dof.gob.mx/nota_detalle.php?codigo=5623969&amp;fecha=15/07/2021</vt:lpwstr>
      </vt:variant>
      <vt:variant>
        <vt:lpwstr/>
      </vt:variant>
      <vt:variant>
        <vt:i4>5963843</vt:i4>
      </vt:variant>
      <vt:variant>
        <vt:i4>114</vt:i4>
      </vt:variant>
      <vt:variant>
        <vt:i4>0</vt:i4>
      </vt:variant>
      <vt:variant>
        <vt:i4>5</vt:i4>
      </vt:variant>
      <vt:variant>
        <vt:lpwstr>https://twitter.com/CIDH/status/1383037926066520064?s=20</vt:lpwstr>
      </vt:variant>
      <vt:variant>
        <vt:lpwstr/>
      </vt:variant>
      <vt:variant>
        <vt:i4>1441910</vt:i4>
      </vt:variant>
      <vt:variant>
        <vt:i4>111</vt:i4>
      </vt:variant>
      <vt:variant>
        <vt:i4>0</vt:i4>
      </vt:variant>
      <vt:variant>
        <vt:i4>5</vt:i4>
      </vt:variant>
      <vt:variant>
        <vt:lpwstr>https://dof.gob.mx/nota_detalle.php?codigo=5601905&amp;fecha=06/10/2020</vt:lpwstr>
      </vt:variant>
      <vt:variant>
        <vt:lpwstr/>
      </vt:variant>
      <vt:variant>
        <vt:i4>6226006</vt:i4>
      </vt:variant>
      <vt:variant>
        <vt:i4>108</vt:i4>
      </vt:variant>
      <vt:variant>
        <vt:i4>0</vt:i4>
      </vt:variant>
      <vt:variant>
        <vt:i4>5</vt:i4>
      </vt:variant>
      <vt:variant>
        <vt:lpwstr>http://www.oas.org/es/cidh/docs/anual/2018/docs/IA2018cap.5MX-es.pdf</vt:lpwstr>
      </vt:variant>
      <vt:variant>
        <vt:lpwstr/>
      </vt:variant>
      <vt:variant>
        <vt:i4>3539063</vt:i4>
      </vt:variant>
      <vt:variant>
        <vt:i4>105</vt:i4>
      </vt:variant>
      <vt:variant>
        <vt:i4>0</vt:i4>
      </vt:variant>
      <vt:variant>
        <vt:i4>5</vt:i4>
      </vt:variant>
      <vt:variant>
        <vt:lpwstr>http://www.oas.org/es/cidh/docs/anual/2019/docs/IA2019cap5MX-es.pdf</vt:lpwstr>
      </vt:variant>
      <vt:variant>
        <vt:lpwstr/>
      </vt:variant>
      <vt:variant>
        <vt:i4>1441818</vt:i4>
      </vt:variant>
      <vt:variant>
        <vt:i4>102</vt:i4>
      </vt:variant>
      <vt:variant>
        <vt:i4>0</vt:i4>
      </vt:variant>
      <vt:variant>
        <vt:i4>5</vt:i4>
      </vt:variant>
      <vt:variant>
        <vt:lpwstr>http://www.oas.org/es/CIDH/informes/IA.asp?Year=2020</vt:lpwstr>
      </vt:variant>
      <vt:variant>
        <vt:lpwstr/>
      </vt:variant>
      <vt:variant>
        <vt:i4>3145770</vt:i4>
      </vt:variant>
      <vt:variant>
        <vt:i4>99</vt:i4>
      </vt:variant>
      <vt:variant>
        <vt:i4>0</vt:i4>
      </vt:variant>
      <vt:variant>
        <vt:i4>5</vt:i4>
      </vt:variant>
      <vt:variant>
        <vt:lpwstr>https://www.bbc.com/mundo/noticias-america-latina-57661464</vt:lpwstr>
      </vt:variant>
      <vt:variant>
        <vt:lpwstr/>
      </vt:variant>
      <vt:variant>
        <vt:i4>3473457</vt:i4>
      </vt:variant>
      <vt:variant>
        <vt:i4>96</vt:i4>
      </vt:variant>
      <vt:variant>
        <vt:i4>0</vt:i4>
      </vt:variant>
      <vt:variant>
        <vt:i4>5</vt:i4>
      </vt:variant>
      <vt:variant>
        <vt:lpwstr>https://www.nytimes.com/es/2021/03/10/espanol/mexico-ley-cannabis.html</vt:lpwstr>
      </vt:variant>
      <vt:variant>
        <vt:lpwstr/>
      </vt:variant>
      <vt:variant>
        <vt:i4>2752632</vt:i4>
      </vt:variant>
      <vt:variant>
        <vt:i4>93</vt:i4>
      </vt:variant>
      <vt:variant>
        <vt:i4>0</vt:i4>
      </vt:variant>
      <vt:variant>
        <vt:i4>5</vt:i4>
      </vt:variant>
      <vt:variant>
        <vt:lpwstr>https://www.gob.mx/sesnsp/acciones-y-programas/incidencia-delictiva-87005?idiom=es</vt:lpwstr>
      </vt:variant>
      <vt:variant>
        <vt:lpwstr/>
      </vt:variant>
      <vt:variant>
        <vt:i4>2818166</vt:i4>
      </vt:variant>
      <vt:variant>
        <vt:i4>90</vt:i4>
      </vt:variant>
      <vt:variant>
        <vt:i4>0</vt:i4>
      </vt:variant>
      <vt:variant>
        <vt:i4>5</vt:i4>
      </vt:variant>
      <vt:variant>
        <vt:lpwstr>https://www.inegi.org.mx/contenidos/programas/enpol/2021/doc/enpol2021_presentacion_nacional.pdf</vt:lpwstr>
      </vt:variant>
      <vt:variant>
        <vt:lpwstr/>
      </vt:variant>
      <vt:variant>
        <vt:i4>2818166</vt:i4>
      </vt:variant>
      <vt:variant>
        <vt:i4>87</vt:i4>
      </vt:variant>
      <vt:variant>
        <vt:i4>0</vt:i4>
      </vt:variant>
      <vt:variant>
        <vt:i4>5</vt:i4>
      </vt:variant>
      <vt:variant>
        <vt:lpwstr>https://www.inegi.org.mx/contenidos/programas/enpol/2021/doc/enpol2021_presentacion_nacional.pdf</vt:lpwstr>
      </vt:variant>
      <vt:variant>
        <vt:lpwstr/>
      </vt:variant>
      <vt:variant>
        <vt:i4>2687020</vt:i4>
      </vt:variant>
      <vt:variant>
        <vt:i4>84</vt:i4>
      </vt:variant>
      <vt:variant>
        <vt:i4>0</vt:i4>
      </vt:variant>
      <vt:variant>
        <vt:i4>5</vt:i4>
      </vt:variant>
      <vt:variant>
        <vt:lpwstr>http://sindis.conapred.org.mx/estadisticas/endosig/</vt:lpwstr>
      </vt:variant>
      <vt:variant>
        <vt:lpwstr/>
      </vt:variant>
      <vt:variant>
        <vt:i4>4128870</vt:i4>
      </vt:variant>
      <vt:variant>
        <vt:i4>81</vt:i4>
      </vt:variant>
      <vt:variant>
        <vt:i4>0</vt:i4>
      </vt:variant>
      <vt:variant>
        <vt:i4>5</vt:i4>
      </vt:variant>
      <vt:variant>
        <vt:lpwstr>https://www.inegi.org.mx/contenidos/saladeprensa/boletines/2021/endiseg/ENDISEG2021.pdf</vt:lpwstr>
      </vt:variant>
      <vt:variant>
        <vt:lpwstr/>
      </vt:variant>
      <vt:variant>
        <vt:i4>6029362</vt:i4>
      </vt:variant>
      <vt:variant>
        <vt:i4>78</vt:i4>
      </vt:variant>
      <vt:variant>
        <vt:i4>0</vt:i4>
      </vt:variant>
      <vt:variant>
        <vt:i4>5</vt:i4>
      </vt:variant>
      <vt:variant>
        <vt:lpwstr>http://portales.segob.gob.mx/es/Derechos_Humanos/Indicadores</vt:lpwstr>
      </vt:variant>
      <vt:variant>
        <vt:lpwstr/>
      </vt:variant>
      <vt:variant>
        <vt:i4>3539063</vt:i4>
      </vt:variant>
      <vt:variant>
        <vt:i4>75</vt:i4>
      </vt:variant>
      <vt:variant>
        <vt:i4>0</vt:i4>
      </vt:variant>
      <vt:variant>
        <vt:i4>5</vt:i4>
      </vt:variant>
      <vt:variant>
        <vt:lpwstr>http://www.oas.org/es/cidh/docs/anual/2019/docs/IA2019cap5MX-es.pdf</vt:lpwstr>
      </vt:variant>
      <vt:variant>
        <vt:lpwstr/>
      </vt:variant>
      <vt:variant>
        <vt:i4>6750316</vt:i4>
      </vt:variant>
      <vt:variant>
        <vt:i4>72</vt:i4>
      </vt:variant>
      <vt:variant>
        <vt:i4>0</vt:i4>
      </vt:variant>
      <vt:variant>
        <vt:i4>5</vt:i4>
      </vt:variant>
      <vt:variant>
        <vt:lpwstr>https://www.oas.org/es/cidh/docs/anual/2020/capitulos/IA2020cap5.MX-es.pdf</vt:lpwstr>
      </vt:variant>
      <vt:variant>
        <vt:lpwstr/>
      </vt:variant>
      <vt:variant>
        <vt:i4>3539063</vt:i4>
      </vt:variant>
      <vt:variant>
        <vt:i4>69</vt:i4>
      </vt:variant>
      <vt:variant>
        <vt:i4>0</vt:i4>
      </vt:variant>
      <vt:variant>
        <vt:i4>5</vt:i4>
      </vt:variant>
      <vt:variant>
        <vt:lpwstr>http://www.oas.org/es/cidh/docs/anual/2019/docs/IA2019cap5MX-es.pdf</vt:lpwstr>
      </vt:variant>
      <vt:variant>
        <vt:lpwstr/>
      </vt:variant>
      <vt:variant>
        <vt:i4>6750316</vt:i4>
      </vt:variant>
      <vt:variant>
        <vt:i4>66</vt:i4>
      </vt:variant>
      <vt:variant>
        <vt:i4>0</vt:i4>
      </vt:variant>
      <vt:variant>
        <vt:i4>5</vt:i4>
      </vt:variant>
      <vt:variant>
        <vt:lpwstr>https://www.oas.org/es/cidh/docs/anual/2020/capitulos/IA2020cap5.MX-es.pdf</vt:lpwstr>
      </vt:variant>
      <vt:variant>
        <vt:lpwstr/>
      </vt:variant>
      <vt:variant>
        <vt:i4>7536747</vt:i4>
      </vt:variant>
      <vt:variant>
        <vt:i4>63</vt:i4>
      </vt:variant>
      <vt:variant>
        <vt:i4>0</vt:i4>
      </vt:variant>
      <vt:variant>
        <vt:i4>5</vt:i4>
      </vt:variant>
      <vt:variant>
        <vt:lpwstr>https://www.eluniversal.com.mx/nacion/caso-tlatlaya-reaprehension-de-militares-es-relevante-falta-investigar-cadena-de-mando-centro</vt:lpwstr>
      </vt:variant>
      <vt:variant>
        <vt:lpwstr/>
      </vt:variant>
      <vt:variant>
        <vt:i4>2687030</vt:i4>
      </vt:variant>
      <vt:variant>
        <vt:i4>60</vt:i4>
      </vt:variant>
      <vt:variant>
        <vt:i4>0</vt:i4>
      </vt:variant>
      <vt:variant>
        <vt:i4>5</vt:i4>
      </vt:variant>
      <vt:variant>
        <vt:lpwstr>https://www.eluniversal.com.mx/video/nacion/reaprehenden-militares-del-caso-tlatlaya-enportada</vt:lpwstr>
      </vt:variant>
      <vt:variant>
        <vt:lpwstr/>
      </vt:variant>
      <vt:variant>
        <vt:i4>6750316</vt:i4>
      </vt:variant>
      <vt:variant>
        <vt:i4>57</vt:i4>
      </vt:variant>
      <vt:variant>
        <vt:i4>0</vt:i4>
      </vt:variant>
      <vt:variant>
        <vt:i4>5</vt:i4>
      </vt:variant>
      <vt:variant>
        <vt:lpwstr>https://www.oas.org/es/cidh/docs/anual/2020/capitulos/IA2020cap5.MX-es.pdf</vt:lpwstr>
      </vt:variant>
      <vt:variant>
        <vt:lpwstr/>
      </vt:variant>
      <vt:variant>
        <vt:i4>7143475</vt:i4>
      </vt:variant>
      <vt:variant>
        <vt:i4>54</vt:i4>
      </vt:variant>
      <vt:variant>
        <vt:i4>0</vt:i4>
      </vt:variant>
      <vt:variant>
        <vt:i4>5</vt:i4>
      </vt:variant>
      <vt:variant>
        <vt:lpwstr>https://www.animalpolitico.com/la-lucha-cotidiana-de-los-derechos-humanos/reves-a-la-opacidad-de-la-gn/</vt:lpwstr>
      </vt:variant>
      <vt:variant>
        <vt:lpwstr/>
      </vt:variant>
      <vt:variant>
        <vt:i4>7602293</vt:i4>
      </vt:variant>
      <vt:variant>
        <vt:i4>51</vt:i4>
      </vt:variant>
      <vt:variant>
        <vt:i4>0</vt:i4>
      </vt:variant>
      <vt:variant>
        <vt:i4>5</vt:i4>
      </vt:variant>
      <vt:variant>
        <vt:lpwstr>https://centroprodh.org.mx/wp-content/uploads/2021/06/Informe_Poder_Militar.pdf</vt:lpwstr>
      </vt:variant>
      <vt:variant>
        <vt:lpwstr/>
      </vt:variant>
      <vt:variant>
        <vt:i4>7471228</vt:i4>
      </vt:variant>
      <vt:variant>
        <vt:i4>48</vt:i4>
      </vt:variant>
      <vt:variant>
        <vt:i4>0</vt:i4>
      </vt:variant>
      <vt:variant>
        <vt:i4>5</vt:i4>
      </vt:variant>
      <vt:variant>
        <vt:lpwstr>https://www.forbes.com.mx/politica-amlo-defiende-a-militares-y-anuncia-que-en-enero-comenzaran-a-repartir-medicamentos/</vt:lpwstr>
      </vt:variant>
      <vt:variant>
        <vt:lpwstr/>
      </vt:variant>
      <vt:variant>
        <vt:i4>7864352</vt:i4>
      </vt:variant>
      <vt:variant>
        <vt:i4>45</vt:i4>
      </vt:variant>
      <vt:variant>
        <vt:i4>0</vt:i4>
      </vt:variant>
      <vt:variant>
        <vt:i4>5</vt:i4>
      </vt:variant>
      <vt:variant>
        <vt:lpwstr>https://www.youtube.com/watch?v=H7JMcSFdhJw</vt:lpwstr>
      </vt:variant>
      <vt:variant>
        <vt:lpwstr/>
      </vt:variant>
      <vt:variant>
        <vt:i4>5832766</vt:i4>
      </vt:variant>
      <vt:variant>
        <vt:i4>42</vt:i4>
      </vt:variant>
      <vt:variant>
        <vt:i4>0</vt:i4>
      </vt:variant>
      <vt:variant>
        <vt:i4>5</vt:i4>
      </vt:variant>
      <vt:variant>
        <vt:lpwstr>https://centroprodh.org.mx/sididh_2_0_alfa/?p=69805</vt:lpwstr>
      </vt:variant>
      <vt:variant>
        <vt:lpwstr/>
      </vt:variant>
      <vt:variant>
        <vt:i4>2162801</vt:i4>
      </vt:variant>
      <vt:variant>
        <vt:i4>39</vt:i4>
      </vt:variant>
      <vt:variant>
        <vt:i4>0</vt:i4>
      </vt:variant>
      <vt:variant>
        <vt:i4>5</vt:i4>
      </vt:variant>
      <vt:variant>
        <vt:lpwstr>https://www.internet2.scjn.gob.mx/red2/comunicados/noticia.asp?id=6634</vt:lpwstr>
      </vt:variant>
      <vt:variant>
        <vt:lpwstr/>
      </vt:variant>
      <vt:variant>
        <vt:i4>6750274</vt:i4>
      </vt:variant>
      <vt:variant>
        <vt:i4>36</vt:i4>
      </vt:variant>
      <vt:variant>
        <vt:i4>0</vt:i4>
      </vt:variant>
      <vt:variant>
        <vt:i4>5</vt:i4>
      </vt:variant>
      <vt:variant>
        <vt:lpwstr>http://www.diputados.gob.mx/LeyesBiblio/pdf/LNUF_270519.pdf</vt:lpwstr>
      </vt:variant>
      <vt:variant>
        <vt:lpwstr/>
      </vt:variant>
      <vt:variant>
        <vt:i4>6750274</vt:i4>
      </vt:variant>
      <vt:variant>
        <vt:i4>33</vt:i4>
      </vt:variant>
      <vt:variant>
        <vt:i4>0</vt:i4>
      </vt:variant>
      <vt:variant>
        <vt:i4>5</vt:i4>
      </vt:variant>
      <vt:variant>
        <vt:lpwstr>http://www.diputados.gob.mx/LeyesBiblio/pdf/LNUF_270519.pdf</vt:lpwstr>
      </vt:variant>
      <vt:variant>
        <vt:lpwstr/>
      </vt:variant>
      <vt:variant>
        <vt:i4>6750316</vt:i4>
      </vt:variant>
      <vt:variant>
        <vt:i4>30</vt:i4>
      </vt:variant>
      <vt:variant>
        <vt:i4>0</vt:i4>
      </vt:variant>
      <vt:variant>
        <vt:i4>5</vt:i4>
      </vt:variant>
      <vt:variant>
        <vt:lpwstr>https://www.oas.org/es/cidh/docs/anual/2020/capitulos/IA2020cap5.MX-es.pdf</vt:lpwstr>
      </vt:variant>
      <vt:variant>
        <vt:lpwstr/>
      </vt:variant>
      <vt:variant>
        <vt:i4>3539063</vt:i4>
      </vt:variant>
      <vt:variant>
        <vt:i4>27</vt:i4>
      </vt:variant>
      <vt:variant>
        <vt:i4>0</vt:i4>
      </vt:variant>
      <vt:variant>
        <vt:i4>5</vt:i4>
      </vt:variant>
      <vt:variant>
        <vt:lpwstr>http://www.oas.org/es/cidh/docs/anual/2019/docs/IA2019cap5MX-es.pdf</vt:lpwstr>
      </vt:variant>
      <vt:variant>
        <vt:lpwstr/>
      </vt:variant>
      <vt:variant>
        <vt:i4>6488163</vt:i4>
      </vt:variant>
      <vt:variant>
        <vt:i4>24</vt:i4>
      </vt:variant>
      <vt:variant>
        <vt:i4>0</vt:i4>
      </vt:variant>
      <vt:variant>
        <vt:i4>5</vt:i4>
      </vt:variant>
      <vt:variant>
        <vt:lpwstr>https://aristeguinoticias.com/2211/mexico/llama-centro-prodh-a-la-corte-a-ser-contrapeso-frente-al-proceso-de-profundizacion-de-la-militarizacion/</vt:lpwstr>
      </vt:variant>
      <vt:variant>
        <vt:lpwstr/>
      </vt:variant>
      <vt:variant>
        <vt:i4>5374079</vt:i4>
      </vt:variant>
      <vt:variant>
        <vt:i4>21</vt:i4>
      </vt:variant>
      <vt:variant>
        <vt:i4>0</vt:i4>
      </vt:variant>
      <vt:variant>
        <vt:i4>5</vt:i4>
      </vt:variant>
      <vt:variant>
        <vt:lpwstr>https://www.scjn.gob.mx/sites/default/files/acuerdos_controversias_constit/documento/2020-07-24/MP_ContConst-90-2020.pdf</vt:lpwstr>
      </vt:variant>
      <vt:variant>
        <vt:lpwstr/>
      </vt:variant>
      <vt:variant>
        <vt:i4>6750316</vt:i4>
      </vt:variant>
      <vt:variant>
        <vt:i4>18</vt:i4>
      </vt:variant>
      <vt:variant>
        <vt:i4>0</vt:i4>
      </vt:variant>
      <vt:variant>
        <vt:i4>5</vt:i4>
      </vt:variant>
      <vt:variant>
        <vt:lpwstr>https://www.oas.org/es/cidh/docs/anual/2020/capitulos/IA2020cap5.MX-es.pdf</vt:lpwstr>
      </vt:variant>
      <vt:variant>
        <vt:lpwstr/>
      </vt:variant>
      <vt:variant>
        <vt:i4>6160472</vt:i4>
      </vt:variant>
      <vt:variant>
        <vt:i4>15</vt:i4>
      </vt:variant>
      <vt:variant>
        <vt:i4>0</vt:i4>
      </vt:variant>
      <vt:variant>
        <vt:i4>5</vt:i4>
      </vt:variant>
      <vt:variant>
        <vt:lpwstr>https://politica.expansion.mx/mexico/2021/04/19/voces-guardia-nacional-suma-424-quejas-actos-contra-derechos-humanos</vt:lpwstr>
      </vt:variant>
      <vt:variant>
        <vt:lpwstr/>
      </vt:variant>
      <vt:variant>
        <vt:i4>6160472</vt:i4>
      </vt:variant>
      <vt:variant>
        <vt:i4>12</vt:i4>
      </vt:variant>
      <vt:variant>
        <vt:i4>0</vt:i4>
      </vt:variant>
      <vt:variant>
        <vt:i4>5</vt:i4>
      </vt:variant>
      <vt:variant>
        <vt:lpwstr>https://politica.expansion.mx/mexico/2021/04/19/voces-guardia-nacional-suma-424-quejas-actos-contra-derechos-humanos</vt:lpwstr>
      </vt:variant>
      <vt:variant>
        <vt:lpwstr/>
      </vt:variant>
      <vt:variant>
        <vt:i4>4653077</vt:i4>
      </vt:variant>
      <vt:variant>
        <vt:i4>9</vt:i4>
      </vt:variant>
      <vt:variant>
        <vt:i4>0</vt:i4>
      </vt:variant>
      <vt:variant>
        <vt:i4>5</vt:i4>
      </vt:variant>
      <vt:variant>
        <vt:lpwstr>https://centroprodh.org.mx/2021/07/01/dos-anos-de-la-guardia-nacional-poder-militar/</vt:lpwstr>
      </vt:variant>
      <vt:variant>
        <vt:lpwstr/>
      </vt:variant>
      <vt:variant>
        <vt:i4>7602293</vt:i4>
      </vt:variant>
      <vt:variant>
        <vt:i4>6</vt:i4>
      </vt:variant>
      <vt:variant>
        <vt:i4>0</vt:i4>
      </vt:variant>
      <vt:variant>
        <vt:i4>5</vt:i4>
      </vt:variant>
      <vt:variant>
        <vt:lpwstr>https://centroprodh.org.mx/wp-content/uploads/2021/06/Informe_Poder_Militar.pdf</vt:lpwstr>
      </vt:variant>
      <vt:variant>
        <vt:lpwstr/>
      </vt:variant>
      <vt:variant>
        <vt:i4>7929952</vt:i4>
      </vt:variant>
      <vt:variant>
        <vt:i4>3</vt:i4>
      </vt:variant>
      <vt:variant>
        <vt:i4>0</vt:i4>
      </vt:variant>
      <vt:variant>
        <vt:i4>5</vt:i4>
      </vt:variant>
      <vt:variant>
        <vt:lpwstr>https://hchr.org.mx/comunicados/onu-dh-saluda-la-decision-del-inai-que-ordena-a-la-guardia-nacional-hacer-publicos-sus-informes-sobre-uso-de-la-fuerza/</vt:lpwstr>
      </vt:variant>
      <vt:variant>
        <vt:lpwstr/>
      </vt:variant>
      <vt:variant>
        <vt:i4>8192052</vt:i4>
      </vt:variant>
      <vt:variant>
        <vt:i4>0</vt:i4>
      </vt:variant>
      <vt:variant>
        <vt:i4>0</vt:i4>
      </vt:variant>
      <vt:variant>
        <vt:i4>5</vt:i4>
      </vt:variant>
      <vt:variant>
        <vt:lpwstr>https://www.oas.org/es/cidh/actividades/seguimiento/pdf/Directrices-es.pdf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Vasquez, Piero</dc:creator>
  <cp:keywords/>
  <cp:lastModifiedBy>Hansen, Gloria</cp:lastModifiedBy>
  <cp:revision>65</cp:revision>
  <dcterms:created xsi:type="dcterms:W3CDTF">2022-02-24T21:06:00Z</dcterms:created>
  <dcterms:modified xsi:type="dcterms:W3CDTF">2022-05-03T21:47:00Z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0x010100D589DCDDB8A16B44BDC2A7128ECAC845</vt:lpwstr>
  </property>
</Properties>
</file>